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AA50F" w14:textId="77777777" w:rsidR="00262A0A" w:rsidRDefault="00000000">
      <w:pPr>
        <w:pStyle w:val="Title"/>
      </w:pPr>
      <w:r>
        <w:t>Case Studies: Circular Economy in Practice</w:t>
      </w:r>
    </w:p>
    <w:p w14:paraId="7927BF5F" w14:textId="0D7DA1DE" w:rsidR="00262A0A" w:rsidRDefault="007E6D2A" w:rsidP="007E6D2A">
      <w:pPr>
        <w:pStyle w:val="Heading2"/>
        <w:numPr>
          <w:ilvl w:val="0"/>
          <w:numId w:val="0"/>
        </w:numPr>
      </w:pPr>
      <w:r>
        <w:t xml:space="preserve">Activity: </w:t>
      </w:r>
      <w:r w:rsidR="00000000">
        <w:t>Circular Economy Fundamentals Workshop</w:t>
      </w:r>
    </w:p>
    <w:p w14:paraId="04E5AA95" w14:textId="77777777" w:rsidR="00262A0A" w:rsidRDefault="00262A0A">
      <w:pPr>
        <w:pStyle w:val="NoSpacing"/>
      </w:pPr>
    </w:p>
    <w:p w14:paraId="79CDCE66" w14:textId="77777777" w:rsidR="00262A0A" w:rsidRDefault="00000000">
      <w:pPr>
        <w:pStyle w:val="NoSpacing"/>
      </w:pPr>
      <w:r>
        <w:rPr>
          <w:b/>
        </w:rPr>
        <w:t xml:space="preserve">Purpose: </w:t>
      </w:r>
      <w:r>
        <w:t>Three real-world case studies for group analysis during F2F-1. Each case illustrates different circular economy principles and digital enablers. Groups analyse one case and present findings to the class.</w:t>
      </w:r>
    </w:p>
    <w:p w14:paraId="677408B4" w14:textId="77777777" w:rsidR="00262A0A" w:rsidRDefault="00000000">
      <w:pPr>
        <w:pStyle w:val="NoSpacing"/>
      </w:pPr>
      <w:r>
        <w:rPr>
          <w:b/>
        </w:rPr>
        <w:t xml:space="preserve">Time allocation: </w:t>
      </w:r>
      <w:r>
        <w:t>20 minutes group analysis + 15 minutes presentations</w:t>
      </w:r>
    </w:p>
    <w:p w14:paraId="697EBFB9" w14:textId="77777777" w:rsidR="00262A0A" w:rsidRDefault="00262A0A">
      <w:pPr>
        <w:pStyle w:val="NoSpacing"/>
      </w:pPr>
    </w:p>
    <w:p w14:paraId="3E8E1059" w14:textId="77777777" w:rsidR="00262A0A" w:rsidRDefault="00000000">
      <w:pPr>
        <w:pStyle w:val="Heading1"/>
      </w:pPr>
      <w:r>
        <w:t>Case Study 1: IKEA — Circular Furniture Design</w:t>
      </w:r>
    </w:p>
    <w:p w14:paraId="6B15EEA3" w14:textId="77777777" w:rsidR="00262A0A" w:rsidRDefault="00000000">
      <w:pPr>
        <w:pStyle w:val="NoSpacing"/>
      </w:pPr>
      <w:r>
        <w:rPr>
          <w:b/>
        </w:rPr>
        <w:t xml:space="preserve">Company: </w:t>
      </w:r>
      <w:r>
        <w:t>IKEA (Inter IKEA Group)</w:t>
      </w:r>
    </w:p>
    <w:p w14:paraId="4370C7EB" w14:textId="77777777" w:rsidR="00262A0A" w:rsidRDefault="00000000">
      <w:pPr>
        <w:pStyle w:val="NoSpacing"/>
      </w:pPr>
      <w:r>
        <w:rPr>
          <w:b/>
        </w:rPr>
        <w:t xml:space="preserve">Sector: </w:t>
      </w:r>
      <w:r>
        <w:t>Home furnishings and retail</w:t>
      </w:r>
    </w:p>
    <w:p w14:paraId="58B26101" w14:textId="77777777" w:rsidR="00262A0A" w:rsidRDefault="00000000">
      <w:pPr>
        <w:pStyle w:val="NoSpacing"/>
      </w:pPr>
      <w:r>
        <w:rPr>
          <w:b/>
        </w:rPr>
        <w:t xml:space="preserve">CE Focus: </w:t>
      </w:r>
      <w:r>
        <w:t>Design for disassembly, product take-back, material recovery</w:t>
      </w:r>
    </w:p>
    <w:p w14:paraId="4E404D03" w14:textId="77777777" w:rsidR="00262A0A" w:rsidRDefault="00262A0A">
      <w:pPr>
        <w:pStyle w:val="NoSpacing"/>
      </w:pPr>
    </w:p>
    <w:p w14:paraId="13D74A47" w14:textId="77777777" w:rsidR="00262A0A" w:rsidRDefault="00000000">
      <w:pPr>
        <w:pStyle w:val="Heading2"/>
      </w:pPr>
      <w:r>
        <w:t>Background</w:t>
      </w:r>
    </w:p>
    <w:p w14:paraId="454945A2" w14:textId="77777777" w:rsidR="00262A0A" w:rsidRDefault="00000000">
      <w:pPr>
        <w:pStyle w:val="NoSpacing"/>
      </w:pPr>
      <w:r>
        <w:t>[Describe IKEA’s circular economy commitments: 2030 climate-positive goal, circular product design principles, material sourcing strategy. Reference the IKEA Sustainability Report and circular design guidelines.]</w:t>
      </w:r>
    </w:p>
    <w:p w14:paraId="27012867" w14:textId="77777777" w:rsidR="00262A0A" w:rsidRDefault="00262A0A">
      <w:pPr>
        <w:pStyle w:val="NoSpacing"/>
      </w:pPr>
    </w:p>
    <w:p w14:paraId="7277B502" w14:textId="77777777" w:rsidR="00262A0A" w:rsidRDefault="00000000">
      <w:pPr>
        <w:pStyle w:val="Heading2"/>
      </w:pPr>
      <w:r>
        <w:t>Circular Economy Initiative</w:t>
      </w:r>
    </w:p>
    <w:p w14:paraId="7567F367" w14:textId="77777777" w:rsidR="00262A0A" w:rsidRDefault="00000000">
      <w:pPr>
        <w:pStyle w:val="NoSpacing"/>
      </w:pPr>
      <w:r>
        <w:t>[Describe the specific initiative: Buy Back &amp; Resell programme, product-as-service pilots, design for disassembly standards. Include scale, timeline, and measurable outcomes.]</w:t>
      </w:r>
    </w:p>
    <w:p w14:paraId="2FF1A2FE" w14:textId="77777777" w:rsidR="00262A0A" w:rsidRDefault="00262A0A">
      <w:pPr>
        <w:pStyle w:val="NoSpacing"/>
      </w:pPr>
    </w:p>
    <w:p w14:paraId="6406A564" w14:textId="77777777" w:rsidR="00262A0A" w:rsidRDefault="00000000">
      <w:pPr>
        <w:pStyle w:val="Heading2"/>
      </w:pPr>
      <w:r>
        <w:t>Digital Enablers</w:t>
      </w:r>
    </w:p>
    <w:p w14:paraId="6E03D33A" w14:textId="77777777" w:rsidR="00262A0A" w:rsidRDefault="00000000">
      <w:pPr>
        <w:pStyle w:val="NoSpacing"/>
      </w:pPr>
      <w:r>
        <w:t>[Describe the digital technologies used: product lifecycle tracking, material passport development, IoT in logistics, AI for demand forecasting of refurbished goods.]</w:t>
      </w:r>
    </w:p>
    <w:p w14:paraId="23CB5979" w14:textId="77777777" w:rsidR="00262A0A" w:rsidRDefault="00262A0A">
      <w:pPr>
        <w:pStyle w:val="NoSpacing"/>
      </w:pPr>
    </w:p>
    <w:p w14:paraId="4B34451B" w14:textId="77777777" w:rsidR="00262A0A" w:rsidRDefault="00000000">
      <w:pPr>
        <w:pStyle w:val="Heading2"/>
      </w:pPr>
      <w:r>
        <w:t>Analysis Questions</w:t>
      </w:r>
    </w:p>
    <w:p w14:paraId="2F4C07F5" w14:textId="77777777" w:rsidR="00262A0A" w:rsidRDefault="00000000">
      <w:pPr>
        <w:pStyle w:val="ListParagraph"/>
      </w:pPr>
      <w:r>
        <w:t>1. Which of the three CE principles (design out waste, keep materials in use, regenerate natural systems) does this initiative primarily address? How?</w:t>
      </w:r>
    </w:p>
    <w:p w14:paraId="12DA121B" w14:textId="77777777" w:rsidR="00262A0A" w:rsidRDefault="00000000">
      <w:pPr>
        <w:pStyle w:val="ListParagraph"/>
      </w:pPr>
      <w:r>
        <w:t>2. What role do digital technologies play in making this initiative scalable?</w:t>
      </w:r>
    </w:p>
    <w:p w14:paraId="52F54FF4" w14:textId="77777777" w:rsidR="00262A0A" w:rsidRDefault="00000000">
      <w:pPr>
        <w:pStyle w:val="ListParagraph"/>
      </w:pPr>
      <w:r>
        <w:t>3. Which EU policy requirements (ESPR, DPP, CSRD) does this initiative help the company meet?</w:t>
      </w:r>
    </w:p>
    <w:p w14:paraId="28091BAF" w14:textId="77777777" w:rsidR="00262A0A" w:rsidRDefault="00000000">
      <w:pPr>
        <w:pStyle w:val="ListParagraph"/>
      </w:pPr>
      <w:r>
        <w:t>4. What data would the company need to collect to measure the circularity impact of this initiative?</w:t>
      </w:r>
    </w:p>
    <w:p w14:paraId="0077CC77" w14:textId="77777777" w:rsidR="00262A0A" w:rsidRDefault="00000000">
      <w:pPr>
        <w:pStyle w:val="ListParagraph"/>
      </w:pPr>
      <w:r>
        <w:lastRenderedPageBreak/>
        <w:t>5. What barriers might the company face in scaling this initiative, and how could they be overcome?</w:t>
      </w:r>
    </w:p>
    <w:p w14:paraId="0EEB9413" w14:textId="77777777" w:rsidR="00262A0A" w:rsidRDefault="00262A0A">
      <w:pPr>
        <w:pStyle w:val="NoSpacing"/>
      </w:pPr>
    </w:p>
    <w:p w14:paraId="7E9C6222" w14:textId="77777777" w:rsidR="00262A0A" w:rsidRDefault="00000000">
      <w:pPr>
        <w:pStyle w:val="Heading1"/>
      </w:pPr>
      <w:r>
        <w:t>Case Study 2: Philips — Lighting-as-a-Service</w:t>
      </w:r>
    </w:p>
    <w:p w14:paraId="506DB7C3" w14:textId="77777777" w:rsidR="00262A0A" w:rsidRDefault="00000000">
      <w:pPr>
        <w:pStyle w:val="NoSpacing"/>
      </w:pPr>
      <w:r>
        <w:rPr>
          <w:b/>
        </w:rPr>
        <w:t xml:space="preserve">Company: </w:t>
      </w:r>
      <w:r>
        <w:t>Signify (formerly Philips Lighting)</w:t>
      </w:r>
    </w:p>
    <w:p w14:paraId="1C2F8A62" w14:textId="77777777" w:rsidR="00262A0A" w:rsidRDefault="00000000">
      <w:pPr>
        <w:pStyle w:val="NoSpacing"/>
      </w:pPr>
      <w:r>
        <w:rPr>
          <w:b/>
        </w:rPr>
        <w:t xml:space="preserve">Sector: </w:t>
      </w:r>
      <w:r>
        <w:t>Industrial lighting and IoT</w:t>
      </w:r>
    </w:p>
    <w:p w14:paraId="66DCA392" w14:textId="77777777" w:rsidR="00262A0A" w:rsidRDefault="00000000">
      <w:pPr>
        <w:pStyle w:val="NoSpacing"/>
      </w:pPr>
      <w:r>
        <w:rPr>
          <w:b/>
        </w:rPr>
        <w:t xml:space="preserve">CE Focus: </w:t>
      </w:r>
      <w:r>
        <w:t>Product-as-a-service, performance-based contracts, asset recovery</w:t>
      </w:r>
    </w:p>
    <w:p w14:paraId="397C0D4D" w14:textId="77777777" w:rsidR="00262A0A" w:rsidRDefault="00262A0A">
      <w:pPr>
        <w:pStyle w:val="NoSpacing"/>
      </w:pPr>
    </w:p>
    <w:p w14:paraId="67172713" w14:textId="77777777" w:rsidR="00262A0A" w:rsidRDefault="00000000">
      <w:pPr>
        <w:pStyle w:val="Heading2"/>
      </w:pPr>
      <w:r>
        <w:t>Background</w:t>
      </w:r>
    </w:p>
    <w:p w14:paraId="7E42F783" w14:textId="77777777" w:rsidR="00262A0A" w:rsidRDefault="00000000">
      <w:pPr>
        <w:pStyle w:val="NoSpacing"/>
      </w:pPr>
      <w:r>
        <w:t xml:space="preserve">[Describe </w:t>
      </w:r>
      <w:proofErr w:type="spellStart"/>
      <w:r>
        <w:t>Signify’s</w:t>
      </w:r>
      <w:proofErr w:type="spellEnd"/>
      <w:r>
        <w:t xml:space="preserve"> transition from selling luminaires to selling light-as-a-service. Reference the Schiphol Airport and other major Light-as-a-Service contracts.]</w:t>
      </w:r>
    </w:p>
    <w:p w14:paraId="6A1E6734" w14:textId="77777777" w:rsidR="00262A0A" w:rsidRDefault="00262A0A">
      <w:pPr>
        <w:pStyle w:val="NoSpacing"/>
      </w:pPr>
    </w:p>
    <w:p w14:paraId="2B6A3798" w14:textId="77777777" w:rsidR="00262A0A" w:rsidRDefault="00000000">
      <w:pPr>
        <w:pStyle w:val="Heading2"/>
      </w:pPr>
      <w:r>
        <w:t>Circular Economy Initiative</w:t>
      </w:r>
    </w:p>
    <w:p w14:paraId="24E385CE" w14:textId="77777777" w:rsidR="00262A0A" w:rsidRDefault="00000000">
      <w:pPr>
        <w:pStyle w:val="NoSpacing"/>
      </w:pPr>
      <w:r>
        <w:t>[Describe the service model: Signify retains ownership, maintains and upgrades systems, recovers materials at end-of-contract. Include contract structure, circularity metrics, and business model economics.]</w:t>
      </w:r>
    </w:p>
    <w:p w14:paraId="47910388" w14:textId="77777777" w:rsidR="00262A0A" w:rsidRDefault="00262A0A">
      <w:pPr>
        <w:pStyle w:val="NoSpacing"/>
      </w:pPr>
    </w:p>
    <w:p w14:paraId="21414E20" w14:textId="77777777" w:rsidR="00262A0A" w:rsidRDefault="00000000">
      <w:pPr>
        <w:pStyle w:val="Heading2"/>
      </w:pPr>
      <w:r>
        <w:t>Digital Enablers</w:t>
      </w:r>
    </w:p>
    <w:p w14:paraId="615EF3AB" w14:textId="77777777" w:rsidR="00262A0A" w:rsidRDefault="00000000">
      <w:pPr>
        <w:pStyle w:val="NoSpacing"/>
      </w:pPr>
      <w:r>
        <w:t>[Describe: IoT sensors for monitoring light levels and energy consumption, predictive maintenance algorithms, cloud-based fleet management, data analytics for lifecycle optimisation.]</w:t>
      </w:r>
    </w:p>
    <w:p w14:paraId="12B6E35B" w14:textId="77777777" w:rsidR="00262A0A" w:rsidRDefault="00262A0A">
      <w:pPr>
        <w:pStyle w:val="NoSpacing"/>
      </w:pPr>
    </w:p>
    <w:p w14:paraId="0D3CD3AF" w14:textId="77777777" w:rsidR="00262A0A" w:rsidRDefault="00000000">
      <w:pPr>
        <w:pStyle w:val="Heading2"/>
      </w:pPr>
      <w:r>
        <w:t>Analysis Questions</w:t>
      </w:r>
    </w:p>
    <w:p w14:paraId="719187D5" w14:textId="77777777" w:rsidR="00262A0A" w:rsidRDefault="00000000">
      <w:pPr>
        <w:pStyle w:val="ListParagraph"/>
      </w:pPr>
      <w:r>
        <w:t>1. How does the product-as-a-service model change the incentives for product durability and repairability?</w:t>
      </w:r>
    </w:p>
    <w:p w14:paraId="7714FD79" w14:textId="77777777" w:rsidR="00262A0A" w:rsidRDefault="00000000">
      <w:pPr>
        <w:pStyle w:val="ListParagraph"/>
      </w:pPr>
      <w:r>
        <w:t>2. What data flows are essential to operate this circular business model?</w:t>
      </w:r>
    </w:p>
    <w:p w14:paraId="7B4CF7F9" w14:textId="77777777" w:rsidR="00262A0A" w:rsidRDefault="00000000">
      <w:pPr>
        <w:pStyle w:val="ListParagraph"/>
      </w:pPr>
      <w:r>
        <w:t>3. How does this model align with the EU Ecodesign for Sustainable Products Regulation?</w:t>
      </w:r>
    </w:p>
    <w:p w14:paraId="52D216BF" w14:textId="77777777" w:rsidR="00262A0A" w:rsidRDefault="00000000">
      <w:pPr>
        <w:pStyle w:val="ListParagraph"/>
      </w:pPr>
      <w:r>
        <w:t>4. What would a Digital Product Passport look like for a lighting-as-a-service product?</w:t>
      </w:r>
    </w:p>
    <w:p w14:paraId="60BF9100" w14:textId="77777777" w:rsidR="00262A0A" w:rsidRDefault="00000000">
      <w:pPr>
        <w:pStyle w:val="ListParagraph"/>
      </w:pPr>
      <w:r>
        <w:t>5. Could this model be applied to your own organisation or product? What would need to change?</w:t>
      </w:r>
    </w:p>
    <w:p w14:paraId="302A9141" w14:textId="77777777" w:rsidR="00262A0A" w:rsidRDefault="00262A0A">
      <w:pPr>
        <w:pStyle w:val="NoSpacing"/>
      </w:pPr>
    </w:p>
    <w:p w14:paraId="4611E768" w14:textId="77777777" w:rsidR="007E6D2A" w:rsidRDefault="007E6D2A">
      <w:pPr>
        <w:pStyle w:val="NoSpacing"/>
      </w:pPr>
    </w:p>
    <w:p w14:paraId="4166F91D" w14:textId="77777777" w:rsidR="007E6D2A" w:rsidRDefault="007E6D2A">
      <w:pPr>
        <w:pStyle w:val="NoSpacing"/>
      </w:pPr>
    </w:p>
    <w:p w14:paraId="26AB2612" w14:textId="77777777" w:rsidR="007E6D2A" w:rsidRDefault="007E6D2A">
      <w:pPr>
        <w:pStyle w:val="NoSpacing"/>
      </w:pPr>
    </w:p>
    <w:p w14:paraId="4EF8386B" w14:textId="77777777" w:rsidR="007E6D2A" w:rsidRDefault="007E6D2A">
      <w:pPr>
        <w:pStyle w:val="NoSpacing"/>
      </w:pPr>
    </w:p>
    <w:p w14:paraId="6C1345CC" w14:textId="77777777" w:rsidR="00262A0A" w:rsidRDefault="00000000">
      <w:pPr>
        <w:pStyle w:val="Heading1"/>
      </w:pPr>
      <w:r>
        <w:lastRenderedPageBreak/>
        <w:t>Case Study 3: Patagonia — Repair and Reuse Programme</w:t>
      </w:r>
    </w:p>
    <w:p w14:paraId="3A69A57C" w14:textId="77777777" w:rsidR="00262A0A" w:rsidRDefault="00000000">
      <w:pPr>
        <w:pStyle w:val="NoSpacing"/>
      </w:pPr>
      <w:r>
        <w:rPr>
          <w:b/>
        </w:rPr>
        <w:t xml:space="preserve">Company: </w:t>
      </w:r>
      <w:r>
        <w:t>Patagonia, Inc.</w:t>
      </w:r>
    </w:p>
    <w:p w14:paraId="01FE61FD" w14:textId="77777777" w:rsidR="00262A0A" w:rsidRDefault="00000000">
      <w:pPr>
        <w:pStyle w:val="NoSpacing"/>
      </w:pPr>
      <w:r>
        <w:rPr>
          <w:b/>
        </w:rPr>
        <w:t xml:space="preserve">Sector: </w:t>
      </w:r>
      <w:r>
        <w:t>Outdoor apparel and textiles</w:t>
      </w:r>
    </w:p>
    <w:p w14:paraId="1701D585" w14:textId="77777777" w:rsidR="00262A0A" w:rsidRDefault="00000000">
      <w:pPr>
        <w:pStyle w:val="NoSpacing"/>
      </w:pPr>
      <w:r>
        <w:rPr>
          <w:b/>
        </w:rPr>
        <w:t xml:space="preserve">CE Focus: </w:t>
      </w:r>
      <w:r>
        <w:t>Product longevity, repair services, resale marketplace, material traceability</w:t>
      </w:r>
    </w:p>
    <w:p w14:paraId="3C69020C" w14:textId="77777777" w:rsidR="00262A0A" w:rsidRDefault="00262A0A">
      <w:pPr>
        <w:pStyle w:val="NoSpacing"/>
      </w:pPr>
    </w:p>
    <w:p w14:paraId="23804FB7" w14:textId="77777777" w:rsidR="00262A0A" w:rsidRDefault="00000000">
      <w:pPr>
        <w:pStyle w:val="Heading2"/>
      </w:pPr>
      <w:r>
        <w:t>Background</w:t>
      </w:r>
    </w:p>
    <w:p w14:paraId="0C7EF2A8" w14:textId="77777777" w:rsidR="00262A0A" w:rsidRDefault="00000000">
      <w:pPr>
        <w:pStyle w:val="NoSpacing"/>
      </w:pPr>
      <w:r>
        <w:t>[Describe Patagonia’s Worn Wear programme, Ironclad Guarantee, and material traceability initiatives. Reference their published environmental and social footprint data.]</w:t>
      </w:r>
    </w:p>
    <w:p w14:paraId="7D2FBBF8" w14:textId="77777777" w:rsidR="00262A0A" w:rsidRDefault="00262A0A">
      <w:pPr>
        <w:pStyle w:val="NoSpacing"/>
      </w:pPr>
    </w:p>
    <w:p w14:paraId="2B4B07FD" w14:textId="77777777" w:rsidR="00262A0A" w:rsidRDefault="00000000">
      <w:pPr>
        <w:pStyle w:val="Heading2"/>
      </w:pPr>
      <w:r>
        <w:t>Circular Economy Initiative</w:t>
      </w:r>
    </w:p>
    <w:p w14:paraId="787E4827" w14:textId="77777777" w:rsidR="00262A0A" w:rsidRDefault="00000000">
      <w:pPr>
        <w:pStyle w:val="NoSpacing"/>
      </w:pPr>
      <w:r>
        <w:t>[Describe: repair centres (mobile and fixed), Worn Wear resale platform, material take-back and recycling partnerships. Include repair volumes, resale economics, and customer engagement metrics.]</w:t>
      </w:r>
    </w:p>
    <w:p w14:paraId="1FA2F8CE" w14:textId="77777777" w:rsidR="00262A0A" w:rsidRDefault="00262A0A">
      <w:pPr>
        <w:pStyle w:val="NoSpacing"/>
      </w:pPr>
    </w:p>
    <w:p w14:paraId="4A2FBB65" w14:textId="77777777" w:rsidR="00262A0A" w:rsidRDefault="00000000">
      <w:pPr>
        <w:pStyle w:val="Heading2"/>
      </w:pPr>
      <w:r>
        <w:t>Digital Enablers</w:t>
      </w:r>
    </w:p>
    <w:p w14:paraId="2434F340" w14:textId="77777777" w:rsidR="00262A0A" w:rsidRDefault="00000000">
      <w:pPr>
        <w:pStyle w:val="NoSpacing"/>
      </w:pPr>
      <w:r>
        <w:t>[Describe: supply chain traceability platform, material composition tracking, customer repair/resale portal, lifecycle impact calculator.]</w:t>
      </w:r>
    </w:p>
    <w:p w14:paraId="1E64A4C3" w14:textId="77777777" w:rsidR="00262A0A" w:rsidRDefault="00262A0A">
      <w:pPr>
        <w:pStyle w:val="NoSpacing"/>
      </w:pPr>
    </w:p>
    <w:p w14:paraId="16117D65" w14:textId="77777777" w:rsidR="00262A0A" w:rsidRDefault="00000000">
      <w:pPr>
        <w:pStyle w:val="Heading2"/>
      </w:pPr>
      <w:r>
        <w:t>Analysis Questions</w:t>
      </w:r>
    </w:p>
    <w:p w14:paraId="38045A24" w14:textId="77777777" w:rsidR="00262A0A" w:rsidRDefault="00000000">
      <w:pPr>
        <w:pStyle w:val="ListParagraph"/>
      </w:pPr>
      <w:r>
        <w:t>1. How does Patagonia’s approach address all three CE principles simultaneously?</w:t>
      </w:r>
    </w:p>
    <w:p w14:paraId="1A02F7BD" w14:textId="77777777" w:rsidR="00262A0A" w:rsidRDefault="00000000">
      <w:pPr>
        <w:pStyle w:val="ListParagraph"/>
      </w:pPr>
      <w:r>
        <w:t>2. What traceability data is needed to support the repair and resale model at scale?</w:t>
      </w:r>
    </w:p>
    <w:p w14:paraId="7EE6CD45" w14:textId="77777777" w:rsidR="00262A0A" w:rsidRDefault="00000000">
      <w:pPr>
        <w:pStyle w:val="ListParagraph"/>
      </w:pPr>
      <w:r>
        <w:t>3. How could blockchain or DPP technology strengthen this initiative?</w:t>
      </w:r>
    </w:p>
    <w:p w14:paraId="775DD86F" w14:textId="77777777" w:rsidR="00262A0A" w:rsidRDefault="00000000">
      <w:pPr>
        <w:pStyle w:val="ListParagraph"/>
      </w:pPr>
      <w:r>
        <w:t>4. What ESG reporting metrics could Patagonia derive from their circular economy data?</w:t>
      </w:r>
    </w:p>
    <w:p w14:paraId="66450AA4" w14:textId="77777777" w:rsidR="00262A0A" w:rsidRDefault="00000000">
      <w:pPr>
        <w:pStyle w:val="ListParagraph"/>
      </w:pPr>
      <w:r>
        <w:t>5. What lessons from this case could apply to a non-textile industry?</w:t>
      </w:r>
    </w:p>
    <w:p w14:paraId="01B61A36" w14:textId="77777777" w:rsidR="00262A0A" w:rsidRDefault="00262A0A">
      <w:pPr>
        <w:pStyle w:val="NoSpacing"/>
      </w:pPr>
    </w:p>
    <w:p w14:paraId="42183AEC" w14:textId="77777777" w:rsidR="00262A0A" w:rsidRDefault="00000000">
      <w:pPr>
        <w:pStyle w:val="NoSpacing"/>
      </w:pPr>
      <w:r>
        <w:rPr>
          <w:i/>
        </w:rPr>
        <w:t>This document is part of the Digital4Sustainability project, co-funded by the European Union.</w:t>
      </w:r>
    </w:p>
    <w:sectPr w:rsidR="00262A0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9053A" w14:textId="77777777" w:rsidR="004019DC" w:rsidRDefault="004019DC">
      <w:pPr>
        <w:spacing w:after="0" w:line="240" w:lineRule="auto"/>
      </w:pPr>
      <w:r>
        <w:separator/>
      </w:r>
    </w:p>
  </w:endnote>
  <w:endnote w:type="continuationSeparator" w:id="0">
    <w:p w14:paraId="7973923E" w14:textId="77777777" w:rsidR="004019DC" w:rsidRDefault="00401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CCF7" w14:textId="77777777" w:rsidR="00262A0A" w:rsidRDefault="00000000">
    <w:pPr>
      <w:pStyle w:val="Header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703A99B7" wp14:editId="1327E55D">
              <wp:simplePos x="0" y="0"/>
              <wp:positionH relativeFrom="column">
                <wp:posOffset>2256790</wp:posOffset>
              </wp:positionH>
              <wp:positionV relativeFrom="paragraph">
                <wp:posOffset>-102870</wp:posOffset>
              </wp:positionV>
              <wp:extent cx="1615440" cy="358775"/>
              <wp:effectExtent l="0" t="0" r="0" b="0"/>
              <wp:wrapNone/>
              <wp:docPr id="3" name="Picture 1" descr="Blue text on a black background  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Blue text on a black background  Description automatically generated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15440" cy="358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8241;o:allowoverlap:true;o:allowincell:true;mso-position-horizontal-relative:text;margin-left:177.70pt;mso-position-horizontal:absolute;mso-position-vertical-relative:text;margin-top:-8.10pt;mso-position-vertical:absolute;width:127.20pt;height:28.2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Style w:val="PlaceholderText"/>
        <w:color w:val="A6A6A6"/>
      </w:rPr>
      <w:t>Case Studies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F12F6" w14:textId="77777777" w:rsidR="00262A0A" w:rsidRDefault="00262A0A">
    <w:pPr>
      <w:pStyle w:val="Footer"/>
    </w:pPr>
  </w:p>
  <w:p w14:paraId="67F756EF" w14:textId="77777777" w:rsidR="00262A0A" w:rsidRDefault="00262A0A">
    <w:pPr>
      <w:pStyle w:val="Footer"/>
    </w:pPr>
  </w:p>
  <w:p w14:paraId="16CEFA6D" w14:textId="77777777" w:rsidR="00262A0A" w:rsidRDefault="00262A0A">
    <w:pPr>
      <w:pStyle w:val="Footer"/>
    </w:pPr>
  </w:p>
  <w:p w14:paraId="1D69D4C8" w14:textId="77777777" w:rsidR="00262A0A" w:rsidRDefault="00262A0A">
    <w:pPr>
      <w:pStyle w:val="Footer"/>
    </w:pPr>
  </w:p>
  <w:p w14:paraId="0014C471" w14:textId="77777777" w:rsidR="00262A0A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Case Studies</w:t>
    </w:r>
  </w:p>
  <w:p w14:paraId="37C0D6FA" w14:textId="77777777" w:rsidR="00262A0A" w:rsidRDefault="00262A0A">
    <w:pPr>
      <w:pStyle w:val="Footer"/>
      <w:tabs>
        <w:tab w:val="clear" w:pos="4819"/>
        <w:tab w:val="clear" w:pos="9638"/>
        <w:tab w:val="left" w:pos="1440"/>
      </w:tabs>
    </w:pPr>
  </w:p>
  <w:p w14:paraId="7C0409F0" w14:textId="77777777" w:rsidR="00262A0A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1E672" w14:textId="77777777" w:rsidR="004019DC" w:rsidRDefault="004019DC">
      <w:pPr>
        <w:spacing w:after="0" w:line="240" w:lineRule="auto"/>
      </w:pPr>
      <w:r>
        <w:separator/>
      </w:r>
    </w:p>
  </w:footnote>
  <w:footnote w:type="continuationSeparator" w:id="0">
    <w:p w14:paraId="20AD2D1C" w14:textId="77777777" w:rsidR="004019DC" w:rsidRDefault="00401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B8062" w14:textId="77777777" w:rsidR="00262A0A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054AF81A" wp14:editId="281CB438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4A28F955" w14:textId="77777777" w:rsidR="00262A0A" w:rsidRDefault="00262A0A">
    <w:pPr>
      <w:pStyle w:val="Header"/>
      <w:jc w:val="right"/>
    </w:pPr>
  </w:p>
  <w:p w14:paraId="20F20188" w14:textId="77777777" w:rsidR="00262A0A" w:rsidRDefault="00262A0A">
    <w:pPr>
      <w:pStyle w:val="Header"/>
    </w:pPr>
  </w:p>
  <w:p w14:paraId="7F31751A" w14:textId="77777777" w:rsidR="00262A0A" w:rsidRDefault="00262A0A">
    <w:pPr>
      <w:pStyle w:val="Header"/>
    </w:pPr>
  </w:p>
  <w:p w14:paraId="27665737" w14:textId="77777777" w:rsidR="00262A0A" w:rsidRDefault="00262A0A">
    <w:pPr>
      <w:pStyle w:val="Header"/>
    </w:pPr>
  </w:p>
  <w:p w14:paraId="1C2C9AB2" w14:textId="77777777" w:rsidR="00262A0A" w:rsidRDefault="00262A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8C533" w14:textId="77777777" w:rsidR="00262A0A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C96D934" wp14:editId="4217977A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0071FB71" w14:textId="77777777" w:rsidR="00262A0A" w:rsidRDefault="00262A0A">
    <w:pPr>
      <w:pStyle w:val="Header"/>
    </w:pPr>
  </w:p>
  <w:p w14:paraId="2FC7BD39" w14:textId="77777777" w:rsidR="00262A0A" w:rsidRDefault="00262A0A">
    <w:pPr>
      <w:pStyle w:val="Header"/>
    </w:pPr>
  </w:p>
  <w:p w14:paraId="1CB2FCC4" w14:textId="77777777" w:rsidR="00262A0A" w:rsidRDefault="00262A0A">
    <w:pPr>
      <w:pStyle w:val="Header"/>
    </w:pPr>
  </w:p>
  <w:p w14:paraId="1997AE01" w14:textId="77777777" w:rsidR="00262A0A" w:rsidRDefault="00262A0A">
    <w:pPr>
      <w:pStyle w:val="Header"/>
    </w:pPr>
  </w:p>
  <w:p w14:paraId="6AFB206F" w14:textId="77777777" w:rsidR="00262A0A" w:rsidRDefault="00262A0A">
    <w:pPr>
      <w:pStyle w:val="Header"/>
    </w:pPr>
  </w:p>
  <w:p w14:paraId="3F183022" w14:textId="77777777" w:rsidR="00262A0A" w:rsidRDefault="00262A0A">
    <w:pPr>
      <w:pStyle w:val="Header"/>
    </w:pPr>
  </w:p>
  <w:p w14:paraId="1DFB5681" w14:textId="77777777" w:rsidR="00262A0A" w:rsidRDefault="00262A0A">
    <w:pPr>
      <w:pStyle w:val="Header"/>
    </w:pPr>
  </w:p>
  <w:p w14:paraId="4E3257A6" w14:textId="77777777" w:rsidR="00262A0A" w:rsidRDefault="00262A0A">
    <w:pPr>
      <w:pStyle w:val="Header"/>
    </w:pPr>
  </w:p>
  <w:p w14:paraId="7C594B66" w14:textId="77777777" w:rsidR="00262A0A" w:rsidRDefault="00262A0A">
    <w:pPr>
      <w:pStyle w:val="Header"/>
    </w:pPr>
  </w:p>
  <w:p w14:paraId="08AE8EEE" w14:textId="77777777" w:rsidR="00262A0A" w:rsidRDefault="00262A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23E"/>
    <w:multiLevelType w:val="multilevel"/>
    <w:tmpl w:val="CE147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627B"/>
    <w:multiLevelType w:val="multilevel"/>
    <w:tmpl w:val="B7968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766A"/>
    <w:multiLevelType w:val="multilevel"/>
    <w:tmpl w:val="17B287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17CF2"/>
    <w:multiLevelType w:val="multilevel"/>
    <w:tmpl w:val="380A2B84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4" w15:restartNumberingAfterBreak="0">
    <w:nsid w:val="13EB437E"/>
    <w:multiLevelType w:val="multilevel"/>
    <w:tmpl w:val="F790E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071E7"/>
    <w:multiLevelType w:val="multilevel"/>
    <w:tmpl w:val="00B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84D73"/>
    <w:multiLevelType w:val="multilevel"/>
    <w:tmpl w:val="055E2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145DC9"/>
    <w:multiLevelType w:val="multilevel"/>
    <w:tmpl w:val="6A64D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E4B3E"/>
    <w:multiLevelType w:val="multilevel"/>
    <w:tmpl w:val="8E224A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E1DDD"/>
    <w:multiLevelType w:val="multilevel"/>
    <w:tmpl w:val="D59C72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7D16"/>
    <w:multiLevelType w:val="multilevel"/>
    <w:tmpl w:val="3384B5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61FA0"/>
    <w:multiLevelType w:val="multilevel"/>
    <w:tmpl w:val="FEBE4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E434E"/>
    <w:multiLevelType w:val="multilevel"/>
    <w:tmpl w:val="70303C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E73C1"/>
    <w:multiLevelType w:val="multilevel"/>
    <w:tmpl w:val="F59CECAC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82B29"/>
    <w:multiLevelType w:val="multilevel"/>
    <w:tmpl w:val="F3A2213C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87F3992"/>
    <w:multiLevelType w:val="multilevel"/>
    <w:tmpl w:val="B3D45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FC1709"/>
    <w:multiLevelType w:val="multilevel"/>
    <w:tmpl w:val="B7F6E8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94DDB"/>
    <w:multiLevelType w:val="multilevel"/>
    <w:tmpl w:val="4508AA82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B4B2A"/>
    <w:multiLevelType w:val="multilevel"/>
    <w:tmpl w:val="BC5804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21564"/>
    <w:multiLevelType w:val="multilevel"/>
    <w:tmpl w:val="B406C0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5791A"/>
    <w:multiLevelType w:val="multilevel"/>
    <w:tmpl w:val="6674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D596A"/>
    <w:multiLevelType w:val="multilevel"/>
    <w:tmpl w:val="04CE907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B51EE7"/>
    <w:multiLevelType w:val="multilevel"/>
    <w:tmpl w:val="6D32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590FCB"/>
    <w:multiLevelType w:val="multilevel"/>
    <w:tmpl w:val="2E7CA5BA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7B8865E5"/>
    <w:multiLevelType w:val="multilevel"/>
    <w:tmpl w:val="85D4AE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967020">
    <w:abstractNumId w:val="9"/>
  </w:num>
  <w:num w:numId="2" w16cid:durableId="1648826176">
    <w:abstractNumId w:val="16"/>
  </w:num>
  <w:num w:numId="3" w16cid:durableId="43412880">
    <w:abstractNumId w:val="18"/>
  </w:num>
  <w:num w:numId="4" w16cid:durableId="338967135">
    <w:abstractNumId w:val="4"/>
  </w:num>
  <w:num w:numId="5" w16cid:durableId="1210149883">
    <w:abstractNumId w:val="15"/>
  </w:num>
  <w:num w:numId="6" w16cid:durableId="1372612837">
    <w:abstractNumId w:val="1"/>
  </w:num>
  <w:num w:numId="7" w16cid:durableId="1240748996">
    <w:abstractNumId w:val="3"/>
  </w:num>
  <w:num w:numId="8" w16cid:durableId="402800960">
    <w:abstractNumId w:val="23"/>
  </w:num>
  <w:num w:numId="9" w16cid:durableId="746145374">
    <w:abstractNumId w:val="17"/>
  </w:num>
  <w:num w:numId="10" w16cid:durableId="705839384">
    <w:abstractNumId w:val="20"/>
  </w:num>
  <w:num w:numId="11" w16cid:durableId="711996777">
    <w:abstractNumId w:val="12"/>
  </w:num>
  <w:num w:numId="12" w16cid:durableId="216164637">
    <w:abstractNumId w:val="11"/>
  </w:num>
  <w:num w:numId="13" w16cid:durableId="38435446">
    <w:abstractNumId w:val="2"/>
  </w:num>
  <w:num w:numId="14" w16cid:durableId="482279444">
    <w:abstractNumId w:val="10"/>
  </w:num>
  <w:num w:numId="15" w16cid:durableId="1590433232">
    <w:abstractNumId w:val="8"/>
  </w:num>
  <w:num w:numId="16" w16cid:durableId="285745162">
    <w:abstractNumId w:val="7"/>
  </w:num>
  <w:num w:numId="17" w16cid:durableId="701907280">
    <w:abstractNumId w:val="24"/>
  </w:num>
  <w:num w:numId="18" w16cid:durableId="1220361264">
    <w:abstractNumId w:val="13"/>
  </w:num>
  <w:num w:numId="19" w16cid:durableId="1387604763">
    <w:abstractNumId w:val="14"/>
  </w:num>
  <w:num w:numId="20" w16cid:durableId="851913504">
    <w:abstractNumId w:val="21"/>
  </w:num>
  <w:num w:numId="21" w16cid:durableId="13847870">
    <w:abstractNumId w:val="19"/>
  </w:num>
  <w:num w:numId="22" w16cid:durableId="751584482">
    <w:abstractNumId w:val="0"/>
  </w:num>
  <w:num w:numId="23" w16cid:durableId="548685178">
    <w:abstractNumId w:val="5"/>
  </w:num>
  <w:num w:numId="24" w16cid:durableId="836073292">
    <w:abstractNumId w:val="6"/>
  </w:num>
  <w:num w:numId="25" w16cid:durableId="18860206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A0A"/>
    <w:rsid w:val="00262A0A"/>
    <w:rsid w:val="004019DC"/>
    <w:rsid w:val="007E6D2A"/>
    <w:rsid w:val="00B3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9664B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3653</Characters>
  <Application>Microsoft Office Word</Application>
  <DocSecurity>0</DocSecurity>
  <Lines>30</Lines>
  <Paragraphs>8</Paragraphs>
  <ScaleCrop>false</ScaleCrop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Case Studies</dc:title>
  <dc:subject/>
  <dc:creator>Katarina Cicvarić</dc:creator>
  <cp:keywords/>
  <dc:description>Case Studies</dc:description>
  <cp:lastModifiedBy>Katarina Cicvarić</cp:lastModifiedBy>
  <cp:revision>2</cp:revision>
  <dcterms:created xsi:type="dcterms:W3CDTF">2026-04-21T11:14:00Z</dcterms:created>
  <dcterms:modified xsi:type="dcterms:W3CDTF">2026-04-21T11:14:00Z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