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2AD416" w14:textId="77777777" w:rsidR="00E04709" w:rsidRPr="00C462A0" w:rsidRDefault="00E04709" w:rsidP="00980D68">
      <w:pPr>
        <w:pStyle w:val="NoSpacing"/>
        <w:spacing w:after="120" w:line="276" w:lineRule="auto"/>
        <w:rPr>
          <w:lang w:val="en-GB"/>
        </w:rPr>
      </w:pPr>
    </w:p>
    <w:p w14:paraId="3316F77B" w14:textId="77777777" w:rsidR="00E04709" w:rsidRPr="00C462A0" w:rsidRDefault="00000000" w:rsidP="00980D68">
      <w:pPr>
        <w:pStyle w:val="NoSpacing"/>
        <w:tabs>
          <w:tab w:val="left" w:pos="3488"/>
        </w:tabs>
        <w:spacing w:after="120" w:line="276" w:lineRule="auto"/>
        <w:rPr>
          <w:lang w:val="en-GB"/>
        </w:rPr>
      </w:pPr>
      <w:r w:rsidRPr="00C462A0">
        <w:rPr>
          <w:lang w:val="en-GB"/>
        </w:rPr>
        <w:tab/>
      </w:r>
    </w:p>
    <w:p w14:paraId="6AF82067" w14:textId="77777777" w:rsidR="001243BF" w:rsidRPr="00C462A0" w:rsidRDefault="001243BF" w:rsidP="00980D68">
      <w:pPr>
        <w:pStyle w:val="NoSpacing"/>
        <w:spacing w:line="276" w:lineRule="auto"/>
        <w:rPr>
          <w:rFonts w:ascii="Titillium Web Light" w:eastAsiaTheme="majorEastAsia" w:hAnsi="Titillium Web Light" w:cstheme="majorBidi"/>
          <w:color w:val="48516A" w:themeColor="text1"/>
          <w:sz w:val="64"/>
          <w:szCs w:val="64"/>
          <w:lang w:val="en-GB"/>
        </w:rPr>
      </w:pPr>
      <w:r w:rsidRPr="00C462A0">
        <w:rPr>
          <w:rFonts w:ascii="Titillium Web Light" w:eastAsiaTheme="majorEastAsia" w:hAnsi="Titillium Web Light" w:cstheme="majorBidi"/>
          <w:color w:val="48516A" w:themeColor="text1"/>
          <w:sz w:val="64"/>
          <w:szCs w:val="64"/>
          <w:lang w:val="en-GB"/>
        </w:rPr>
        <w:t xml:space="preserve">Cybersecurity for Sustainable Systems </w:t>
      </w:r>
    </w:p>
    <w:sdt>
      <w:sdtPr>
        <w:rPr>
          <w:sz w:val="32"/>
          <w:szCs w:val="32"/>
          <w:lang w:val="en-GB"/>
        </w:rPr>
        <w:id w:val="-1382084797"/>
        <w:docPartObj>
          <w:docPartGallery w:val="Cover Pages"/>
          <w:docPartUnique/>
        </w:docPartObj>
      </w:sdtPr>
      <w:sdtEndPr>
        <w:rPr>
          <w:sz w:val="44"/>
          <w:szCs w:val="44"/>
        </w:rPr>
      </w:sdtEndPr>
      <w:sdtContent>
        <w:sdt>
          <w:sdtPr>
            <w:rPr>
              <w:rFonts w:asciiTheme="majorHAnsi" w:hAnsiTheme="majorHAnsi"/>
              <w:color w:val="00AC4E" w:themeColor="accent1"/>
              <w:sz w:val="54"/>
              <w:szCs w:val="200"/>
              <w:lang w:val="en-GB"/>
            </w:rPr>
            <w:alias w:val="Subtitle"/>
            <w:tag w:val=""/>
            <w:id w:val="1611937615"/>
          </w:sdtPr>
          <w:sdtContent>
            <w:p w14:paraId="72FBAF95" w14:textId="0E72F39A" w:rsidR="00E04709" w:rsidRPr="00C462A0" w:rsidRDefault="00980D68" w:rsidP="00980D68">
              <w:pPr>
                <w:pStyle w:val="NoSpacing"/>
                <w:spacing w:line="276" w:lineRule="auto"/>
                <w:rPr>
                  <w:color w:val="FFFFFF" w:themeColor="background1"/>
                  <w:sz w:val="44"/>
                  <w:szCs w:val="44"/>
                  <w:lang w:val="en-GB"/>
                </w:rPr>
              </w:pPr>
              <w:r w:rsidRPr="00C462A0">
                <w:rPr>
                  <w:rFonts w:asciiTheme="majorHAnsi" w:hAnsiTheme="majorHAnsi"/>
                  <w:color w:val="00AC4E" w:themeColor="accent1"/>
                  <w:sz w:val="54"/>
                  <w:szCs w:val="200"/>
                  <w:lang w:val="en-GB"/>
                </w:rPr>
                <w:t xml:space="preserve">Learner </w:t>
              </w:r>
              <w:r w:rsidR="001B6962" w:rsidRPr="00C462A0">
                <w:rPr>
                  <w:rFonts w:asciiTheme="majorHAnsi" w:hAnsiTheme="majorHAnsi"/>
                  <w:color w:val="00AC4E" w:themeColor="accent1"/>
                  <w:sz w:val="54"/>
                  <w:szCs w:val="200"/>
                  <w:lang w:val="en-GB"/>
                </w:rPr>
                <w:t xml:space="preserve">Handbook </w:t>
              </w:r>
            </w:p>
          </w:sdtContent>
        </w:sdt>
        <w:p w14:paraId="3C8BEC80" w14:textId="77777777" w:rsidR="00E04709" w:rsidRPr="00C462A0" w:rsidRDefault="00E04709" w:rsidP="00980D68">
          <w:pPr>
            <w:pStyle w:val="NoSpacing"/>
            <w:spacing w:line="276" w:lineRule="auto"/>
            <w:rPr>
              <w:color w:val="FFFFFF" w:themeColor="background1"/>
              <w:sz w:val="28"/>
              <w:szCs w:val="28"/>
              <w:lang w:val="en-GB"/>
            </w:rPr>
          </w:pPr>
        </w:p>
        <w:p w14:paraId="5EFCD0A0" w14:textId="77777777" w:rsidR="00E04709" w:rsidRPr="00C462A0" w:rsidRDefault="00E04709" w:rsidP="00980D68">
          <w:pPr>
            <w:pStyle w:val="NoSpacing"/>
            <w:spacing w:line="276" w:lineRule="auto"/>
            <w:rPr>
              <w:color w:val="FFFFFF" w:themeColor="background1"/>
              <w:sz w:val="28"/>
              <w:szCs w:val="28"/>
              <w:lang w:val="en-GB"/>
            </w:rPr>
          </w:pPr>
        </w:p>
        <w:p w14:paraId="23DC7A12" w14:textId="77777777" w:rsidR="00E04709" w:rsidRPr="00C462A0" w:rsidRDefault="00E04709" w:rsidP="00980D68">
          <w:pPr>
            <w:spacing w:line="276" w:lineRule="auto"/>
          </w:pPr>
        </w:p>
        <w:p w14:paraId="5C43C640" w14:textId="77777777" w:rsidR="00E04709" w:rsidRPr="00C462A0" w:rsidRDefault="00E04709" w:rsidP="00980D68">
          <w:pPr>
            <w:pStyle w:val="NoSpacing"/>
            <w:spacing w:line="276" w:lineRule="auto"/>
            <w:rPr>
              <w:color w:val="FFFFFF" w:themeColor="background1"/>
              <w:sz w:val="28"/>
              <w:szCs w:val="28"/>
              <w:lang w:val="en-GB"/>
            </w:rPr>
          </w:pPr>
        </w:p>
        <w:p w14:paraId="2F196A8E" w14:textId="77777777" w:rsidR="00E04709" w:rsidRPr="00C462A0" w:rsidRDefault="00E04709" w:rsidP="00980D68">
          <w:pPr>
            <w:pStyle w:val="NoSpacing"/>
            <w:spacing w:line="276" w:lineRule="auto"/>
            <w:rPr>
              <w:color w:val="FFFFFF" w:themeColor="background1"/>
              <w:sz w:val="28"/>
              <w:szCs w:val="28"/>
              <w:lang w:val="en-GB"/>
            </w:rPr>
          </w:pPr>
        </w:p>
        <w:p w14:paraId="7D19933D" w14:textId="77777777" w:rsidR="00E04709" w:rsidRPr="00C462A0" w:rsidRDefault="00E04709" w:rsidP="00980D68">
          <w:pPr>
            <w:pStyle w:val="NoSpacing"/>
            <w:spacing w:line="276" w:lineRule="auto"/>
            <w:rPr>
              <w:color w:val="FFFFFF" w:themeColor="background1"/>
              <w:sz w:val="28"/>
              <w:szCs w:val="28"/>
              <w:lang w:val="en-GB"/>
            </w:rPr>
          </w:pPr>
        </w:p>
        <w:p w14:paraId="59327A34" w14:textId="77777777" w:rsidR="00E04709" w:rsidRPr="00C462A0" w:rsidRDefault="00E04709" w:rsidP="00980D68">
          <w:pPr>
            <w:pStyle w:val="NoSpacing"/>
            <w:spacing w:line="276" w:lineRule="auto"/>
            <w:rPr>
              <w:color w:val="808080" w:themeColor="background1" w:themeShade="80"/>
              <w:sz w:val="28"/>
              <w:szCs w:val="28"/>
              <w:lang w:val="en-GB"/>
            </w:rPr>
          </w:pPr>
        </w:p>
        <w:p w14:paraId="0086FE3A" w14:textId="77777777" w:rsidR="00E04709" w:rsidRPr="00C462A0" w:rsidRDefault="00E04709" w:rsidP="00980D68">
          <w:pPr>
            <w:pStyle w:val="NoSpacing"/>
            <w:spacing w:line="276" w:lineRule="auto"/>
            <w:rPr>
              <w:color w:val="808080" w:themeColor="background1" w:themeShade="80"/>
              <w:sz w:val="28"/>
              <w:szCs w:val="28"/>
              <w:lang w:val="en-GB"/>
            </w:rPr>
          </w:pPr>
        </w:p>
        <w:p w14:paraId="55D3A8AC" w14:textId="77777777" w:rsidR="00E04709" w:rsidRPr="00C462A0" w:rsidRDefault="00E04709" w:rsidP="00980D68">
          <w:pPr>
            <w:spacing w:line="276" w:lineRule="auto"/>
            <w:rPr>
              <w:rFonts w:ascii="Arial" w:hAnsi="Arial" w:cs="Arial"/>
              <w:sz w:val="18"/>
              <w:szCs w:val="18"/>
            </w:rPr>
          </w:pPr>
        </w:p>
        <w:p w14:paraId="33FAB1C4" w14:textId="77777777" w:rsidR="00E04709" w:rsidRPr="00C462A0" w:rsidRDefault="00000000" w:rsidP="00980D68">
          <w:pPr>
            <w:spacing w:line="276" w:lineRule="auto"/>
          </w:pPr>
        </w:p>
      </w:sdtContent>
    </w:sdt>
    <w:p w14:paraId="338284FF" w14:textId="77777777" w:rsidR="00E04709" w:rsidRPr="00C462A0" w:rsidRDefault="00000000" w:rsidP="00980D68">
      <w:pPr>
        <w:spacing w:line="276" w:lineRule="auto"/>
      </w:pPr>
      <w:r w:rsidRPr="00C462A0">
        <w:br w:type="page" w:clear="all"/>
      </w:r>
    </w:p>
    <w:p w14:paraId="21F0095B" w14:textId="77777777" w:rsidR="0079138D" w:rsidRPr="00C462A0" w:rsidRDefault="00000000" w:rsidP="0079138D">
      <w:pPr>
        <w:spacing w:line="276" w:lineRule="auto"/>
      </w:pPr>
      <w:r w:rsidRPr="00C462A0">
        <w:lastRenderedPageBreak/>
        <w:t>Copyright © 2024 Digital4Sustainability. The project resources contained herein are publicly available under the Creative Commons license 4.0 B.Y.</w:t>
      </w:r>
      <w:bookmarkStart w:id="0" w:name="_Toc170486835"/>
    </w:p>
    <w:p w14:paraId="55A1200A" w14:textId="5FC4F4CB" w:rsidR="00E04709" w:rsidRPr="00C462A0" w:rsidRDefault="00000000" w:rsidP="0079138D">
      <w:pPr>
        <w:spacing w:line="276" w:lineRule="auto"/>
      </w:pPr>
      <w:r w:rsidRPr="00C462A0">
        <w:rPr>
          <w:noProof/>
        </w:rPr>
        <mc:AlternateContent>
          <mc:Choice Requires="wps">
            <w:drawing>
              <wp:anchor distT="0" distB="0" distL="114300" distR="114300" simplePos="0" relativeHeight="251662336" behindDoc="1" locked="0" layoutInCell="1" allowOverlap="1" wp14:anchorId="2B62C4E3" wp14:editId="0727F6CF">
                <wp:simplePos x="0" y="0"/>
                <wp:positionH relativeFrom="column">
                  <wp:posOffset>0</wp:posOffset>
                </wp:positionH>
                <wp:positionV relativeFrom="paragraph">
                  <wp:posOffset>10328275</wp:posOffset>
                </wp:positionV>
                <wp:extent cx="7553325" cy="45720"/>
                <wp:effectExtent l="0" t="0" r="28575" b="11430"/>
                <wp:wrapNone/>
                <wp:docPr id="8" name="Rectangle 12721509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3325" cy="45720"/>
                        </a:xfrm>
                        <a:prstGeom prst="rect">
                          <a:avLst/>
                        </a:prstGeom>
                        <a:solidFill>
                          <a:srgbClr val="4F81BC"/>
                        </a:solidFill>
                        <a:ln w="9525">
                          <a:solidFill>
                            <a:srgbClr val="4F81BC"/>
                          </a:solidFill>
                          <a:miter lim="800000"/>
                          <a:headEnd/>
                          <a:tailEnd/>
                        </a:ln>
                      </wps:spPr>
                      <wps:txbx>
                        <w:txbxContent>
                          <w:p w14:paraId="78B8EA9F" w14:textId="77777777" w:rsidR="00E04709" w:rsidRDefault="00E0470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62C4E3" id="Rectangle 1272150919" o:spid="_x0000_s1026" style="position:absolute;margin-left:0;margin-top:813.25pt;width:594.75pt;height:3.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" fillcolor="#4f81bc" strokecolor="#4f81bc">
                <v:textbox>
                  <w:txbxContent>
                    <w:p w14:paraId="78B8EA9F" w14:textId="77777777" w:rsidR="00E04709" w:rsidRDefault="00E04709"/>
                  </w:txbxContent>
                </v:textbox>
              </v:rect>
            </w:pict>
          </mc:Fallback>
        </mc:AlternateContent>
      </w:r>
      <w:bookmarkEnd w:id="0"/>
    </w:p>
    <w:tbl>
      <w:tblPr>
        <w:tblStyle w:val="GridTable4-Accent22"/>
        <w:tblW w:w="9766" w:type="dxa"/>
        <w:tblInd w:w="-5" w:type="dxa"/>
        <w:tblLook w:val="04A0" w:firstRow="1" w:lastRow="0" w:firstColumn="1" w:lastColumn="0" w:noHBand="0" w:noVBand="1"/>
      </w:tblPr>
      <w:tblGrid>
        <w:gridCol w:w="3397"/>
        <w:gridCol w:w="6369"/>
      </w:tblGrid>
      <w:tr w:rsidR="00E04709" w:rsidRPr="00C462A0" w14:paraId="5884787F" w14:textId="77777777" w:rsidTr="002261E5">
        <w:trPr>
          <w:cnfStyle w:val="100000000000" w:firstRow="1" w:lastRow="0" w:firstColumn="0" w:lastColumn="0" w:oddVBand="0" w:evenVBand="0" w:oddHBand="0"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3397" w:type="dxa"/>
          </w:tcPr>
          <w:p w14:paraId="21570EFA" w14:textId="77777777" w:rsidR="00E04709" w:rsidRPr="00C462A0" w:rsidRDefault="00000000" w:rsidP="00980D68">
            <w:pPr>
              <w:spacing w:line="276" w:lineRule="auto"/>
            </w:pPr>
            <w:r w:rsidRPr="00C462A0">
              <w:t>Project</w:t>
            </w:r>
          </w:p>
        </w:tc>
        <w:tc>
          <w:tcPr>
            <w:tcW w:w="6369" w:type="dxa"/>
          </w:tcPr>
          <w:p w14:paraId="23E66384" w14:textId="77777777" w:rsidR="00E04709" w:rsidRPr="00C462A0" w:rsidRDefault="00000000" w:rsidP="00980D68">
            <w:pPr>
              <w:spacing w:line="276" w:lineRule="auto"/>
              <w:cnfStyle w:val="100000000000" w:firstRow="1" w:lastRow="0" w:firstColumn="0" w:lastColumn="0" w:oddVBand="0" w:evenVBand="0" w:oddHBand="0" w:evenHBand="0" w:firstRowFirstColumn="0" w:firstRowLastColumn="0" w:lastRowFirstColumn="0" w:lastRowLastColumn="0"/>
            </w:pPr>
            <w:r w:rsidRPr="00C462A0">
              <w:t>Digital4Sustainability</w:t>
            </w:r>
          </w:p>
        </w:tc>
      </w:tr>
      <w:tr w:rsidR="00E04709" w:rsidRPr="00C462A0" w14:paraId="0DF8C853" w14:textId="77777777" w:rsidTr="002261E5">
        <w:trPr>
          <w:trHeight w:val="478"/>
        </w:trPr>
        <w:tc>
          <w:tcPr>
            <w:cnfStyle w:val="001000000000" w:firstRow="0" w:lastRow="0" w:firstColumn="1" w:lastColumn="0" w:oddVBand="0" w:evenVBand="0" w:oddHBand="0" w:evenHBand="0" w:firstRowFirstColumn="0" w:firstRowLastColumn="0" w:lastRowFirstColumn="0" w:lastRowLastColumn="0"/>
            <w:tcW w:w="3397" w:type="dxa"/>
          </w:tcPr>
          <w:p w14:paraId="6D0F8D28" w14:textId="77777777" w:rsidR="00E04709" w:rsidRPr="00C462A0" w:rsidRDefault="00000000" w:rsidP="00980D68">
            <w:pPr>
              <w:spacing w:line="276" w:lineRule="auto"/>
            </w:pPr>
            <w:r w:rsidRPr="00C462A0">
              <w:t>Project number</w:t>
            </w:r>
          </w:p>
        </w:tc>
        <w:tc>
          <w:tcPr>
            <w:tcW w:w="6369" w:type="dxa"/>
          </w:tcPr>
          <w:p w14:paraId="08A71C63" w14:textId="77777777" w:rsidR="00E04709" w:rsidRPr="00C462A0" w:rsidRDefault="00000000" w:rsidP="00980D68">
            <w:pPr>
              <w:spacing w:line="276" w:lineRule="auto"/>
              <w:cnfStyle w:val="000000000000" w:firstRow="0" w:lastRow="0" w:firstColumn="0" w:lastColumn="0" w:oddVBand="0" w:evenVBand="0" w:oddHBand="0" w:evenHBand="0" w:firstRowFirstColumn="0" w:firstRowLastColumn="0" w:lastRowFirstColumn="0" w:lastRowLastColumn="0"/>
            </w:pPr>
            <w:r w:rsidRPr="00C462A0">
              <w:t>101140316</w:t>
            </w:r>
          </w:p>
        </w:tc>
      </w:tr>
      <w:tr w:rsidR="00E04709" w:rsidRPr="00C462A0" w14:paraId="010B01E9" w14:textId="77777777" w:rsidTr="002261E5">
        <w:trPr>
          <w:cnfStyle w:val="000000010000" w:firstRow="0" w:lastRow="0" w:firstColumn="0" w:lastColumn="0" w:oddVBand="0" w:evenVBand="0" w:oddHBand="0" w:evenHBand="1"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3397" w:type="dxa"/>
          </w:tcPr>
          <w:p w14:paraId="1C29E123" w14:textId="77777777" w:rsidR="00E04709" w:rsidRPr="00C462A0" w:rsidRDefault="00000000" w:rsidP="00980D68">
            <w:pPr>
              <w:spacing w:line="276" w:lineRule="auto"/>
            </w:pPr>
            <w:r w:rsidRPr="00C462A0">
              <w:t>Document Title</w:t>
            </w:r>
          </w:p>
        </w:tc>
        <w:tc>
          <w:tcPr>
            <w:tcW w:w="6369" w:type="dxa"/>
          </w:tcPr>
          <w:p w14:paraId="0DAEAC0C" w14:textId="631F9806" w:rsidR="00E04709" w:rsidRPr="00C462A0" w:rsidRDefault="001243BF" w:rsidP="00980D68">
            <w:pPr>
              <w:spacing w:line="276" w:lineRule="auto"/>
              <w:cnfStyle w:val="000000010000" w:firstRow="0" w:lastRow="0" w:firstColumn="0" w:lastColumn="0" w:oddVBand="0" w:evenVBand="0" w:oddHBand="0" w:evenHBand="1" w:firstRowFirstColumn="0" w:firstRowLastColumn="0" w:lastRowFirstColumn="0" w:lastRowLastColumn="0"/>
            </w:pPr>
            <w:r w:rsidRPr="00C462A0">
              <w:t xml:space="preserve">Cybersecurity for Sustainable Systems </w:t>
            </w:r>
            <w:r w:rsidR="00725F35" w:rsidRPr="00C462A0">
              <w:t xml:space="preserve">– </w:t>
            </w:r>
            <w:r w:rsidR="009E2B70" w:rsidRPr="00C462A0">
              <w:t>Learner</w:t>
            </w:r>
            <w:r w:rsidR="00FF0F54" w:rsidRPr="00C462A0">
              <w:t xml:space="preserve"> </w:t>
            </w:r>
            <w:r w:rsidR="001B6962" w:rsidRPr="00C462A0">
              <w:t>handbook</w:t>
            </w:r>
          </w:p>
        </w:tc>
      </w:tr>
      <w:tr w:rsidR="00E04709" w:rsidRPr="00C462A0" w14:paraId="006792DD" w14:textId="77777777" w:rsidTr="002261E5">
        <w:trPr>
          <w:trHeight w:val="795"/>
        </w:trPr>
        <w:tc>
          <w:tcPr>
            <w:cnfStyle w:val="001000000000" w:firstRow="0" w:lastRow="0" w:firstColumn="1" w:lastColumn="0" w:oddVBand="0" w:evenVBand="0" w:oddHBand="0" w:evenHBand="0" w:firstRowFirstColumn="0" w:firstRowLastColumn="0" w:lastRowFirstColumn="0" w:lastRowLastColumn="0"/>
            <w:tcW w:w="3397" w:type="dxa"/>
          </w:tcPr>
          <w:p w14:paraId="1EFCBB37" w14:textId="77777777" w:rsidR="00E04709" w:rsidRPr="00C462A0" w:rsidRDefault="00000000" w:rsidP="00980D68">
            <w:pPr>
              <w:spacing w:line="276" w:lineRule="auto"/>
            </w:pPr>
            <w:r w:rsidRPr="00C462A0">
              <w:rPr>
                <w:rFonts w:eastAsia="Times New Roman"/>
                <w:lang w:eastAsia="en-IE"/>
              </w:rPr>
              <w:t>Authors </w:t>
            </w:r>
          </w:p>
        </w:tc>
        <w:tc>
          <w:tcPr>
            <w:tcW w:w="6369" w:type="dxa"/>
          </w:tcPr>
          <w:p w14:paraId="2EFC0F59" w14:textId="77777777" w:rsidR="001243BF" w:rsidRPr="00C462A0" w:rsidRDefault="001243BF" w:rsidP="001243BF">
            <w:pPr>
              <w:spacing w:line="276" w:lineRule="auto"/>
              <w:cnfStyle w:val="000000000000" w:firstRow="0" w:lastRow="0" w:firstColumn="0" w:lastColumn="0" w:oddVBand="0" w:evenVBand="0" w:oddHBand="0" w:evenHBand="0" w:firstRowFirstColumn="0" w:firstRowLastColumn="0" w:lastRowFirstColumn="0" w:lastRowLastColumn="0"/>
            </w:pPr>
            <w:r w:rsidRPr="00C462A0">
              <w:t>Enrico Frumento, CEFRIEL</w:t>
            </w:r>
          </w:p>
          <w:p w14:paraId="16E59324" w14:textId="77777777" w:rsidR="001243BF" w:rsidRPr="00C462A0" w:rsidRDefault="001243BF" w:rsidP="001243BF">
            <w:pPr>
              <w:spacing w:line="276" w:lineRule="auto"/>
              <w:cnfStyle w:val="000000000000" w:firstRow="0" w:lastRow="0" w:firstColumn="0" w:lastColumn="0" w:oddVBand="0" w:evenVBand="0" w:oddHBand="0" w:evenHBand="0" w:firstRowFirstColumn="0" w:firstRowLastColumn="0" w:lastRowFirstColumn="0" w:lastRowLastColumn="0"/>
            </w:pPr>
            <w:r w:rsidRPr="00C462A0">
              <w:t>Alessia Libertucci, CEFRIEL</w:t>
            </w:r>
          </w:p>
          <w:p w14:paraId="60A6F73C" w14:textId="004A7C56" w:rsidR="00E04709" w:rsidRPr="00C462A0" w:rsidRDefault="001243BF" w:rsidP="001243BF">
            <w:pPr>
              <w:spacing w:line="276" w:lineRule="auto"/>
              <w:cnfStyle w:val="000000000000" w:firstRow="0" w:lastRow="0" w:firstColumn="0" w:lastColumn="0" w:oddVBand="0" w:evenVBand="0" w:oddHBand="0" w:evenHBand="0" w:firstRowFirstColumn="0" w:firstRowLastColumn="0" w:lastRowFirstColumn="0" w:lastRowLastColumn="0"/>
            </w:pPr>
            <w:r w:rsidRPr="00C462A0">
              <w:t>Valentina Ferrarese, CEFRIEL</w:t>
            </w:r>
          </w:p>
        </w:tc>
      </w:tr>
      <w:tr w:rsidR="001243BF" w:rsidRPr="00C462A0" w14:paraId="4D006FC7" w14:textId="77777777" w:rsidTr="002261E5">
        <w:trPr>
          <w:cnfStyle w:val="000000010000" w:firstRow="0" w:lastRow="0" w:firstColumn="0" w:lastColumn="0" w:oddVBand="0" w:evenVBand="0" w:oddHBand="0" w:evenHBand="1" w:firstRowFirstColumn="0" w:firstRowLastColumn="0" w:lastRowFirstColumn="0" w:lastRowLastColumn="0"/>
          <w:trHeight w:val="613"/>
        </w:trPr>
        <w:tc>
          <w:tcPr>
            <w:cnfStyle w:val="001000000000" w:firstRow="0" w:lastRow="0" w:firstColumn="1" w:lastColumn="0" w:oddVBand="0" w:evenVBand="0" w:oddHBand="0" w:evenHBand="0" w:firstRowFirstColumn="0" w:firstRowLastColumn="0" w:lastRowFirstColumn="0" w:lastRowLastColumn="0"/>
            <w:tcW w:w="3397" w:type="dxa"/>
          </w:tcPr>
          <w:p w14:paraId="2079E880" w14:textId="77777777" w:rsidR="001243BF" w:rsidRPr="00C462A0" w:rsidRDefault="001243BF" w:rsidP="001243BF">
            <w:pPr>
              <w:spacing w:line="276" w:lineRule="auto"/>
            </w:pPr>
            <w:r w:rsidRPr="00C462A0">
              <w:rPr>
                <w:rFonts w:eastAsia="Times New Roman"/>
                <w:lang w:eastAsia="en-IE"/>
              </w:rPr>
              <w:t>Reviewers </w:t>
            </w:r>
          </w:p>
        </w:tc>
        <w:tc>
          <w:tcPr>
            <w:tcW w:w="6369" w:type="dxa"/>
          </w:tcPr>
          <w:p w14:paraId="7FD94386" w14:textId="2FA64EE7" w:rsidR="001243BF" w:rsidRPr="00C462A0" w:rsidRDefault="001243BF" w:rsidP="001243BF">
            <w:pPr>
              <w:spacing w:line="276" w:lineRule="auto"/>
              <w:cnfStyle w:val="000000010000" w:firstRow="0" w:lastRow="0" w:firstColumn="0" w:lastColumn="0" w:oddVBand="0" w:evenVBand="0" w:oddHBand="0" w:evenHBand="1" w:firstRowFirstColumn="0" w:firstRowLastColumn="0" w:lastRowFirstColumn="0" w:lastRowLastColumn="0"/>
            </w:pPr>
            <w:r w:rsidRPr="00C462A0">
              <w:t>Delia Radziuk, ClujIT</w:t>
            </w:r>
          </w:p>
        </w:tc>
      </w:tr>
      <w:tr w:rsidR="002261E5" w:rsidRPr="00B51613" w14:paraId="434CD059" w14:textId="77777777" w:rsidTr="002261E5">
        <w:trPr>
          <w:trHeight w:val="613"/>
        </w:trPr>
        <w:tc>
          <w:tcPr>
            <w:cnfStyle w:val="001000000000" w:firstRow="0" w:lastRow="0" w:firstColumn="1" w:lastColumn="0" w:oddVBand="0" w:evenVBand="0" w:oddHBand="0" w:evenHBand="0" w:firstRowFirstColumn="0" w:firstRowLastColumn="0" w:lastRowFirstColumn="0" w:lastRowLastColumn="0"/>
            <w:tcW w:w="3397" w:type="dxa"/>
          </w:tcPr>
          <w:p w14:paraId="3D7F9D66" w14:textId="77777777" w:rsidR="002261E5" w:rsidRPr="00B51613" w:rsidRDefault="002261E5" w:rsidP="000645F1">
            <w:pPr>
              <w:spacing w:line="312" w:lineRule="auto"/>
              <w:rPr>
                <w:rFonts w:ascii="Poppins" w:eastAsia="Times New Roman" w:hAnsi="Poppins" w:cs="Times New Roman"/>
                <w:lang w:eastAsia="en-IE"/>
              </w:rPr>
            </w:pPr>
            <w:r w:rsidRPr="00B51613">
              <w:rPr>
                <w:rFonts w:ascii="Poppins" w:eastAsia="Arial" w:hAnsi="Poppins" w:cs="Times New Roman"/>
              </w:rPr>
              <w:t>Editor</w:t>
            </w:r>
          </w:p>
        </w:tc>
        <w:tc>
          <w:tcPr>
            <w:tcW w:w="6369" w:type="dxa"/>
          </w:tcPr>
          <w:p w14:paraId="63C62380" w14:textId="77777777" w:rsidR="002261E5" w:rsidRPr="00B51613" w:rsidRDefault="002261E5" w:rsidP="000645F1">
            <w:pPr>
              <w:spacing w:line="312" w:lineRule="auto"/>
              <w:cnfStyle w:val="000000000000" w:firstRow="0" w:lastRow="0" w:firstColumn="0" w:lastColumn="0" w:oddVBand="0" w:evenVBand="0" w:oddHBand="0" w:evenHBand="0" w:firstRowFirstColumn="0" w:firstRowLastColumn="0" w:lastRowFirstColumn="0" w:lastRowLastColumn="0"/>
              <w:rPr>
                <w:rFonts w:ascii="Poppins" w:eastAsia="Arial" w:hAnsi="Poppins" w:cs="Times New Roman"/>
              </w:rPr>
            </w:pPr>
            <w:r w:rsidRPr="00B51613">
              <w:rPr>
                <w:rFonts w:ascii="Poppins" w:eastAsia="Arial" w:hAnsi="Poppins" w:cs="Times New Roman"/>
              </w:rPr>
              <w:t>Katarina Cicvarić, Profil Klett</w:t>
            </w:r>
          </w:p>
        </w:tc>
      </w:tr>
      <w:tr w:rsidR="002261E5" w:rsidRPr="00B51613" w14:paraId="51890E54" w14:textId="77777777" w:rsidTr="002261E5">
        <w:trPr>
          <w:cnfStyle w:val="000000010000" w:firstRow="0" w:lastRow="0" w:firstColumn="0" w:lastColumn="0" w:oddVBand="0" w:evenVBand="0" w:oddHBand="0" w:evenHBand="1" w:firstRowFirstColumn="0" w:firstRowLastColumn="0" w:lastRowFirstColumn="0" w:lastRowLastColumn="0"/>
          <w:trHeight w:val="613"/>
        </w:trPr>
        <w:tc>
          <w:tcPr>
            <w:cnfStyle w:val="001000000000" w:firstRow="0" w:lastRow="0" w:firstColumn="1" w:lastColumn="0" w:oddVBand="0" w:evenVBand="0" w:oddHBand="0" w:evenHBand="0" w:firstRowFirstColumn="0" w:firstRowLastColumn="0" w:lastRowFirstColumn="0" w:lastRowLastColumn="0"/>
            <w:tcW w:w="3397" w:type="dxa"/>
          </w:tcPr>
          <w:p w14:paraId="74E1C0EB" w14:textId="77777777" w:rsidR="002261E5" w:rsidRPr="00B51613" w:rsidRDefault="002261E5" w:rsidP="000645F1">
            <w:pPr>
              <w:spacing w:line="312" w:lineRule="auto"/>
              <w:rPr>
                <w:rFonts w:ascii="Poppins" w:eastAsia="Times New Roman" w:hAnsi="Poppins" w:cs="Times New Roman"/>
                <w:lang w:eastAsia="en-IE"/>
              </w:rPr>
            </w:pPr>
            <w:r w:rsidRPr="00B51613">
              <w:rPr>
                <w:rFonts w:ascii="Poppins" w:eastAsia="Times New Roman" w:hAnsi="Poppins" w:cs="Times New Roman"/>
                <w:lang w:eastAsia="en-IE"/>
              </w:rPr>
              <w:t>Instructional Designer</w:t>
            </w:r>
          </w:p>
        </w:tc>
        <w:tc>
          <w:tcPr>
            <w:tcW w:w="6369" w:type="dxa"/>
          </w:tcPr>
          <w:p w14:paraId="13B2E85E" w14:textId="77777777" w:rsidR="002261E5" w:rsidRPr="00B51613" w:rsidRDefault="002261E5" w:rsidP="000645F1">
            <w:pPr>
              <w:spacing w:line="312" w:lineRule="auto"/>
              <w:cnfStyle w:val="000000010000" w:firstRow="0" w:lastRow="0" w:firstColumn="0" w:lastColumn="0" w:oddVBand="0" w:evenVBand="0" w:oddHBand="0" w:evenHBand="1" w:firstRowFirstColumn="0" w:firstRowLastColumn="0" w:lastRowFirstColumn="0" w:lastRowLastColumn="0"/>
              <w:rPr>
                <w:rFonts w:ascii="Poppins" w:eastAsia="Arial" w:hAnsi="Poppins" w:cs="Times New Roman"/>
              </w:rPr>
            </w:pPr>
            <w:r w:rsidRPr="00B51613">
              <w:rPr>
                <w:rFonts w:ascii="Poppins" w:eastAsia="Arial" w:hAnsi="Poppins" w:cs="Times New Roman"/>
              </w:rPr>
              <w:t>Kristina Ferara Blašković, Profil Klett</w:t>
            </w:r>
          </w:p>
        </w:tc>
      </w:tr>
      <w:tr w:rsidR="002261E5" w:rsidRPr="00B51613" w14:paraId="37AE0E16" w14:textId="77777777" w:rsidTr="002261E5">
        <w:trPr>
          <w:trHeight w:val="613"/>
        </w:trPr>
        <w:tc>
          <w:tcPr>
            <w:cnfStyle w:val="001000000000" w:firstRow="0" w:lastRow="0" w:firstColumn="1" w:lastColumn="0" w:oddVBand="0" w:evenVBand="0" w:oddHBand="0" w:evenHBand="0" w:firstRowFirstColumn="0" w:firstRowLastColumn="0" w:lastRowFirstColumn="0" w:lastRowLastColumn="0"/>
            <w:tcW w:w="3397" w:type="dxa"/>
          </w:tcPr>
          <w:p w14:paraId="11F77E7E" w14:textId="77777777" w:rsidR="002261E5" w:rsidRPr="00B51613" w:rsidRDefault="002261E5" w:rsidP="000645F1">
            <w:pPr>
              <w:spacing w:line="312" w:lineRule="auto"/>
              <w:rPr>
                <w:rFonts w:ascii="Poppins" w:eastAsia="Times New Roman" w:hAnsi="Poppins" w:cs="Times New Roman"/>
                <w:lang w:eastAsia="en-IE"/>
              </w:rPr>
            </w:pPr>
            <w:r w:rsidRPr="00B51613">
              <w:rPr>
                <w:rFonts w:ascii="Poppins" w:eastAsia="Times New Roman" w:hAnsi="Poppins" w:cs="Times New Roman"/>
                <w:lang w:eastAsia="en-IE"/>
              </w:rPr>
              <w:t>Digital Content Manager</w:t>
            </w:r>
          </w:p>
        </w:tc>
        <w:tc>
          <w:tcPr>
            <w:tcW w:w="6369" w:type="dxa"/>
          </w:tcPr>
          <w:p w14:paraId="5EBC504F" w14:textId="77777777" w:rsidR="002261E5" w:rsidRPr="00B51613" w:rsidRDefault="002261E5" w:rsidP="000645F1">
            <w:pPr>
              <w:spacing w:line="312" w:lineRule="auto"/>
              <w:cnfStyle w:val="000000000000" w:firstRow="0" w:lastRow="0" w:firstColumn="0" w:lastColumn="0" w:oddVBand="0" w:evenVBand="0" w:oddHBand="0" w:evenHBand="0" w:firstRowFirstColumn="0" w:firstRowLastColumn="0" w:lastRowFirstColumn="0" w:lastRowLastColumn="0"/>
              <w:rPr>
                <w:rFonts w:ascii="Poppins" w:eastAsia="Arial" w:hAnsi="Poppins" w:cs="Times New Roman"/>
              </w:rPr>
            </w:pPr>
            <w:r w:rsidRPr="00B51613">
              <w:rPr>
                <w:rFonts w:ascii="Poppins" w:eastAsia="Arial" w:hAnsi="Poppins" w:cs="Times New Roman"/>
              </w:rPr>
              <w:t>Ivana Bošnjak, Profil Klett</w:t>
            </w:r>
          </w:p>
          <w:p w14:paraId="7961CACD" w14:textId="77777777" w:rsidR="002261E5" w:rsidRPr="00B51613" w:rsidRDefault="002261E5" w:rsidP="000645F1">
            <w:pPr>
              <w:spacing w:line="312" w:lineRule="auto"/>
              <w:cnfStyle w:val="000000000000" w:firstRow="0" w:lastRow="0" w:firstColumn="0" w:lastColumn="0" w:oddVBand="0" w:evenVBand="0" w:oddHBand="0" w:evenHBand="0" w:firstRowFirstColumn="0" w:firstRowLastColumn="0" w:lastRowFirstColumn="0" w:lastRowLastColumn="0"/>
              <w:rPr>
                <w:rFonts w:ascii="Poppins" w:eastAsia="Arial" w:hAnsi="Poppins" w:cs="Times New Roman"/>
              </w:rPr>
            </w:pPr>
            <w:r w:rsidRPr="00B51613">
              <w:rPr>
                <w:rFonts w:ascii="Poppins" w:eastAsia="Arial" w:hAnsi="Poppins" w:cs="Times New Roman"/>
              </w:rPr>
              <w:t>Andra Punjek, Profil Klett</w:t>
            </w:r>
          </w:p>
        </w:tc>
      </w:tr>
    </w:tbl>
    <w:p w14:paraId="2658C49F" w14:textId="77777777" w:rsidR="00E04709" w:rsidRPr="00C462A0" w:rsidRDefault="00E04709" w:rsidP="00980D68">
      <w:pPr>
        <w:spacing w:line="276" w:lineRule="auto"/>
      </w:pPr>
    </w:p>
    <w:p w14:paraId="3B2137C8" w14:textId="77777777" w:rsidR="0079138D" w:rsidRPr="00C462A0" w:rsidRDefault="0079138D" w:rsidP="0079138D">
      <w:pPr>
        <w:spacing w:line="276" w:lineRule="auto"/>
        <w:jc w:val="both"/>
      </w:pPr>
      <w:r w:rsidRPr="00C462A0">
        <w:t>This handbook serves as the comprehensive learning material for the entire upskilling curriculum, covering all modules in a single document. It is structured into Modules and thematic Topics, each designed to achieve specific learning outcomes. The learning content is supported by multimedia elements, self-assessment quizzes, and additional learning resources.</w:t>
      </w:r>
    </w:p>
    <w:p w14:paraId="5A5B6C75" w14:textId="77777777" w:rsidR="00091F56" w:rsidRPr="00C462A0" w:rsidRDefault="00091F56" w:rsidP="00980D68">
      <w:pPr>
        <w:spacing w:line="276" w:lineRule="auto"/>
        <w:rPr>
          <w:b/>
          <w:bCs/>
        </w:rPr>
      </w:pPr>
    </w:p>
    <w:p w14:paraId="4CA6F253" w14:textId="77777777" w:rsidR="009759FE" w:rsidRPr="00C462A0" w:rsidRDefault="009759FE" w:rsidP="00980D68">
      <w:pPr>
        <w:spacing w:line="276" w:lineRule="auto"/>
        <w:rPr>
          <w:b/>
          <w:bCs/>
        </w:rPr>
      </w:pPr>
    </w:p>
    <w:p w14:paraId="36D70A54" w14:textId="77777777" w:rsidR="009759FE" w:rsidRPr="00C462A0" w:rsidRDefault="009759FE" w:rsidP="00980D68">
      <w:pPr>
        <w:spacing w:line="276" w:lineRule="auto"/>
        <w:rPr>
          <w:b/>
          <w:bCs/>
        </w:rPr>
      </w:pPr>
    </w:p>
    <w:p w14:paraId="0B242BB6" w14:textId="77777777" w:rsidR="0079138D" w:rsidRPr="00C462A0" w:rsidRDefault="0079138D" w:rsidP="00980D68">
      <w:pPr>
        <w:spacing w:line="276" w:lineRule="auto"/>
        <w:rPr>
          <w:b/>
          <w:bCs/>
        </w:rPr>
      </w:pPr>
    </w:p>
    <w:p w14:paraId="6FE92F35" w14:textId="77777777" w:rsidR="0079138D" w:rsidRPr="00C462A0" w:rsidRDefault="0079138D" w:rsidP="00980D68">
      <w:pPr>
        <w:spacing w:line="276" w:lineRule="auto"/>
        <w:rPr>
          <w:b/>
          <w:bCs/>
        </w:rPr>
      </w:pPr>
    </w:p>
    <w:p w14:paraId="473A7D42" w14:textId="31737EDF" w:rsidR="00E04709" w:rsidRPr="00C462A0" w:rsidRDefault="00000000" w:rsidP="00980D68">
      <w:pPr>
        <w:spacing w:line="276" w:lineRule="auto"/>
        <w:rPr>
          <w:b/>
          <w:bCs/>
        </w:rPr>
      </w:pPr>
      <w:r w:rsidRPr="00C462A0">
        <w:rPr>
          <w:b/>
          <w:bCs/>
        </w:rPr>
        <w:t xml:space="preserve">Disclaimer </w:t>
      </w:r>
    </w:p>
    <w:p w14:paraId="51716B44" w14:textId="77777777" w:rsidR="001B6962" w:rsidRPr="00C462A0" w:rsidRDefault="00000000" w:rsidP="00980D68">
      <w:pPr>
        <w:spacing w:line="276" w:lineRule="auto"/>
        <w:jc w:val="both"/>
      </w:pPr>
      <w:r w:rsidRPr="00C462A0">
        <w:t>Funded by the European Union. Views and opinions expressed are however those of the author(s) only and do not necessarily reflect those of the European Union or the European Education and Culture Executive Agency (EACEA). Neither the European Union nor EACEA can be held responsible for them.</w:t>
      </w:r>
    </w:p>
    <w:p w14:paraId="03767A07" w14:textId="2C12A1F0" w:rsidR="001B6962" w:rsidRPr="00C462A0" w:rsidRDefault="001B6962" w:rsidP="00980D68">
      <w:pPr>
        <w:spacing w:line="276" w:lineRule="auto"/>
        <w:jc w:val="both"/>
      </w:pPr>
      <w:r w:rsidRPr="00C462A0">
        <w:rPr>
          <w:b/>
          <w:bCs/>
        </w:rPr>
        <w:t xml:space="preserve"> </w:t>
      </w:r>
    </w:p>
    <w:p w14:paraId="5818C53C" w14:textId="3371D7E0" w:rsidR="00E04709" w:rsidRPr="00C462A0" w:rsidRDefault="00E04709" w:rsidP="00980D68">
      <w:pPr>
        <w:spacing w:line="276" w:lineRule="auto"/>
        <w:jc w:val="both"/>
        <w:rPr>
          <w:szCs w:val="20"/>
        </w:rPr>
      </w:pPr>
    </w:p>
    <w:p w14:paraId="2E39BF91" w14:textId="1684DB89" w:rsidR="001B6962" w:rsidRPr="00C462A0" w:rsidRDefault="001B6962" w:rsidP="00C462A0">
      <w:pPr>
        <w:pStyle w:val="Heading1"/>
        <w:numPr>
          <w:ilvl w:val="0"/>
          <w:numId w:val="0"/>
        </w:numPr>
        <w:spacing w:line="276" w:lineRule="auto"/>
        <w:rPr>
          <w:rFonts w:asciiTheme="minorHAnsi" w:eastAsia="Arial" w:hAnsiTheme="minorHAnsi" w:cstheme="minorHAnsi"/>
          <w:b/>
          <w:bCs/>
          <w:sz w:val="24"/>
          <w:szCs w:val="24"/>
        </w:rPr>
      </w:pPr>
    </w:p>
    <w:sdt>
      <w:sdtPr>
        <w:rPr>
          <w:rFonts w:asciiTheme="minorHAnsi" w:eastAsiaTheme="minorEastAsia" w:hAnsiTheme="minorHAnsi" w:cstheme="minorBidi"/>
          <w:color w:val="auto"/>
          <w:sz w:val="20"/>
          <w:szCs w:val="21"/>
        </w:rPr>
        <w:id w:val="526991240"/>
        <w:docPartObj>
          <w:docPartGallery w:val="Table of Contents"/>
          <w:docPartUnique/>
        </w:docPartObj>
      </w:sdtPr>
      <w:sdtEndPr>
        <w:rPr>
          <w:b/>
          <w:bCs/>
        </w:rPr>
      </w:sdtEndPr>
      <w:sdtContent>
        <w:p w14:paraId="0D19506B" w14:textId="10A3BA55" w:rsidR="00BD0CF5" w:rsidRPr="00C462A0" w:rsidRDefault="00BD0CF5" w:rsidP="00BD0CF5">
          <w:pPr>
            <w:pStyle w:val="TOCHeading"/>
            <w:numPr>
              <w:ilvl w:val="0"/>
              <w:numId w:val="0"/>
            </w:numPr>
            <w:ind w:left="426" w:hanging="360"/>
            <w:rPr>
              <w:sz w:val="40"/>
              <w:szCs w:val="40"/>
            </w:rPr>
          </w:pPr>
          <w:r w:rsidRPr="00C462A0">
            <w:rPr>
              <w:sz w:val="40"/>
              <w:szCs w:val="40"/>
            </w:rPr>
            <w:t>Table of Contents</w:t>
          </w:r>
        </w:p>
        <w:p w14:paraId="0FBEC9C8" w14:textId="58763D37" w:rsidR="0075055D" w:rsidRPr="00C462A0" w:rsidRDefault="00BD0CF5">
          <w:pPr>
            <w:pStyle w:val="TOC1"/>
            <w:tabs>
              <w:tab w:val="right" w:leader="dot" w:pos="9628"/>
            </w:tabs>
            <w:rPr>
              <w:rFonts w:cstheme="minorBidi"/>
              <w:b w:val="0"/>
              <w:bCs w:val="0"/>
              <w:i w:val="0"/>
              <w:iCs w:val="0"/>
              <w:noProof/>
              <w:kern w:val="2"/>
              <w:lang w:eastAsia="hr-HR"/>
              <w14:ligatures w14:val="standardContextual"/>
            </w:rPr>
          </w:pPr>
          <w:r w:rsidRPr="00C462A0">
            <w:fldChar w:fldCharType="begin"/>
          </w:r>
          <w:r w:rsidRPr="00C462A0">
            <w:instrText xml:space="preserve"> TOC \o "1-3" \h \z \u </w:instrText>
          </w:r>
          <w:r w:rsidRPr="00C462A0">
            <w:fldChar w:fldCharType="separate"/>
          </w:r>
          <w:hyperlink w:anchor="_Toc227623398" w:history="1">
            <w:r w:rsidR="0075055D" w:rsidRPr="00C462A0">
              <w:rPr>
                <w:rStyle w:val="Hyperlink"/>
                <w:noProof/>
              </w:rPr>
              <w:t>Introduction to Upskilling Curricula: Cybersecurity for Sustainable Systems</w:t>
            </w:r>
            <w:r w:rsidR="0075055D" w:rsidRPr="00C462A0">
              <w:rPr>
                <w:noProof/>
                <w:webHidden/>
              </w:rPr>
              <w:tab/>
            </w:r>
            <w:r w:rsidR="0075055D" w:rsidRPr="00C462A0">
              <w:rPr>
                <w:noProof/>
                <w:webHidden/>
              </w:rPr>
              <w:fldChar w:fldCharType="begin"/>
            </w:r>
            <w:r w:rsidR="0075055D" w:rsidRPr="00C462A0">
              <w:rPr>
                <w:noProof/>
                <w:webHidden/>
              </w:rPr>
              <w:instrText xml:space="preserve"> PAGEREF _Toc227623398 \h </w:instrText>
            </w:r>
            <w:r w:rsidR="0075055D" w:rsidRPr="00C462A0">
              <w:rPr>
                <w:noProof/>
                <w:webHidden/>
              </w:rPr>
            </w:r>
            <w:r w:rsidR="0075055D" w:rsidRPr="00C462A0">
              <w:rPr>
                <w:noProof/>
                <w:webHidden/>
              </w:rPr>
              <w:fldChar w:fldCharType="separate"/>
            </w:r>
            <w:r w:rsidR="00C9161E">
              <w:rPr>
                <w:noProof/>
                <w:webHidden/>
              </w:rPr>
              <w:t>5</w:t>
            </w:r>
            <w:r w:rsidR="0075055D" w:rsidRPr="00C462A0">
              <w:rPr>
                <w:noProof/>
                <w:webHidden/>
              </w:rPr>
              <w:fldChar w:fldCharType="end"/>
            </w:r>
          </w:hyperlink>
        </w:p>
        <w:p w14:paraId="254FBC60" w14:textId="41BD170F" w:rsidR="0075055D" w:rsidRPr="00C462A0" w:rsidRDefault="0075055D">
          <w:pPr>
            <w:pStyle w:val="TOC1"/>
            <w:tabs>
              <w:tab w:val="right" w:leader="dot" w:pos="9628"/>
            </w:tabs>
            <w:rPr>
              <w:rFonts w:cstheme="minorBidi"/>
              <w:b w:val="0"/>
              <w:bCs w:val="0"/>
              <w:i w:val="0"/>
              <w:iCs w:val="0"/>
              <w:noProof/>
              <w:kern w:val="2"/>
              <w:lang w:eastAsia="hr-HR"/>
              <w14:ligatures w14:val="standardContextual"/>
            </w:rPr>
          </w:pPr>
          <w:hyperlink w:anchor="_Toc227623399" w:history="1">
            <w:r w:rsidRPr="00C462A0">
              <w:rPr>
                <w:rStyle w:val="Hyperlink"/>
                <w:noProof/>
              </w:rPr>
              <w:t>MODULE 1: Cybersecurity Fundamentals</w:t>
            </w:r>
            <w:r w:rsidRPr="00C462A0">
              <w:rPr>
                <w:noProof/>
                <w:webHidden/>
              </w:rPr>
              <w:tab/>
            </w:r>
            <w:r w:rsidRPr="00C462A0">
              <w:rPr>
                <w:noProof/>
                <w:webHidden/>
              </w:rPr>
              <w:fldChar w:fldCharType="begin"/>
            </w:r>
            <w:r w:rsidRPr="00C462A0">
              <w:rPr>
                <w:noProof/>
                <w:webHidden/>
              </w:rPr>
              <w:instrText xml:space="preserve"> PAGEREF _Toc227623399 \h </w:instrText>
            </w:r>
            <w:r w:rsidRPr="00C462A0">
              <w:rPr>
                <w:noProof/>
                <w:webHidden/>
              </w:rPr>
            </w:r>
            <w:r w:rsidRPr="00C462A0">
              <w:rPr>
                <w:noProof/>
                <w:webHidden/>
              </w:rPr>
              <w:fldChar w:fldCharType="separate"/>
            </w:r>
            <w:r w:rsidR="00C9161E">
              <w:rPr>
                <w:noProof/>
                <w:webHidden/>
              </w:rPr>
              <w:t>7</w:t>
            </w:r>
            <w:r w:rsidRPr="00C462A0">
              <w:rPr>
                <w:noProof/>
                <w:webHidden/>
              </w:rPr>
              <w:fldChar w:fldCharType="end"/>
            </w:r>
          </w:hyperlink>
        </w:p>
        <w:p w14:paraId="7EFA639F" w14:textId="4690B4A4" w:rsidR="0075055D" w:rsidRPr="00C462A0" w:rsidRDefault="0075055D">
          <w:pPr>
            <w:pStyle w:val="TOC2"/>
            <w:tabs>
              <w:tab w:val="right" w:leader="dot" w:pos="9628"/>
            </w:tabs>
            <w:rPr>
              <w:rFonts w:cstheme="minorBidi"/>
              <w:b w:val="0"/>
              <w:bCs w:val="0"/>
              <w:noProof/>
              <w:kern w:val="2"/>
              <w:sz w:val="24"/>
              <w:szCs w:val="24"/>
              <w:lang w:eastAsia="hr-HR"/>
              <w14:ligatures w14:val="standardContextual"/>
            </w:rPr>
          </w:pPr>
          <w:hyperlink w:anchor="_Toc227623400" w:history="1">
            <w:r w:rsidRPr="00C462A0">
              <w:rPr>
                <w:rStyle w:val="Hyperlink"/>
                <w:noProof/>
              </w:rPr>
              <w:t>Topic 1.1: CIA Triad and its role within cybersecurity</w:t>
            </w:r>
            <w:r w:rsidRPr="00C462A0">
              <w:rPr>
                <w:noProof/>
                <w:webHidden/>
              </w:rPr>
              <w:tab/>
            </w:r>
            <w:r w:rsidRPr="00C462A0">
              <w:rPr>
                <w:noProof/>
                <w:webHidden/>
              </w:rPr>
              <w:fldChar w:fldCharType="begin"/>
            </w:r>
            <w:r w:rsidRPr="00C462A0">
              <w:rPr>
                <w:noProof/>
                <w:webHidden/>
              </w:rPr>
              <w:instrText xml:space="preserve"> PAGEREF _Toc227623400 \h </w:instrText>
            </w:r>
            <w:r w:rsidRPr="00C462A0">
              <w:rPr>
                <w:noProof/>
                <w:webHidden/>
              </w:rPr>
            </w:r>
            <w:r w:rsidRPr="00C462A0">
              <w:rPr>
                <w:noProof/>
                <w:webHidden/>
              </w:rPr>
              <w:fldChar w:fldCharType="separate"/>
            </w:r>
            <w:r w:rsidR="00C9161E">
              <w:rPr>
                <w:noProof/>
                <w:webHidden/>
              </w:rPr>
              <w:t>8</w:t>
            </w:r>
            <w:r w:rsidRPr="00C462A0">
              <w:rPr>
                <w:noProof/>
                <w:webHidden/>
              </w:rPr>
              <w:fldChar w:fldCharType="end"/>
            </w:r>
          </w:hyperlink>
        </w:p>
        <w:p w14:paraId="66CCC62B" w14:textId="65E59F51" w:rsidR="0075055D" w:rsidRPr="00C462A0" w:rsidRDefault="0075055D">
          <w:pPr>
            <w:pStyle w:val="TOC2"/>
            <w:tabs>
              <w:tab w:val="right" w:leader="dot" w:pos="9628"/>
            </w:tabs>
            <w:rPr>
              <w:rFonts w:cstheme="minorBidi"/>
              <w:b w:val="0"/>
              <w:bCs w:val="0"/>
              <w:noProof/>
              <w:kern w:val="2"/>
              <w:sz w:val="24"/>
              <w:szCs w:val="24"/>
              <w:lang w:eastAsia="hr-HR"/>
              <w14:ligatures w14:val="standardContextual"/>
            </w:rPr>
          </w:pPr>
          <w:hyperlink w:anchor="_Toc227623401" w:history="1">
            <w:r w:rsidRPr="00C462A0">
              <w:rPr>
                <w:rStyle w:val="Hyperlink"/>
                <w:noProof/>
              </w:rPr>
              <w:t>Topic 1.2: Modern and up-to-date Threat Landscape</w:t>
            </w:r>
            <w:r w:rsidRPr="00C462A0">
              <w:rPr>
                <w:noProof/>
                <w:webHidden/>
              </w:rPr>
              <w:tab/>
            </w:r>
            <w:r w:rsidRPr="00C462A0">
              <w:rPr>
                <w:noProof/>
                <w:webHidden/>
              </w:rPr>
              <w:fldChar w:fldCharType="begin"/>
            </w:r>
            <w:r w:rsidRPr="00C462A0">
              <w:rPr>
                <w:noProof/>
                <w:webHidden/>
              </w:rPr>
              <w:instrText xml:space="preserve"> PAGEREF _Toc227623401 \h </w:instrText>
            </w:r>
            <w:r w:rsidRPr="00C462A0">
              <w:rPr>
                <w:noProof/>
                <w:webHidden/>
              </w:rPr>
            </w:r>
            <w:r w:rsidRPr="00C462A0">
              <w:rPr>
                <w:noProof/>
                <w:webHidden/>
              </w:rPr>
              <w:fldChar w:fldCharType="separate"/>
            </w:r>
            <w:r w:rsidR="00C9161E">
              <w:rPr>
                <w:noProof/>
                <w:webHidden/>
              </w:rPr>
              <w:t>14</w:t>
            </w:r>
            <w:r w:rsidRPr="00C462A0">
              <w:rPr>
                <w:noProof/>
                <w:webHidden/>
              </w:rPr>
              <w:fldChar w:fldCharType="end"/>
            </w:r>
          </w:hyperlink>
        </w:p>
        <w:p w14:paraId="58DB3FC1" w14:textId="70E32F90" w:rsidR="0075055D" w:rsidRPr="00C462A0" w:rsidRDefault="0075055D">
          <w:pPr>
            <w:pStyle w:val="TOC2"/>
            <w:tabs>
              <w:tab w:val="right" w:leader="dot" w:pos="9628"/>
            </w:tabs>
            <w:rPr>
              <w:rFonts w:cstheme="minorBidi"/>
              <w:b w:val="0"/>
              <w:bCs w:val="0"/>
              <w:noProof/>
              <w:kern w:val="2"/>
              <w:sz w:val="24"/>
              <w:szCs w:val="24"/>
              <w:lang w:eastAsia="hr-HR"/>
              <w14:ligatures w14:val="standardContextual"/>
            </w:rPr>
          </w:pPr>
          <w:hyperlink w:anchor="_Toc227623402" w:history="1">
            <w:r w:rsidRPr="00C462A0">
              <w:rPr>
                <w:rStyle w:val="Hyperlink"/>
                <w:noProof/>
              </w:rPr>
              <w:t>Topic 1.3: Modern Cybersecurity tactics and techniques</w:t>
            </w:r>
            <w:r w:rsidRPr="00C462A0">
              <w:rPr>
                <w:noProof/>
                <w:webHidden/>
              </w:rPr>
              <w:tab/>
            </w:r>
            <w:r w:rsidRPr="00C462A0">
              <w:rPr>
                <w:noProof/>
                <w:webHidden/>
              </w:rPr>
              <w:fldChar w:fldCharType="begin"/>
            </w:r>
            <w:r w:rsidRPr="00C462A0">
              <w:rPr>
                <w:noProof/>
                <w:webHidden/>
              </w:rPr>
              <w:instrText xml:space="preserve"> PAGEREF _Toc227623402 \h </w:instrText>
            </w:r>
            <w:r w:rsidRPr="00C462A0">
              <w:rPr>
                <w:noProof/>
                <w:webHidden/>
              </w:rPr>
            </w:r>
            <w:r w:rsidRPr="00C462A0">
              <w:rPr>
                <w:noProof/>
                <w:webHidden/>
              </w:rPr>
              <w:fldChar w:fldCharType="separate"/>
            </w:r>
            <w:r w:rsidR="00C9161E">
              <w:rPr>
                <w:noProof/>
                <w:webHidden/>
              </w:rPr>
              <w:t>18</w:t>
            </w:r>
            <w:r w:rsidRPr="00C462A0">
              <w:rPr>
                <w:noProof/>
                <w:webHidden/>
              </w:rPr>
              <w:fldChar w:fldCharType="end"/>
            </w:r>
          </w:hyperlink>
        </w:p>
        <w:p w14:paraId="6E29AAAC" w14:textId="3981B6FD" w:rsidR="0075055D" w:rsidRPr="00C462A0" w:rsidRDefault="0075055D">
          <w:pPr>
            <w:pStyle w:val="TOC2"/>
            <w:tabs>
              <w:tab w:val="right" w:leader="dot" w:pos="9628"/>
            </w:tabs>
            <w:rPr>
              <w:rFonts w:cstheme="minorBidi"/>
              <w:b w:val="0"/>
              <w:bCs w:val="0"/>
              <w:noProof/>
              <w:kern w:val="2"/>
              <w:sz w:val="24"/>
              <w:szCs w:val="24"/>
              <w:lang w:eastAsia="hr-HR"/>
              <w14:ligatures w14:val="standardContextual"/>
            </w:rPr>
          </w:pPr>
          <w:hyperlink w:anchor="_Toc227623403" w:history="1">
            <w:r w:rsidRPr="00C462A0">
              <w:rPr>
                <w:rStyle w:val="Hyperlink"/>
                <w:noProof/>
              </w:rPr>
              <w:t>Topic 1.4: Introduction to the role of Cyberisk</w:t>
            </w:r>
            <w:r w:rsidRPr="00C462A0">
              <w:rPr>
                <w:noProof/>
                <w:webHidden/>
              </w:rPr>
              <w:tab/>
            </w:r>
            <w:r w:rsidRPr="00C462A0">
              <w:rPr>
                <w:noProof/>
                <w:webHidden/>
              </w:rPr>
              <w:fldChar w:fldCharType="begin"/>
            </w:r>
            <w:r w:rsidRPr="00C462A0">
              <w:rPr>
                <w:noProof/>
                <w:webHidden/>
              </w:rPr>
              <w:instrText xml:space="preserve"> PAGEREF _Toc227623403 \h </w:instrText>
            </w:r>
            <w:r w:rsidRPr="00C462A0">
              <w:rPr>
                <w:noProof/>
                <w:webHidden/>
              </w:rPr>
            </w:r>
            <w:r w:rsidRPr="00C462A0">
              <w:rPr>
                <w:noProof/>
                <w:webHidden/>
              </w:rPr>
              <w:fldChar w:fldCharType="separate"/>
            </w:r>
            <w:r w:rsidR="00C9161E">
              <w:rPr>
                <w:noProof/>
                <w:webHidden/>
              </w:rPr>
              <w:t>22</w:t>
            </w:r>
            <w:r w:rsidRPr="00C462A0">
              <w:rPr>
                <w:noProof/>
                <w:webHidden/>
              </w:rPr>
              <w:fldChar w:fldCharType="end"/>
            </w:r>
          </w:hyperlink>
        </w:p>
        <w:p w14:paraId="4F858756" w14:textId="7914F88D" w:rsidR="0075055D" w:rsidRPr="00C462A0" w:rsidRDefault="0075055D">
          <w:pPr>
            <w:pStyle w:val="TOC2"/>
            <w:tabs>
              <w:tab w:val="right" w:leader="dot" w:pos="9628"/>
            </w:tabs>
            <w:rPr>
              <w:rFonts w:cstheme="minorBidi"/>
              <w:b w:val="0"/>
              <w:bCs w:val="0"/>
              <w:noProof/>
              <w:kern w:val="2"/>
              <w:sz w:val="24"/>
              <w:szCs w:val="24"/>
              <w:lang w:eastAsia="hr-HR"/>
              <w14:ligatures w14:val="standardContextual"/>
            </w:rPr>
          </w:pPr>
          <w:hyperlink w:anchor="_Toc227623404" w:history="1">
            <w:r w:rsidRPr="00C462A0">
              <w:rPr>
                <w:rStyle w:val="Hyperlink"/>
                <w:noProof/>
              </w:rPr>
              <w:t>Module 1: Conclusion and Self-Assessment</w:t>
            </w:r>
            <w:r w:rsidRPr="00C462A0">
              <w:rPr>
                <w:noProof/>
                <w:webHidden/>
              </w:rPr>
              <w:tab/>
            </w:r>
            <w:r w:rsidRPr="00C462A0">
              <w:rPr>
                <w:noProof/>
                <w:webHidden/>
              </w:rPr>
              <w:fldChar w:fldCharType="begin"/>
            </w:r>
            <w:r w:rsidRPr="00C462A0">
              <w:rPr>
                <w:noProof/>
                <w:webHidden/>
              </w:rPr>
              <w:instrText xml:space="preserve"> PAGEREF _Toc227623404 \h </w:instrText>
            </w:r>
            <w:r w:rsidRPr="00C462A0">
              <w:rPr>
                <w:noProof/>
                <w:webHidden/>
              </w:rPr>
            </w:r>
            <w:r w:rsidRPr="00C462A0">
              <w:rPr>
                <w:noProof/>
                <w:webHidden/>
              </w:rPr>
              <w:fldChar w:fldCharType="separate"/>
            </w:r>
            <w:r w:rsidR="00C9161E">
              <w:rPr>
                <w:noProof/>
                <w:webHidden/>
              </w:rPr>
              <w:t>26</w:t>
            </w:r>
            <w:r w:rsidRPr="00C462A0">
              <w:rPr>
                <w:noProof/>
                <w:webHidden/>
              </w:rPr>
              <w:fldChar w:fldCharType="end"/>
            </w:r>
          </w:hyperlink>
        </w:p>
        <w:p w14:paraId="50A5DC03" w14:textId="5AB274A8" w:rsidR="0075055D" w:rsidRPr="00C462A0" w:rsidRDefault="0075055D">
          <w:pPr>
            <w:pStyle w:val="TOC1"/>
            <w:tabs>
              <w:tab w:val="right" w:leader="dot" w:pos="9628"/>
            </w:tabs>
            <w:rPr>
              <w:rFonts w:cstheme="minorBidi"/>
              <w:b w:val="0"/>
              <w:bCs w:val="0"/>
              <w:i w:val="0"/>
              <w:iCs w:val="0"/>
              <w:noProof/>
              <w:kern w:val="2"/>
              <w:lang w:eastAsia="hr-HR"/>
              <w14:ligatures w14:val="standardContextual"/>
            </w:rPr>
          </w:pPr>
          <w:hyperlink w:anchor="_Toc227623405" w:history="1">
            <w:r w:rsidRPr="00C462A0">
              <w:rPr>
                <w:rStyle w:val="Hyperlink"/>
                <w:noProof/>
              </w:rPr>
              <w:t>MODULE 2: Sustainable Systems Security</w:t>
            </w:r>
            <w:r w:rsidRPr="00C462A0">
              <w:rPr>
                <w:noProof/>
                <w:webHidden/>
              </w:rPr>
              <w:tab/>
            </w:r>
            <w:r w:rsidRPr="00C462A0">
              <w:rPr>
                <w:noProof/>
                <w:webHidden/>
              </w:rPr>
              <w:fldChar w:fldCharType="begin"/>
            </w:r>
            <w:r w:rsidRPr="00C462A0">
              <w:rPr>
                <w:noProof/>
                <w:webHidden/>
              </w:rPr>
              <w:instrText xml:space="preserve"> PAGEREF _Toc227623405 \h </w:instrText>
            </w:r>
            <w:r w:rsidRPr="00C462A0">
              <w:rPr>
                <w:noProof/>
                <w:webHidden/>
              </w:rPr>
            </w:r>
            <w:r w:rsidRPr="00C462A0">
              <w:rPr>
                <w:noProof/>
                <w:webHidden/>
              </w:rPr>
              <w:fldChar w:fldCharType="separate"/>
            </w:r>
            <w:r w:rsidR="00C9161E">
              <w:rPr>
                <w:noProof/>
                <w:webHidden/>
              </w:rPr>
              <w:t>29</w:t>
            </w:r>
            <w:r w:rsidRPr="00C462A0">
              <w:rPr>
                <w:noProof/>
                <w:webHidden/>
              </w:rPr>
              <w:fldChar w:fldCharType="end"/>
            </w:r>
          </w:hyperlink>
        </w:p>
        <w:p w14:paraId="05F63CE7" w14:textId="652BD7B9" w:rsidR="0075055D" w:rsidRPr="00C462A0" w:rsidRDefault="0075055D">
          <w:pPr>
            <w:pStyle w:val="TOC2"/>
            <w:tabs>
              <w:tab w:val="right" w:leader="dot" w:pos="9628"/>
            </w:tabs>
            <w:rPr>
              <w:rFonts w:cstheme="minorBidi"/>
              <w:b w:val="0"/>
              <w:bCs w:val="0"/>
              <w:noProof/>
              <w:kern w:val="2"/>
              <w:sz w:val="24"/>
              <w:szCs w:val="24"/>
              <w:lang w:eastAsia="hr-HR"/>
              <w14:ligatures w14:val="standardContextual"/>
            </w:rPr>
          </w:pPr>
          <w:hyperlink w:anchor="_Toc227623406" w:history="1">
            <w:r w:rsidRPr="00C462A0">
              <w:rPr>
                <w:rStyle w:val="Hyperlink"/>
                <w:noProof/>
              </w:rPr>
              <w:t>Topic 2.1: Threat Landscape of Energy Management Systems</w:t>
            </w:r>
            <w:r w:rsidRPr="00C462A0">
              <w:rPr>
                <w:noProof/>
                <w:webHidden/>
              </w:rPr>
              <w:tab/>
            </w:r>
            <w:r w:rsidRPr="00C462A0">
              <w:rPr>
                <w:noProof/>
                <w:webHidden/>
              </w:rPr>
              <w:fldChar w:fldCharType="begin"/>
            </w:r>
            <w:r w:rsidRPr="00C462A0">
              <w:rPr>
                <w:noProof/>
                <w:webHidden/>
              </w:rPr>
              <w:instrText xml:space="preserve"> PAGEREF _Toc227623406 \h </w:instrText>
            </w:r>
            <w:r w:rsidRPr="00C462A0">
              <w:rPr>
                <w:noProof/>
                <w:webHidden/>
              </w:rPr>
            </w:r>
            <w:r w:rsidRPr="00C462A0">
              <w:rPr>
                <w:noProof/>
                <w:webHidden/>
              </w:rPr>
              <w:fldChar w:fldCharType="separate"/>
            </w:r>
            <w:r w:rsidR="00C9161E">
              <w:rPr>
                <w:noProof/>
                <w:webHidden/>
              </w:rPr>
              <w:t>30</w:t>
            </w:r>
            <w:r w:rsidRPr="00C462A0">
              <w:rPr>
                <w:noProof/>
                <w:webHidden/>
              </w:rPr>
              <w:fldChar w:fldCharType="end"/>
            </w:r>
          </w:hyperlink>
        </w:p>
        <w:p w14:paraId="528B2D47" w14:textId="2D1C148C" w:rsidR="0075055D" w:rsidRPr="00C462A0" w:rsidRDefault="0075055D">
          <w:pPr>
            <w:pStyle w:val="TOC2"/>
            <w:tabs>
              <w:tab w:val="right" w:leader="dot" w:pos="9628"/>
            </w:tabs>
            <w:rPr>
              <w:rFonts w:cstheme="minorBidi"/>
              <w:b w:val="0"/>
              <w:bCs w:val="0"/>
              <w:noProof/>
              <w:kern w:val="2"/>
              <w:sz w:val="24"/>
              <w:szCs w:val="24"/>
              <w:lang w:eastAsia="hr-HR"/>
              <w14:ligatures w14:val="standardContextual"/>
            </w:rPr>
          </w:pPr>
          <w:hyperlink w:anchor="_Toc227623407" w:history="1">
            <w:r w:rsidRPr="00C462A0">
              <w:rPr>
                <w:rStyle w:val="Hyperlink"/>
                <w:noProof/>
              </w:rPr>
              <w:t>Topic 2.2: Threat Landscape of IoT sensors</w:t>
            </w:r>
            <w:r w:rsidRPr="00C462A0">
              <w:rPr>
                <w:noProof/>
                <w:webHidden/>
              </w:rPr>
              <w:tab/>
            </w:r>
            <w:r w:rsidRPr="00C462A0">
              <w:rPr>
                <w:noProof/>
                <w:webHidden/>
              </w:rPr>
              <w:fldChar w:fldCharType="begin"/>
            </w:r>
            <w:r w:rsidRPr="00C462A0">
              <w:rPr>
                <w:noProof/>
                <w:webHidden/>
              </w:rPr>
              <w:instrText xml:space="preserve"> PAGEREF _Toc227623407 \h </w:instrText>
            </w:r>
            <w:r w:rsidRPr="00C462A0">
              <w:rPr>
                <w:noProof/>
                <w:webHidden/>
              </w:rPr>
            </w:r>
            <w:r w:rsidRPr="00C462A0">
              <w:rPr>
                <w:noProof/>
                <w:webHidden/>
              </w:rPr>
              <w:fldChar w:fldCharType="separate"/>
            </w:r>
            <w:r w:rsidR="00C9161E">
              <w:rPr>
                <w:noProof/>
                <w:webHidden/>
              </w:rPr>
              <w:t>37</w:t>
            </w:r>
            <w:r w:rsidRPr="00C462A0">
              <w:rPr>
                <w:noProof/>
                <w:webHidden/>
              </w:rPr>
              <w:fldChar w:fldCharType="end"/>
            </w:r>
          </w:hyperlink>
        </w:p>
        <w:p w14:paraId="4054E1F2" w14:textId="5FC46417" w:rsidR="0075055D" w:rsidRPr="00C462A0" w:rsidRDefault="0075055D">
          <w:pPr>
            <w:pStyle w:val="TOC2"/>
            <w:tabs>
              <w:tab w:val="right" w:leader="dot" w:pos="9628"/>
            </w:tabs>
            <w:rPr>
              <w:rFonts w:cstheme="minorBidi"/>
              <w:b w:val="0"/>
              <w:bCs w:val="0"/>
              <w:noProof/>
              <w:kern w:val="2"/>
              <w:sz w:val="24"/>
              <w:szCs w:val="24"/>
              <w:lang w:eastAsia="hr-HR"/>
              <w14:ligatures w14:val="standardContextual"/>
            </w:rPr>
          </w:pPr>
          <w:hyperlink w:anchor="_Toc227623408" w:history="1">
            <w:r w:rsidRPr="00C462A0">
              <w:rPr>
                <w:rStyle w:val="Hyperlink"/>
                <w:noProof/>
              </w:rPr>
              <w:t>Topic 2.3: Threat Landscape of Smart Grids</w:t>
            </w:r>
            <w:r w:rsidRPr="00C462A0">
              <w:rPr>
                <w:noProof/>
                <w:webHidden/>
              </w:rPr>
              <w:tab/>
            </w:r>
            <w:r w:rsidRPr="00C462A0">
              <w:rPr>
                <w:noProof/>
                <w:webHidden/>
              </w:rPr>
              <w:fldChar w:fldCharType="begin"/>
            </w:r>
            <w:r w:rsidRPr="00C462A0">
              <w:rPr>
                <w:noProof/>
                <w:webHidden/>
              </w:rPr>
              <w:instrText xml:space="preserve"> PAGEREF _Toc227623408 \h </w:instrText>
            </w:r>
            <w:r w:rsidRPr="00C462A0">
              <w:rPr>
                <w:noProof/>
                <w:webHidden/>
              </w:rPr>
            </w:r>
            <w:r w:rsidRPr="00C462A0">
              <w:rPr>
                <w:noProof/>
                <w:webHidden/>
              </w:rPr>
              <w:fldChar w:fldCharType="separate"/>
            </w:r>
            <w:r w:rsidR="00C9161E">
              <w:rPr>
                <w:noProof/>
                <w:webHidden/>
              </w:rPr>
              <w:t>42</w:t>
            </w:r>
            <w:r w:rsidRPr="00C462A0">
              <w:rPr>
                <w:noProof/>
                <w:webHidden/>
              </w:rPr>
              <w:fldChar w:fldCharType="end"/>
            </w:r>
          </w:hyperlink>
        </w:p>
        <w:p w14:paraId="136CE300" w14:textId="3990E078" w:rsidR="0075055D" w:rsidRPr="00C462A0" w:rsidRDefault="0075055D">
          <w:pPr>
            <w:pStyle w:val="TOC2"/>
            <w:tabs>
              <w:tab w:val="right" w:leader="dot" w:pos="9628"/>
            </w:tabs>
            <w:rPr>
              <w:rFonts w:cstheme="minorBidi"/>
              <w:b w:val="0"/>
              <w:bCs w:val="0"/>
              <w:noProof/>
              <w:kern w:val="2"/>
              <w:sz w:val="24"/>
              <w:szCs w:val="24"/>
              <w:lang w:eastAsia="hr-HR"/>
              <w14:ligatures w14:val="standardContextual"/>
            </w:rPr>
          </w:pPr>
          <w:hyperlink w:anchor="_Toc227623409" w:history="1">
            <w:r w:rsidRPr="00C462A0">
              <w:rPr>
                <w:rStyle w:val="Hyperlink"/>
                <w:noProof/>
              </w:rPr>
              <w:t>Topic 2.4: Introduction to ESG platforms</w:t>
            </w:r>
            <w:r w:rsidRPr="00C462A0">
              <w:rPr>
                <w:noProof/>
                <w:webHidden/>
              </w:rPr>
              <w:tab/>
            </w:r>
            <w:r w:rsidRPr="00C462A0">
              <w:rPr>
                <w:noProof/>
                <w:webHidden/>
              </w:rPr>
              <w:fldChar w:fldCharType="begin"/>
            </w:r>
            <w:r w:rsidRPr="00C462A0">
              <w:rPr>
                <w:noProof/>
                <w:webHidden/>
              </w:rPr>
              <w:instrText xml:space="preserve"> PAGEREF _Toc227623409 \h </w:instrText>
            </w:r>
            <w:r w:rsidRPr="00C462A0">
              <w:rPr>
                <w:noProof/>
                <w:webHidden/>
              </w:rPr>
            </w:r>
            <w:r w:rsidRPr="00C462A0">
              <w:rPr>
                <w:noProof/>
                <w:webHidden/>
              </w:rPr>
              <w:fldChar w:fldCharType="separate"/>
            </w:r>
            <w:r w:rsidR="00C9161E">
              <w:rPr>
                <w:noProof/>
                <w:webHidden/>
              </w:rPr>
              <w:t>49</w:t>
            </w:r>
            <w:r w:rsidRPr="00C462A0">
              <w:rPr>
                <w:noProof/>
                <w:webHidden/>
              </w:rPr>
              <w:fldChar w:fldCharType="end"/>
            </w:r>
          </w:hyperlink>
        </w:p>
        <w:p w14:paraId="534D218F" w14:textId="4D834EE5" w:rsidR="0075055D" w:rsidRPr="00C462A0" w:rsidRDefault="0075055D">
          <w:pPr>
            <w:pStyle w:val="TOC2"/>
            <w:tabs>
              <w:tab w:val="right" w:leader="dot" w:pos="9628"/>
            </w:tabs>
            <w:rPr>
              <w:rFonts w:cstheme="minorBidi"/>
              <w:b w:val="0"/>
              <w:bCs w:val="0"/>
              <w:noProof/>
              <w:kern w:val="2"/>
              <w:sz w:val="24"/>
              <w:szCs w:val="24"/>
              <w:lang w:eastAsia="hr-HR"/>
              <w14:ligatures w14:val="standardContextual"/>
            </w:rPr>
          </w:pPr>
          <w:hyperlink w:anchor="_Toc227623410" w:history="1">
            <w:r w:rsidRPr="00C462A0">
              <w:rPr>
                <w:rStyle w:val="Hyperlink"/>
                <w:noProof/>
              </w:rPr>
              <w:t>Topic 2.5: Security framework</w:t>
            </w:r>
            <w:r w:rsidRPr="00C462A0">
              <w:rPr>
                <w:noProof/>
                <w:webHidden/>
              </w:rPr>
              <w:tab/>
            </w:r>
            <w:r w:rsidRPr="00C462A0">
              <w:rPr>
                <w:noProof/>
                <w:webHidden/>
              </w:rPr>
              <w:fldChar w:fldCharType="begin"/>
            </w:r>
            <w:r w:rsidRPr="00C462A0">
              <w:rPr>
                <w:noProof/>
                <w:webHidden/>
              </w:rPr>
              <w:instrText xml:space="preserve"> PAGEREF _Toc227623410 \h </w:instrText>
            </w:r>
            <w:r w:rsidRPr="00C462A0">
              <w:rPr>
                <w:noProof/>
                <w:webHidden/>
              </w:rPr>
            </w:r>
            <w:r w:rsidRPr="00C462A0">
              <w:rPr>
                <w:noProof/>
                <w:webHidden/>
              </w:rPr>
              <w:fldChar w:fldCharType="separate"/>
            </w:r>
            <w:r w:rsidR="00C9161E">
              <w:rPr>
                <w:noProof/>
                <w:webHidden/>
              </w:rPr>
              <w:t>54</w:t>
            </w:r>
            <w:r w:rsidRPr="00C462A0">
              <w:rPr>
                <w:noProof/>
                <w:webHidden/>
              </w:rPr>
              <w:fldChar w:fldCharType="end"/>
            </w:r>
          </w:hyperlink>
        </w:p>
        <w:p w14:paraId="510D4B62" w14:textId="0AA809E3" w:rsidR="0075055D" w:rsidRPr="00C462A0" w:rsidRDefault="0075055D">
          <w:pPr>
            <w:pStyle w:val="TOC2"/>
            <w:tabs>
              <w:tab w:val="right" w:leader="dot" w:pos="9628"/>
            </w:tabs>
            <w:rPr>
              <w:rFonts w:cstheme="minorBidi"/>
              <w:b w:val="0"/>
              <w:bCs w:val="0"/>
              <w:noProof/>
              <w:kern w:val="2"/>
              <w:sz w:val="24"/>
              <w:szCs w:val="24"/>
              <w:lang w:eastAsia="hr-HR"/>
              <w14:ligatures w14:val="standardContextual"/>
            </w:rPr>
          </w:pPr>
          <w:hyperlink w:anchor="_Toc227623411" w:history="1">
            <w:r w:rsidRPr="00C462A0">
              <w:rPr>
                <w:rStyle w:val="Hyperlink"/>
                <w:noProof/>
              </w:rPr>
              <w:t>Module 2: Conclusion and Assessment</w:t>
            </w:r>
            <w:r w:rsidRPr="00C462A0">
              <w:rPr>
                <w:noProof/>
                <w:webHidden/>
              </w:rPr>
              <w:tab/>
            </w:r>
            <w:r w:rsidRPr="00C462A0">
              <w:rPr>
                <w:noProof/>
                <w:webHidden/>
              </w:rPr>
              <w:fldChar w:fldCharType="begin"/>
            </w:r>
            <w:r w:rsidRPr="00C462A0">
              <w:rPr>
                <w:noProof/>
                <w:webHidden/>
              </w:rPr>
              <w:instrText xml:space="preserve"> PAGEREF _Toc227623411 \h </w:instrText>
            </w:r>
            <w:r w:rsidRPr="00C462A0">
              <w:rPr>
                <w:noProof/>
                <w:webHidden/>
              </w:rPr>
            </w:r>
            <w:r w:rsidRPr="00C462A0">
              <w:rPr>
                <w:noProof/>
                <w:webHidden/>
              </w:rPr>
              <w:fldChar w:fldCharType="separate"/>
            </w:r>
            <w:r w:rsidR="00C9161E">
              <w:rPr>
                <w:noProof/>
                <w:webHidden/>
              </w:rPr>
              <w:t>59</w:t>
            </w:r>
            <w:r w:rsidRPr="00C462A0">
              <w:rPr>
                <w:noProof/>
                <w:webHidden/>
              </w:rPr>
              <w:fldChar w:fldCharType="end"/>
            </w:r>
          </w:hyperlink>
        </w:p>
        <w:p w14:paraId="0611BFAE" w14:textId="07F39911" w:rsidR="0075055D" w:rsidRPr="00C462A0" w:rsidRDefault="0075055D">
          <w:pPr>
            <w:pStyle w:val="TOC1"/>
            <w:tabs>
              <w:tab w:val="right" w:leader="dot" w:pos="9628"/>
            </w:tabs>
            <w:rPr>
              <w:rFonts w:cstheme="minorBidi"/>
              <w:b w:val="0"/>
              <w:bCs w:val="0"/>
              <w:i w:val="0"/>
              <w:iCs w:val="0"/>
              <w:noProof/>
              <w:kern w:val="2"/>
              <w:lang w:eastAsia="hr-HR"/>
              <w14:ligatures w14:val="standardContextual"/>
            </w:rPr>
          </w:pPr>
          <w:hyperlink w:anchor="_Toc227623412" w:history="1">
            <w:r w:rsidRPr="00C462A0">
              <w:rPr>
                <w:rStyle w:val="Hyperlink"/>
                <w:noProof/>
              </w:rPr>
              <w:t>MODULE 3: Data Protection &amp; Compliance</w:t>
            </w:r>
            <w:r w:rsidRPr="00C462A0">
              <w:rPr>
                <w:noProof/>
                <w:webHidden/>
              </w:rPr>
              <w:tab/>
            </w:r>
            <w:r w:rsidRPr="00C462A0">
              <w:rPr>
                <w:noProof/>
                <w:webHidden/>
              </w:rPr>
              <w:fldChar w:fldCharType="begin"/>
            </w:r>
            <w:r w:rsidRPr="00C462A0">
              <w:rPr>
                <w:noProof/>
                <w:webHidden/>
              </w:rPr>
              <w:instrText xml:space="preserve"> PAGEREF _Toc227623412 \h </w:instrText>
            </w:r>
            <w:r w:rsidRPr="00C462A0">
              <w:rPr>
                <w:noProof/>
                <w:webHidden/>
              </w:rPr>
            </w:r>
            <w:r w:rsidRPr="00C462A0">
              <w:rPr>
                <w:noProof/>
                <w:webHidden/>
              </w:rPr>
              <w:fldChar w:fldCharType="separate"/>
            </w:r>
            <w:r w:rsidR="00C9161E">
              <w:rPr>
                <w:noProof/>
                <w:webHidden/>
              </w:rPr>
              <w:t>61</w:t>
            </w:r>
            <w:r w:rsidRPr="00C462A0">
              <w:rPr>
                <w:noProof/>
                <w:webHidden/>
              </w:rPr>
              <w:fldChar w:fldCharType="end"/>
            </w:r>
          </w:hyperlink>
        </w:p>
        <w:p w14:paraId="71F317DA" w14:textId="2903223D" w:rsidR="0075055D" w:rsidRPr="00C462A0" w:rsidRDefault="0075055D">
          <w:pPr>
            <w:pStyle w:val="TOC2"/>
            <w:tabs>
              <w:tab w:val="right" w:leader="dot" w:pos="9628"/>
            </w:tabs>
            <w:rPr>
              <w:rFonts w:cstheme="minorBidi"/>
              <w:b w:val="0"/>
              <w:bCs w:val="0"/>
              <w:noProof/>
              <w:kern w:val="2"/>
              <w:sz w:val="24"/>
              <w:szCs w:val="24"/>
              <w:lang w:eastAsia="hr-HR"/>
              <w14:ligatures w14:val="standardContextual"/>
            </w:rPr>
          </w:pPr>
          <w:hyperlink w:anchor="_Toc227623413" w:history="1">
            <w:r w:rsidRPr="00C462A0">
              <w:rPr>
                <w:rStyle w:val="Hyperlink"/>
                <w:noProof/>
              </w:rPr>
              <w:t>Topic 3.1: Introduction to the Access Controls</w:t>
            </w:r>
            <w:r w:rsidRPr="00C462A0">
              <w:rPr>
                <w:noProof/>
                <w:webHidden/>
              </w:rPr>
              <w:tab/>
            </w:r>
            <w:r w:rsidRPr="00C462A0">
              <w:rPr>
                <w:noProof/>
                <w:webHidden/>
              </w:rPr>
              <w:fldChar w:fldCharType="begin"/>
            </w:r>
            <w:r w:rsidRPr="00C462A0">
              <w:rPr>
                <w:noProof/>
                <w:webHidden/>
              </w:rPr>
              <w:instrText xml:space="preserve"> PAGEREF _Toc227623413 \h </w:instrText>
            </w:r>
            <w:r w:rsidRPr="00C462A0">
              <w:rPr>
                <w:noProof/>
                <w:webHidden/>
              </w:rPr>
            </w:r>
            <w:r w:rsidRPr="00C462A0">
              <w:rPr>
                <w:noProof/>
                <w:webHidden/>
              </w:rPr>
              <w:fldChar w:fldCharType="separate"/>
            </w:r>
            <w:r w:rsidR="00C9161E">
              <w:rPr>
                <w:noProof/>
                <w:webHidden/>
              </w:rPr>
              <w:t>62</w:t>
            </w:r>
            <w:r w:rsidRPr="00C462A0">
              <w:rPr>
                <w:noProof/>
                <w:webHidden/>
              </w:rPr>
              <w:fldChar w:fldCharType="end"/>
            </w:r>
          </w:hyperlink>
        </w:p>
        <w:p w14:paraId="15E6F564" w14:textId="28783094" w:rsidR="0075055D" w:rsidRPr="00C462A0" w:rsidRDefault="0075055D">
          <w:pPr>
            <w:pStyle w:val="TOC2"/>
            <w:tabs>
              <w:tab w:val="right" w:leader="dot" w:pos="9628"/>
            </w:tabs>
            <w:rPr>
              <w:rFonts w:cstheme="minorBidi"/>
              <w:b w:val="0"/>
              <w:bCs w:val="0"/>
              <w:noProof/>
              <w:kern w:val="2"/>
              <w:sz w:val="24"/>
              <w:szCs w:val="24"/>
              <w:lang w:eastAsia="hr-HR"/>
              <w14:ligatures w14:val="standardContextual"/>
            </w:rPr>
          </w:pPr>
          <w:hyperlink w:anchor="_Toc227623414" w:history="1">
            <w:r w:rsidRPr="00C462A0">
              <w:rPr>
                <w:rStyle w:val="Hyperlink"/>
                <w:noProof/>
              </w:rPr>
              <w:t>Topic 3.2: Introduction to Encryption Technologies</w:t>
            </w:r>
            <w:r w:rsidRPr="00C462A0">
              <w:rPr>
                <w:noProof/>
                <w:webHidden/>
              </w:rPr>
              <w:tab/>
            </w:r>
            <w:r w:rsidRPr="00C462A0">
              <w:rPr>
                <w:noProof/>
                <w:webHidden/>
              </w:rPr>
              <w:fldChar w:fldCharType="begin"/>
            </w:r>
            <w:r w:rsidRPr="00C462A0">
              <w:rPr>
                <w:noProof/>
                <w:webHidden/>
              </w:rPr>
              <w:instrText xml:space="preserve"> PAGEREF _Toc227623414 \h </w:instrText>
            </w:r>
            <w:r w:rsidRPr="00C462A0">
              <w:rPr>
                <w:noProof/>
                <w:webHidden/>
              </w:rPr>
            </w:r>
            <w:r w:rsidRPr="00C462A0">
              <w:rPr>
                <w:noProof/>
                <w:webHidden/>
              </w:rPr>
              <w:fldChar w:fldCharType="separate"/>
            </w:r>
            <w:r w:rsidR="00C9161E">
              <w:rPr>
                <w:noProof/>
                <w:webHidden/>
              </w:rPr>
              <w:t>66</w:t>
            </w:r>
            <w:r w:rsidRPr="00C462A0">
              <w:rPr>
                <w:noProof/>
                <w:webHidden/>
              </w:rPr>
              <w:fldChar w:fldCharType="end"/>
            </w:r>
          </w:hyperlink>
        </w:p>
        <w:p w14:paraId="5860C615" w14:textId="5468BD18" w:rsidR="0075055D" w:rsidRPr="00C462A0" w:rsidRDefault="0075055D">
          <w:pPr>
            <w:pStyle w:val="TOC2"/>
            <w:tabs>
              <w:tab w:val="right" w:leader="dot" w:pos="9628"/>
            </w:tabs>
            <w:rPr>
              <w:rFonts w:cstheme="minorBidi"/>
              <w:b w:val="0"/>
              <w:bCs w:val="0"/>
              <w:noProof/>
              <w:kern w:val="2"/>
              <w:sz w:val="24"/>
              <w:szCs w:val="24"/>
              <w:lang w:eastAsia="hr-HR"/>
              <w14:ligatures w14:val="standardContextual"/>
            </w:rPr>
          </w:pPr>
          <w:hyperlink w:anchor="_Toc227623415" w:history="1">
            <w:r w:rsidRPr="00C462A0">
              <w:rPr>
                <w:rStyle w:val="Hyperlink"/>
                <w:noProof/>
              </w:rPr>
              <w:t>Topic 3.3: Introduction to GDPR alignment and its evolution</w:t>
            </w:r>
            <w:r w:rsidRPr="00C462A0">
              <w:rPr>
                <w:noProof/>
                <w:webHidden/>
              </w:rPr>
              <w:tab/>
            </w:r>
            <w:r w:rsidRPr="00C462A0">
              <w:rPr>
                <w:noProof/>
                <w:webHidden/>
              </w:rPr>
              <w:fldChar w:fldCharType="begin"/>
            </w:r>
            <w:r w:rsidRPr="00C462A0">
              <w:rPr>
                <w:noProof/>
                <w:webHidden/>
              </w:rPr>
              <w:instrText xml:space="preserve"> PAGEREF _Toc227623415 \h </w:instrText>
            </w:r>
            <w:r w:rsidRPr="00C462A0">
              <w:rPr>
                <w:noProof/>
                <w:webHidden/>
              </w:rPr>
            </w:r>
            <w:r w:rsidRPr="00C462A0">
              <w:rPr>
                <w:noProof/>
                <w:webHidden/>
              </w:rPr>
              <w:fldChar w:fldCharType="separate"/>
            </w:r>
            <w:r w:rsidR="00C9161E">
              <w:rPr>
                <w:noProof/>
                <w:webHidden/>
              </w:rPr>
              <w:t>70</w:t>
            </w:r>
            <w:r w:rsidRPr="00C462A0">
              <w:rPr>
                <w:noProof/>
                <w:webHidden/>
              </w:rPr>
              <w:fldChar w:fldCharType="end"/>
            </w:r>
          </w:hyperlink>
        </w:p>
        <w:p w14:paraId="139BFBC8" w14:textId="14E70E8F" w:rsidR="0075055D" w:rsidRPr="00C462A0" w:rsidRDefault="0075055D">
          <w:pPr>
            <w:pStyle w:val="TOC2"/>
            <w:tabs>
              <w:tab w:val="right" w:leader="dot" w:pos="9628"/>
            </w:tabs>
            <w:rPr>
              <w:rFonts w:cstheme="minorBidi"/>
              <w:b w:val="0"/>
              <w:bCs w:val="0"/>
              <w:noProof/>
              <w:kern w:val="2"/>
              <w:sz w:val="24"/>
              <w:szCs w:val="24"/>
              <w:lang w:eastAsia="hr-HR"/>
              <w14:ligatures w14:val="standardContextual"/>
            </w:rPr>
          </w:pPr>
          <w:hyperlink w:anchor="_Toc227623416" w:history="1">
            <w:r w:rsidRPr="00C462A0">
              <w:rPr>
                <w:rStyle w:val="Hyperlink"/>
                <w:noProof/>
              </w:rPr>
              <w:t>Topic 3.4: Audit trails</w:t>
            </w:r>
            <w:r w:rsidRPr="00C462A0">
              <w:rPr>
                <w:noProof/>
                <w:webHidden/>
              </w:rPr>
              <w:tab/>
            </w:r>
            <w:r w:rsidRPr="00C462A0">
              <w:rPr>
                <w:noProof/>
                <w:webHidden/>
              </w:rPr>
              <w:fldChar w:fldCharType="begin"/>
            </w:r>
            <w:r w:rsidRPr="00C462A0">
              <w:rPr>
                <w:noProof/>
                <w:webHidden/>
              </w:rPr>
              <w:instrText xml:space="preserve"> PAGEREF _Toc227623416 \h </w:instrText>
            </w:r>
            <w:r w:rsidRPr="00C462A0">
              <w:rPr>
                <w:noProof/>
                <w:webHidden/>
              </w:rPr>
            </w:r>
            <w:r w:rsidRPr="00C462A0">
              <w:rPr>
                <w:noProof/>
                <w:webHidden/>
              </w:rPr>
              <w:fldChar w:fldCharType="separate"/>
            </w:r>
            <w:r w:rsidR="00C9161E">
              <w:rPr>
                <w:noProof/>
                <w:webHidden/>
              </w:rPr>
              <w:t>75</w:t>
            </w:r>
            <w:r w:rsidRPr="00C462A0">
              <w:rPr>
                <w:noProof/>
                <w:webHidden/>
              </w:rPr>
              <w:fldChar w:fldCharType="end"/>
            </w:r>
          </w:hyperlink>
        </w:p>
        <w:p w14:paraId="6216ED90" w14:textId="030D8071" w:rsidR="0075055D" w:rsidRPr="00C462A0" w:rsidRDefault="0075055D">
          <w:pPr>
            <w:pStyle w:val="TOC2"/>
            <w:tabs>
              <w:tab w:val="right" w:leader="dot" w:pos="9628"/>
            </w:tabs>
            <w:rPr>
              <w:rFonts w:cstheme="minorBidi"/>
              <w:b w:val="0"/>
              <w:bCs w:val="0"/>
              <w:noProof/>
              <w:kern w:val="2"/>
              <w:sz w:val="24"/>
              <w:szCs w:val="24"/>
              <w:lang w:eastAsia="hr-HR"/>
              <w14:ligatures w14:val="standardContextual"/>
            </w:rPr>
          </w:pPr>
          <w:hyperlink w:anchor="_Toc227623417" w:history="1">
            <w:r w:rsidRPr="00C462A0">
              <w:rPr>
                <w:rStyle w:val="Hyperlink"/>
                <w:noProof/>
              </w:rPr>
              <w:t>Module 3: Conclusion and Self-Assessment</w:t>
            </w:r>
            <w:r w:rsidRPr="00C462A0">
              <w:rPr>
                <w:noProof/>
                <w:webHidden/>
              </w:rPr>
              <w:tab/>
            </w:r>
            <w:r w:rsidRPr="00C462A0">
              <w:rPr>
                <w:noProof/>
                <w:webHidden/>
              </w:rPr>
              <w:fldChar w:fldCharType="begin"/>
            </w:r>
            <w:r w:rsidRPr="00C462A0">
              <w:rPr>
                <w:noProof/>
                <w:webHidden/>
              </w:rPr>
              <w:instrText xml:space="preserve"> PAGEREF _Toc227623417 \h </w:instrText>
            </w:r>
            <w:r w:rsidRPr="00C462A0">
              <w:rPr>
                <w:noProof/>
                <w:webHidden/>
              </w:rPr>
            </w:r>
            <w:r w:rsidRPr="00C462A0">
              <w:rPr>
                <w:noProof/>
                <w:webHidden/>
              </w:rPr>
              <w:fldChar w:fldCharType="separate"/>
            </w:r>
            <w:r w:rsidR="00C9161E">
              <w:rPr>
                <w:noProof/>
                <w:webHidden/>
              </w:rPr>
              <w:t>79</w:t>
            </w:r>
            <w:r w:rsidRPr="00C462A0">
              <w:rPr>
                <w:noProof/>
                <w:webHidden/>
              </w:rPr>
              <w:fldChar w:fldCharType="end"/>
            </w:r>
          </w:hyperlink>
        </w:p>
        <w:p w14:paraId="24A49936" w14:textId="32FDB0C6" w:rsidR="0075055D" w:rsidRPr="00C462A0" w:rsidRDefault="0075055D">
          <w:pPr>
            <w:pStyle w:val="TOC1"/>
            <w:tabs>
              <w:tab w:val="right" w:leader="dot" w:pos="9628"/>
            </w:tabs>
            <w:rPr>
              <w:rFonts w:cstheme="minorBidi"/>
              <w:b w:val="0"/>
              <w:bCs w:val="0"/>
              <w:i w:val="0"/>
              <w:iCs w:val="0"/>
              <w:noProof/>
              <w:kern w:val="2"/>
              <w:lang w:eastAsia="hr-HR"/>
              <w14:ligatures w14:val="standardContextual"/>
            </w:rPr>
          </w:pPr>
          <w:hyperlink w:anchor="_Toc227623418" w:history="1">
            <w:r w:rsidRPr="00C462A0">
              <w:rPr>
                <w:rStyle w:val="Hyperlink"/>
                <w:noProof/>
              </w:rPr>
              <w:t>References:</w:t>
            </w:r>
            <w:r w:rsidRPr="00C462A0">
              <w:rPr>
                <w:noProof/>
                <w:webHidden/>
              </w:rPr>
              <w:tab/>
            </w:r>
            <w:r w:rsidRPr="00C462A0">
              <w:rPr>
                <w:noProof/>
                <w:webHidden/>
              </w:rPr>
              <w:fldChar w:fldCharType="begin"/>
            </w:r>
            <w:r w:rsidRPr="00C462A0">
              <w:rPr>
                <w:noProof/>
                <w:webHidden/>
              </w:rPr>
              <w:instrText xml:space="preserve"> PAGEREF _Toc227623418 \h </w:instrText>
            </w:r>
            <w:r w:rsidRPr="00C462A0">
              <w:rPr>
                <w:noProof/>
                <w:webHidden/>
              </w:rPr>
            </w:r>
            <w:r w:rsidRPr="00C462A0">
              <w:rPr>
                <w:noProof/>
                <w:webHidden/>
              </w:rPr>
              <w:fldChar w:fldCharType="separate"/>
            </w:r>
            <w:r w:rsidR="00C9161E">
              <w:rPr>
                <w:noProof/>
                <w:webHidden/>
              </w:rPr>
              <w:t>81</w:t>
            </w:r>
            <w:r w:rsidRPr="00C462A0">
              <w:rPr>
                <w:noProof/>
                <w:webHidden/>
              </w:rPr>
              <w:fldChar w:fldCharType="end"/>
            </w:r>
          </w:hyperlink>
        </w:p>
        <w:p w14:paraId="1F2EE347" w14:textId="599675AC" w:rsidR="00BD0CF5" w:rsidRPr="00C462A0" w:rsidRDefault="00BD0CF5">
          <w:r w:rsidRPr="00C462A0">
            <w:rPr>
              <w:b/>
              <w:bCs/>
            </w:rPr>
            <w:fldChar w:fldCharType="end"/>
          </w:r>
        </w:p>
      </w:sdtContent>
    </w:sdt>
    <w:p w14:paraId="3F33DBC3" w14:textId="77777777" w:rsidR="00BD0CF5" w:rsidRPr="00C462A0" w:rsidRDefault="00BD0CF5" w:rsidP="00BD0CF5">
      <w:pPr>
        <w:pStyle w:val="Heading1"/>
        <w:numPr>
          <w:ilvl w:val="0"/>
          <w:numId w:val="0"/>
        </w:numPr>
        <w:ind w:left="426" w:hanging="360"/>
        <w:rPr>
          <w:sz w:val="40"/>
          <w:szCs w:val="40"/>
        </w:rPr>
      </w:pPr>
    </w:p>
    <w:p w14:paraId="2B55B18B" w14:textId="77777777" w:rsidR="00C462A0" w:rsidRPr="00C462A0" w:rsidRDefault="00C462A0" w:rsidP="00C462A0"/>
    <w:p w14:paraId="38C09129" w14:textId="43C841EC" w:rsidR="00BD0CF5" w:rsidRPr="00C462A0" w:rsidRDefault="00BD0CF5" w:rsidP="00BD0CF5">
      <w:pPr>
        <w:rPr>
          <w:rFonts w:asciiTheme="majorHAnsi" w:hAnsiTheme="majorHAnsi"/>
          <w:color w:val="00AC4E" w:themeColor="accent1"/>
          <w:sz w:val="40"/>
          <w:szCs w:val="40"/>
        </w:rPr>
      </w:pPr>
      <w:r w:rsidRPr="00C462A0">
        <w:rPr>
          <w:rFonts w:asciiTheme="majorHAnsi" w:hAnsiTheme="majorHAnsi"/>
          <w:color w:val="00AC4E" w:themeColor="accent1"/>
          <w:sz w:val="40"/>
          <w:szCs w:val="40"/>
        </w:rPr>
        <w:t>Table of Figures:</w:t>
      </w:r>
    </w:p>
    <w:p w14:paraId="4B12CD6B" w14:textId="1B4F25FB" w:rsidR="00121AFC" w:rsidRPr="00C462A0" w:rsidRDefault="00121AFC">
      <w:pPr>
        <w:pStyle w:val="TableofFigures"/>
        <w:tabs>
          <w:tab w:val="right" w:leader="dot" w:pos="9628"/>
        </w:tabs>
        <w:rPr>
          <w:noProof/>
          <w:kern w:val="2"/>
          <w:sz w:val="24"/>
          <w:szCs w:val="24"/>
          <w:lang w:eastAsia="hr-HR"/>
          <w14:ligatures w14:val="standardContextual"/>
        </w:rPr>
      </w:pPr>
      <w:r w:rsidRPr="00C462A0">
        <w:rPr>
          <w:rFonts w:asciiTheme="majorHAnsi" w:hAnsiTheme="majorHAnsi"/>
          <w:color w:val="00AC4E" w:themeColor="accent1"/>
          <w:sz w:val="40"/>
          <w:szCs w:val="40"/>
        </w:rPr>
        <w:fldChar w:fldCharType="begin"/>
      </w:r>
      <w:r w:rsidRPr="00C462A0">
        <w:rPr>
          <w:rFonts w:asciiTheme="majorHAnsi" w:hAnsiTheme="majorHAnsi"/>
          <w:color w:val="00AC4E" w:themeColor="accent1"/>
          <w:sz w:val="40"/>
          <w:szCs w:val="40"/>
        </w:rPr>
        <w:instrText xml:space="preserve"> TOC \h \z \c "Figure" </w:instrText>
      </w:r>
      <w:r w:rsidRPr="00C462A0">
        <w:rPr>
          <w:rFonts w:asciiTheme="majorHAnsi" w:hAnsiTheme="majorHAnsi"/>
          <w:color w:val="00AC4E" w:themeColor="accent1"/>
          <w:sz w:val="40"/>
          <w:szCs w:val="40"/>
        </w:rPr>
        <w:fldChar w:fldCharType="separate"/>
      </w:r>
      <w:hyperlink w:anchor="_Toc227623438" w:history="1">
        <w:r w:rsidRPr="00C462A0">
          <w:rPr>
            <w:rStyle w:val="Hyperlink"/>
            <w:noProof/>
          </w:rPr>
          <w:t>Figure 1. Confidentiality, integrity, and availability</w:t>
        </w:r>
        <w:r w:rsidRPr="00C462A0">
          <w:rPr>
            <w:noProof/>
            <w:webHidden/>
          </w:rPr>
          <w:tab/>
        </w:r>
        <w:r w:rsidRPr="00C462A0">
          <w:rPr>
            <w:noProof/>
            <w:webHidden/>
          </w:rPr>
          <w:fldChar w:fldCharType="begin"/>
        </w:r>
        <w:r w:rsidRPr="00C462A0">
          <w:rPr>
            <w:noProof/>
            <w:webHidden/>
          </w:rPr>
          <w:instrText xml:space="preserve"> PAGEREF _Toc227623438 \h </w:instrText>
        </w:r>
        <w:r w:rsidRPr="00C462A0">
          <w:rPr>
            <w:noProof/>
            <w:webHidden/>
          </w:rPr>
        </w:r>
        <w:r w:rsidRPr="00C462A0">
          <w:rPr>
            <w:noProof/>
            <w:webHidden/>
          </w:rPr>
          <w:fldChar w:fldCharType="separate"/>
        </w:r>
        <w:r w:rsidR="00C9161E">
          <w:rPr>
            <w:noProof/>
            <w:webHidden/>
          </w:rPr>
          <w:t>8</w:t>
        </w:r>
        <w:r w:rsidRPr="00C462A0">
          <w:rPr>
            <w:noProof/>
            <w:webHidden/>
          </w:rPr>
          <w:fldChar w:fldCharType="end"/>
        </w:r>
      </w:hyperlink>
    </w:p>
    <w:p w14:paraId="2B5F6F0B" w14:textId="38B25916" w:rsidR="00121AFC" w:rsidRPr="00C462A0" w:rsidRDefault="00121AFC">
      <w:pPr>
        <w:pStyle w:val="TableofFigures"/>
        <w:tabs>
          <w:tab w:val="right" w:leader="dot" w:pos="9628"/>
        </w:tabs>
        <w:rPr>
          <w:noProof/>
          <w:kern w:val="2"/>
          <w:sz w:val="24"/>
          <w:szCs w:val="24"/>
          <w:lang w:eastAsia="hr-HR"/>
          <w14:ligatures w14:val="standardContextual"/>
        </w:rPr>
      </w:pPr>
      <w:hyperlink w:anchor="_Toc227623439" w:history="1">
        <w:r w:rsidRPr="00C462A0">
          <w:rPr>
            <w:rStyle w:val="Hyperlink"/>
            <w:noProof/>
          </w:rPr>
          <w:t>Figure 2. Examples of confidentiality, integrity, and availability risks in energy and ESG data systems</w:t>
        </w:r>
        <w:r w:rsidRPr="00C462A0">
          <w:rPr>
            <w:noProof/>
            <w:webHidden/>
          </w:rPr>
          <w:tab/>
        </w:r>
        <w:r w:rsidRPr="00C462A0">
          <w:rPr>
            <w:noProof/>
            <w:webHidden/>
          </w:rPr>
          <w:fldChar w:fldCharType="begin"/>
        </w:r>
        <w:r w:rsidRPr="00C462A0">
          <w:rPr>
            <w:noProof/>
            <w:webHidden/>
          </w:rPr>
          <w:instrText xml:space="preserve"> PAGEREF _Toc227623439 \h </w:instrText>
        </w:r>
        <w:r w:rsidRPr="00C462A0">
          <w:rPr>
            <w:noProof/>
            <w:webHidden/>
          </w:rPr>
        </w:r>
        <w:r w:rsidRPr="00C462A0">
          <w:rPr>
            <w:noProof/>
            <w:webHidden/>
          </w:rPr>
          <w:fldChar w:fldCharType="separate"/>
        </w:r>
        <w:r w:rsidR="00C9161E">
          <w:rPr>
            <w:noProof/>
            <w:webHidden/>
          </w:rPr>
          <w:t>12</w:t>
        </w:r>
        <w:r w:rsidRPr="00C462A0">
          <w:rPr>
            <w:noProof/>
            <w:webHidden/>
          </w:rPr>
          <w:fldChar w:fldCharType="end"/>
        </w:r>
      </w:hyperlink>
    </w:p>
    <w:p w14:paraId="0733C56D" w14:textId="212337DD" w:rsidR="00121AFC" w:rsidRPr="00C462A0" w:rsidRDefault="00121AFC">
      <w:pPr>
        <w:pStyle w:val="TableofFigures"/>
        <w:tabs>
          <w:tab w:val="right" w:leader="dot" w:pos="9628"/>
        </w:tabs>
        <w:rPr>
          <w:noProof/>
          <w:kern w:val="2"/>
          <w:sz w:val="24"/>
          <w:szCs w:val="24"/>
          <w:lang w:eastAsia="hr-HR"/>
          <w14:ligatures w14:val="standardContextual"/>
        </w:rPr>
      </w:pPr>
      <w:hyperlink w:anchor="_Toc227623440" w:history="1">
        <w:r w:rsidRPr="00C462A0">
          <w:rPr>
            <w:rStyle w:val="Hyperlink"/>
            <w:rFonts w:cstheme="minorHAnsi"/>
            <w:noProof/>
          </w:rPr>
          <w:t>Figure 3. Overview of the modern cyber threat landscape.</w:t>
        </w:r>
        <w:r w:rsidRPr="00C462A0">
          <w:rPr>
            <w:noProof/>
            <w:webHidden/>
          </w:rPr>
          <w:tab/>
        </w:r>
        <w:r w:rsidRPr="00C462A0">
          <w:rPr>
            <w:noProof/>
            <w:webHidden/>
          </w:rPr>
          <w:fldChar w:fldCharType="begin"/>
        </w:r>
        <w:r w:rsidRPr="00C462A0">
          <w:rPr>
            <w:noProof/>
            <w:webHidden/>
          </w:rPr>
          <w:instrText xml:space="preserve"> PAGEREF _Toc227623440 \h </w:instrText>
        </w:r>
        <w:r w:rsidRPr="00C462A0">
          <w:rPr>
            <w:noProof/>
            <w:webHidden/>
          </w:rPr>
        </w:r>
        <w:r w:rsidRPr="00C462A0">
          <w:rPr>
            <w:noProof/>
            <w:webHidden/>
          </w:rPr>
          <w:fldChar w:fldCharType="separate"/>
        </w:r>
        <w:r w:rsidR="00C9161E">
          <w:rPr>
            <w:noProof/>
            <w:webHidden/>
          </w:rPr>
          <w:t>14</w:t>
        </w:r>
        <w:r w:rsidRPr="00C462A0">
          <w:rPr>
            <w:noProof/>
            <w:webHidden/>
          </w:rPr>
          <w:fldChar w:fldCharType="end"/>
        </w:r>
      </w:hyperlink>
    </w:p>
    <w:p w14:paraId="6829A490" w14:textId="5ECB73DE" w:rsidR="00121AFC" w:rsidRPr="00C462A0" w:rsidRDefault="00121AFC">
      <w:pPr>
        <w:pStyle w:val="TableofFigures"/>
        <w:tabs>
          <w:tab w:val="right" w:leader="dot" w:pos="9628"/>
        </w:tabs>
        <w:rPr>
          <w:noProof/>
          <w:kern w:val="2"/>
          <w:sz w:val="24"/>
          <w:szCs w:val="24"/>
          <w:lang w:eastAsia="hr-HR"/>
          <w14:ligatures w14:val="standardContextual"/>
        </w:rPr>
      </w:pPr>
      <w:hyperlink w:anchor="_Toc227623441" w:history="1">
        <w:r w:rsidRPr="00C462A0">
          <w:rPr>
            <w:rStyle w:val="Hyperlink"/>
            <w:noProof/>
          </w:rPr>
          <w:t>Figure 4. Overview of the MITRE ATT&amp;CK framework.</w:t>
        </w:r>
        <w:r w:rsidRPr="00C462A0">
          <w:rPr>
            <w:noProof/>
            <w:webHidden/>
          </w:rPr>
          <w:tab/>
        </w:r>
        <w:r w:rsidRPr="00C462A0">
          <w:rPr>
            <w:noProof/>
            <w:webHidden/>
          </w:rPr>
          <w:fldChar w:fldCharType="begin"/>
        </w:r>
        <w:r w:rsidRPr="00C462A0">
          <w:rPr>
            <w:noProof/>
            <w:webHidden/>
          </w:rPr>
          <w:instrText xml:space="preserve"> PAGEREF _Toc227623441 \h </w:instrText>
        </w:r>
        <w:r w:rsidRPr="00C462A0">
          <w:rPr>
            <w:noProof/>
            <w:webHidden/>
          </w:rPr>
        </w:r>
        <w:r w:rsidRPr="00C462A0">
          <w:rPr>
            <w:noProof/>
            <w:webHidden/>
          </w:rPr>
          <w:fldChar w:fldCharType="separate"/>
        </w:r>
        <w:r w:rsidR="00C9161E">
          <w:rPr>
            <w:noProof/>
            <w:webHidden/>
          </w:rPr>
          <w:t>18</w:t>
        </w:r>
        <w:r w:rsidRPr="00C462A0">
          <w:rPr>
            <w:noProof/>
            <w:webHidden/>
          </w:rPr>
          <w:fldChar w:fldCharType="end"/>
        </w:r>
      </w:hyperlink>
    </w:p>
    <w:p w14:paraId="209B0A79" w14:textId="151D9707" w:rsidR="00121AFC" w:rsidRPr="00C462A0" w:rsidRDefault="00121AFC">
      <w:pPr>
        <w:pStyle w:val="TableofFigures"/>
        <w:tabs>
          <w:tab w:val="right" w:leader="dot" w:pos="9628"/>
        </w:tabs>
        <w:rPr>
          <w:noProof/>
          <w:kern w:val="2"/>
          <w:sz w:val="24"/>
          <w:szCs w:val="24"/>
          <w:lang w:eastAsia="hr-HR"/>
          <w14:ligatures w14:val="standardContextual"/>
        </w:rPr>
      </w:pPr>
      <w:hyperlink w:anchor="_Toc227623442" w:history="1">
        <w:r w:rsidRPr="00C462A0">
          <w:rPr>
            <w:rStyle w:val="Hyperlink"/>
            <w:noProof/>
          </w:rPr>
          <w:t>Figure 5.  Attack paths in ESG digital infrastructures.</w:t>
        </w:r>
        <w:r w:rsidRPr="00C462A0">
          <w:rPr>
            <w:noProof/>
            <w:webHidden/>
          </w:rPr>
          <w:tab/>
        </w:r>
        <w:r w:rsidRPr="00C462A0">
          <w:rPr>
            <w:noProof/>
            <w:webHidden/>
          </w:rPr>
          <w:fldChar w:fldCharType="begin"/>
        </w:r>
        <w:r w:rsidRPr="00C462A0">
          <w:rPr>
            <w:noProof/>
            <w:webHidden/>
          </w:rPr>
          <w:instrText xml:space="preserve"> PAGEREF _Toc227623442 \h </w:instrText>
        </w:r>
        <w:r w:rsidRPr="00C462A0">
          <w:rPr>
            <w:noProof/>
            <w:webHidden/>
          </w:rPr>
        </w:r>
        <w:r w:rsidRPr="00C462A0">
          <w:rPr>
            <w:noProof/>
            <w:webHidden/>
          </w:rPr>
          <w:fldChar w:fldCharType="separate"/>
        </w:r>
        <w:r w:rsidR="00C9161E">
          <w:rPr>
            <w:noProof/>
            <w:webHidden/>
          </w:rPr>
          <w:t>19</w:t>
        </w:r>
        <w:r w:rsidRPr="00C462A0">
          <w:rPr>
            <w:noProof/>
            <w:webHidden/>
          </w:rPr>
          <w:fldChar w:fldCharType="end"/>
        </w:r>
      </w:hyperlink>
    </w:p>
    <w:p w14:paraId="76ED757B" w14:textId="6C595F5C" w:rsidR="00121AFC" w:rsidRPr="00C462A0" w:rsidRDefault="00121AFC">
      <w:pPr>
        <w:pStyle w:val="TableofFigures"/>
        <w:tabs>
          <w:tab w:val="right" w:leader="dot" w:pos="9628"/>
        </w:tabs>
        <w:rPr>
          <w:noProof/>
          <w:kern w:val="2"/>
          <w:sz w:val="24"/>
          <w:szCs w:val="24"/>
          <w:lang w:eastAsia="hr-HR"/>
          <w14:ligatures w14:val="standardContextual"/>
        </w:rPr>
      </w:pPr>
      <w:hyperlink w:anchor="_Toc227623443" w:history="1">
        <w:r w:rsidRPr="00C462A0">
          <w:rPr>
            <w:rStyle w:val="Hyperlink"/>
            <w:rFonts w:cstheme="minorHAnsi"/>
            <w:noProof/>
          </w:rPr>
          <w:t>Figure 6. Cyber risk assessment model</w:t>
        </w:r>
        <w:r w:rsidRPr="00C462A0">
          <w:rPr>
            <w:noProof/>
            <w:webHidden/>
          </w:rPr>
          <w:tab/>
        </w:r>
        <w:r w:rsidRPr="00C462A0">
          <w:rPr>
            <w:noProof/>
            <w:webHidden/>
          </w:rPr>
          <w:fldChar w:fldCharType="begin"/>
        </w:r>
        <w:r w:rsidRPr="00C462A0">
          <w:rPr>
            <w:noProof/>
            <w:webHidden/>
          </w:rPr>
          <w:instrText xml:space="preserve"> PAGEREF _Toc227623443 \h </w:instrText>
        </w:r>
        <w:r w:rsidRPr="00C462A0">
          <w:rPr>
            <w:noProof/>
            <w:webHidden/>
          </w:rPr>
        </w:r>
        <w:r w:rsidRPr="00C462A0">
          <w:rPr>
            <w:noProof/>
            <w:webHidden/>
          </w:rPr>
          <w:fldChar w:fldCharType="separate"/>
        </w:r>
        <w:r w:rsidR="00C9161E">
          <w:rPr>
            <w:noProof/>
            <w:webHidden/>
          </w:rPr>
          <w:t>22</w:t>
        </w:r>
        <w:r w:rsidRPr="00C462A0">
          <w:rPr>
            <w:noProof/>
            <w:webHidden/>
          </w:rPr>
          <w:fldChar w:fldCharType="end"/>
        </w:r>
      </w:hyperlink>
    </w:p>
    <w:p w14:paraId="0EC0F25D" w14:textId="0DD1B325" w:rsidR="00121AFC" w:rsidRPr="00C462A0" w:rsidRDefault="00121AFC">
      <w:pPr>
        <w:pStyle w:val="TableofFigures"/>
        <w:tabs>
          <w:tab w:val="right" w:leader="dot" w:pos="9628"/>
        </w:tabs>
        <w:rPr>
          <w:noProof/>
          <w:kern w:val="2"/>
          <w:sz w:val="24"/>
          <w:szCs w:val="24"/>
          <w:lang w:eastAsia="hr-HR"/>
          <w14:ligatures w14:val="standardContextual"/>
        </w:rPr>
      </w:pPr>
      <w:hyperlink w:anchor="_Toc227623444" w:history="1">
        <w:r w:rsidRPr="00C462A0">
          <w:rPr>
            <w:rStyle w:val="Hyperlink"/>
            <w:rFonts w:cstheme="minorHAnsi"/>
            <w:noProof/>
          </w:rPr>
          <w:t>Figure 7. Cascading impacts of cyber incidents.</w:t>
        </w:r>
        <w:r w:rsidRPr="00C462A0">
          <w:rPr>
            <w:noProof/>
            <w:webHidden/>
          </w:rPr>
          <w:tab/>
        </w:r>
        <w:r w:rsidRPr="00C462A0">
          <w:rPr>
            <w:noProof/>
            <w:webHidden/>
          </w:rPr>
          <w:fldChar w:fldCharType="begin"/>
        </w:r>
        <w:r w:rsidRPr="00C462A0">
          <w:rPr>
            <w:noProof/>
            <w:webHidden/>
          </w:rPr>
          <w:instrText xml:space="preserve"> PAGEREF _Toc227623444 \h </w:instrText>
        </w:r>
        <w:r w:rsidRPr="00C462A0">
          <w:rPr>
            <w:noProof/>
            <w:webHidden/>
          </w:rPr>
        </w:r>
        <w:r w:rsidRPr="00C462A0">
          <w:rPr>
            <w:noProof/>
            <w:webHidden/>
          </w:rPr>
          <w:fldChar w:fldCharType="separate"/>
        </w:r>
        <w:r w:rsidR="00C9161E">
          <w:rPr>
            <w:noProof/>
            <w:webHidden/>
          </w:rPr>
          <w:t>23</w:t>
        </w:r>
        <w:r w:rsidRPr="00C462A0">
          <w:rPr>
            <w:noProof/>
            <w:webHidden/>
          </w:rPr>
          <w:fldChar w:fldCharType="end"/>
        </w:r>
      </w:hyperlink>
    </w:p>
    <w:p w14:paraId="1B1E84DF" w14:textId="4ADBC573" w:rsidR="00121AFC" w:rsidRPr="00C462A0" w:rsidRDefault="00121AFC">
      <w:pPr>
        <w:pStyle w:val="TableofFigures"/>
        <w:tabs>
          <w:tab w:val="right" w:leader="dot" w:pos="9628"/>
        </w:tabs>
        <w:rPr>
          <w:noProof/>
          <w:kern w:val="2"/>
          <w:sz w:val="24"/>
          <w:szCs w:val="24"/>
          <w:lang w:eastAsia="hr-HR"/>
          <w14:ligatures w14:val="standardContextual"/>
        </w:rPr>
      </w:pPr>
      <w:hyperlink w:anchor="_Toc227623445" w:history="1">
        <w:r w:rsidRPr="00C462A0">
          <w:rPr>
            <w:rStyle w:val="Hyperlink"/>
            <w:rFonts w:cstheme="minorHAnsi"/>
            <w:noProof/>
          </w:rPr>
          <w:t>Figure 8. Layered architecture of an energy management system.</w:t>
        </w:r>
        <w:r w:rsidRPr="00C462A0">
          <w:rPr>
            <w:noProof/>
            <w:webHidden/>
          </w:rPr>
          <w:tab/>
        </w:r>
        <w:r w:rsidRPr="00C462A0">
          <w:rPr>
            <w:noProof/>
            <w:webHidden/>
          </w:rPr>
          <w:fldChar w:fldCharType="begin"/>
        </w:r>
        <w:r w:rsidRPr="00C462A0">
          <w:rPr>
            <w:noProof/>
            <w:webHidden/>
          </w:rPr>
          <w:instrText xml:space="preserve"> PAGEREF _Toc227623445 \h </w:instrText>
        </w:r>
        <w:r w:rsidRPr="00C462A0">
          <w:rPr>
            <w:noProof/>
            <w:webHidden/>
          </w:rPr>
        </w:r>
        <w:r w:rsidRPr="00C462A0">
          <w:rPr>
            <w:noProof/>
            <w:webHidden/>
          </w:rPr>
          <w:fldChar w:fldCharType="separate"/>
        </w:r>
        <w:r w:rsidR="00C9161E">
          <w:rPr>
            <w:noProof/>
            <w:webHidden/>
          </w:rPr>
          <w:t>31</w:t>
        </w:r>
        <w:r w:rsidRPr="00C462A0">
          <w:rPr>
            <w:noProof/>
            <w:webHidden/>
          </w:rPr>
          <w:fldChar w:fldCharType="end"/>
        </w:r>
      </w:hyperlink>
    </w:p>
    <w:p w14:paraId="7CDC237E" w14:textId="4F8F7E03" w:rsidR="00121AFC" w:rsidRPr="00C462A0" w:rsidRDefault="00121AFC">
      <w:pPr>
        <w:pStyle w:val="TableofFigures"/>
        <w:tabs>
          <w:tab w:val="right" w:leader="dot" w:pos="9628"/>
        </w:tabs>
        <w:rPr>
          <w:noProof/>
          <w:kern w:val="2"/>
          <w:sz w:val="24"/>
          <w:szCs w:val="24"/>
          <w:lang w:eastAsia="hr-HR"/>
          <w14:ligatures w14:val="standardContextual"/>
        </w:rPr>
      </w:pPr>
      <w:hyperlink w:anchor="_Toc227623446" w:history="1">
        <w:r w:rsidRPr="00C462A0">
          <w:rPr>
            <w:rStyle w:val="Hyperlink"/>
            <w:rFonts w:cstheme="minorHAnsi"/>
            <w:noProof/>
          </w:rPr>
          <w:t>Figure 9. Smart metering network architecture connecting HAN, LMN, and WAN</w:t>
        </w:r>
        <w:r w:rsidRPr="00C462A0">
          <w:rPr>
            <w:noProof/>
            <w:webHidden/>
          </w:rPr>
          <w:tab/>
        </w:r>
        <w:r w:rsidRPr="00C462A0">
          <w:rPr>
            <w:noProof/>
            <w:webHidden/>
          </w:rPr>
          <w:fldChar w:fldCharType="begin"/>
        </w:r>
        <w:r w:rsidRPr="00C462A0">
          <w:rPr>
            <w:noProof/>
            <w:webHidden/>
          </w:rPr>
          <w:instrText xml:space="preserve"> PAGEREF _Toc227623446 \h </w:instrText>
        </w:r>
        <w:r w:rsidRPr="00C462A0">
          <w:rPr>
            <w:noProof/>
            <w:webHidden/>
          </w:rPr>
        </w:r>
        <w:r w:rsidRPr="00C462A0">
          <w:rPr>
            <w:noProof/>
            <w:webHidden/>
          </w:rPr>
          <w:fldChar w:fldCharType="separate"/>
        </w:r>
        <w:r w:rsidR="00C9161E">
          <w:rPr>
            <w:noProof/>
            <w:webHidden/>
          </w:rPr>
          <w:t>31</w:t>
        </w:r>
        <w:r w:rsidRPr="00C462A0">
          <w:rPr>
            <w:noProof/>
            <w:webHidden/>
          </w:rPr>
          <w:fldChar w:fldCharType="end"/>
        </w:r>
      </w:hyperlink>
    </w:p>
    <w:p w14:paraId="244A99BA" w14:textId="014AB542" w:rsidR="00121AFC" w:rsidRPr="00C462A0" w:rsidRDefault="00121AFC">
      <w:pPr>
        <w:pStyle w:val="TableofFigures"/>
        <w:tabs>
          <w:tab w:val="right" w:leader="dot" w:pos="9628"/>
        </w:tabs>
        <w:rPr>
          <w:noProof/>
          <w:kern w:val="2"/>
          <w:sz w:val="24"/>
          <w:szCs w:val="24"/>
          <w:lang w:eastAsia="hr-HR"/>
          <w14:ligatures w14:val="standardContextual"/>
        </w:rPr>
      </w:pPr>
      <w:hyperlink w:anchor="_Toc227623447" w:history="1">
        <w:r w:rsidRPr="00C462A0">
          <w:rPr>
            <w:rStyle w:val="Hyperlink"/>
            <w:rFonts w:cstheme="minorHAnsi"/>
            <w:noProof/>
          </w:rPr>
          <w:t>Figure 10. Typical attack path in an Energy Management System.</w:t>
        </w:r>
        <w:r w:rsidRPr="00C462A0">
          <w:rPr>
            <w:noProof/>
            <w:webHidden/>
          </w:rPr>
          <w:tab/>
        </w:r>
        <w:r w:rsidRPr="00C462A0">
          <w:rPr>
            <w:noProof/>
            <w:webHidden/>
          </w:rPr>
          <w:fldChar w:fldCharType="begin"/>
        </w:r>
        <w:r w:rsidRPr="00C462A0">
          <w:rPr>
            <w:noProof/>
            <w:webHidden/>
          </w:rPr>
          <w:instrText xml:space="preserve"> PAGEREF _Toc227623447 \h </w:instrText>
        </w:r>
        <w:r w:rsidRPr="00C462A0">
          <w:rPr>
            <w:noProof/>
            <w:webHidden/>
          </w:rPr>
        </w:r>
        <w:r w:rsidRPr="00C462A0">
          <w:rPr>
            <w:noProof/>
            <w:webHidden/>
          </w:rPr>
          <w:fldChar w:fldCharType="separate"/>
        </w:r>
        <w:r w:rsidR="00C9161E">
          <w:rPr>
            <w:noProof/>
            <w:webHidden/>
          </w:rPr>
          <w:t>33</w:t>
        </w:r>
        <w:r w:rsidRPr="00C462A0">
          <w:rPr>
            <w:noProof/>
            <w:webHidden/>
          </w:rPr>
          <w:fldChar w:fldCharType="end"/>
        </w:r>
      </w:hyperlink>
    </w:p>
    <w:p w14:paraId="5CF83F46" w14:textId="7FDDF9B3" w:rsidR="00121AFC" w:rsidRPr="00C462A0" w:rsidRDefault="00121AFC">
      <w:pPr>
        <w:pStyle w:val="TableofFigures"/>
        <w:tabs>
          <w:tab w:val="right" w:leader="dot" w:pos="9628"/>
        </w:tabs>
        <w:rPr>
          <w:noProof/>
          <w:kern w:val="2"/>
          <w:sz w:val="24"/>
          <w:szCs w:val="24"/>
          <w:lang w:eastAsia="hr-HR"/>
          <w14:ligatures w14:val="standardContextual"/>
        </w:rPr>
      </w:pPr>
      <w:hyperlink w:anchor="_Toc227623448" w:history="1">
        <w:r w:rsidRPr="00C462A0">
          <w:rPr>
            <w:rStyle w:val="Hyperlink"/>
            <w:rFonts w:cstheme="minorHAnsi"/>
            <w:noProof/>
          </w:rPr>
          <w:t>Figure 11. Mapping EMS components to ATT&amp;CK for ICS tactics</w:t>
        </w:r>
        <w:r w:rsidRPr="00C462A0">
          <w:rPr>
            <w:noProof/>
            <w:webHidden/>
          </w:rPr>
          <w:tab/>
        </w:r>
        <w:r w:rsidRPr="00C462A0">
          <w:rPr>
            <w:noProof/>
            <w:webHidden/>
          </w:rPr>
          <w:fldChar w:fldCharType="begin"/>
        </w:r>
        <w:r w:rsidRPr="00C462A0">
          <w:rPr>
            <w:noProof/>
            <w:webHidden/>
          </w:rPr>
          <w:instrText xml:space="preserve"> PAGEREF _Toc227623448 \h </w:instrText>
        </w:r>
        <w:r w:rsidRPr="00C462A0">
          <w:rPr>
            <w:noProof/>
            <w:webHidden/>
          </w:rPr>
        </w:r>
        <w:r w:rsidRPr="00C462A0">
          <w:rPr>
            <w:noProof/>
            <w:webHidden/>
          </w:rPr>
          <w:fldChar w:fldCharType="separate"/>
        </w:r>
        <w:r w:rsidR="00C9161E">
          <w:rPr>
            <w:noProof/>
            <w:webHidden/>
          </w:rPr>
          <w:t>34</w:t>
        </w:r>
        <w:r w:rsidRPr="00C462A0">
          <w:rPr>
            <w:noProof/>
            <w:webHidden/>
          </w:rPr>
          <w:fldChar w:fldCharType="end"/>
        </w:r>
      </w:hyperlink>
    </w:p>
    <w:p w14:paraId="3AA03DF1" w14:textId="277A7E89" w:rsidR="00121AFC" w:rsidRPr="00C462A0" w:rsidRDefault="00121AFC">
      <w:pPr>
        <w:pStyle w:val="TableofFigures"/>
        <w:tabs>
          <w:tab w:val="right" w:leader="dot" w:pos="9628"/>
        </w:tabs>
        <w:rPr>
          <w:noProof/>
          <w:kern w:val="2"/>
          <w:sz w:val="24"/>
          <w:szCs w:val="24"/>
          <w:lang w:eastAsia="hr-HR"/>
          <w14:ligatures w14:val="standardContextual"/>
        </w:rPr>
      </w:pPr>
      <w:hyperlink w:anchor="_Toc227623449" w:history="1">
        <w:r w:rsidRPr="00C462A0">
          <w:rPr>
            <w:rStyle w:val="Hyperlink"/>
            <w:rFonts w:cstheme="minorHAnsi"/>
            <w:noProof/>
          </w:rPr>
          <w:t>Figure 12. IoT sensor ecosystem in sustainable infrastructure</w:t>
        </w:r>
        <w:r w:rsidRPr="00C462A0">
          <w:rPr>
            <w:noProof/>
            <w:webHidden/>
          </w:rPr>
          <w:tab/>
        </w:r>
        <w:r w:rsidRPr="00C462A0">
          <w:rPr>
            <w:noProof/>
            <w:webHidden/>
          </w:rPr>
          <w:fldChar w:fldCharType="begin"/>
        </w:r>
        <w:r w:rsidRPr="00C462A0">
          <w:rPr>
            <w:noProof/>
            <w:webHidden/>
          </w:rPr>
          <w:instrText xml:space="preserve"> PAGEREF _Toc227623449 \h </w:instrText>
        </w:r>
        <w:r w:rsidRPr="00C462A0">
          <w:rPr>
            <w:noProof/>
            <w:webHidden/>
          </w:rPr>
        </w:r>
        <w:r w:rsidRPr="00C462A0">
          <w:rPr>
            <w:noProof/>
            <w:webHidden/>
          </w:rPr>
          <w:fldChar w:fldCharType="separate"/>
        </w:r>
        <w:r w:rsidR="00C9161E">
          <w:rPr>
            <w:noProof/>
            <w:webHidden/>
          </w:rPr>
          <w:t>37</w:t>
        </w:r>
        <w:r w:rsidRPr="00C462A0">
          <w:rPr>
            <w:noProof/>
            <w:webHidden/>
          </w:rPr>
          <w:fldChar w:fldCharType="end"/>
        </w:r>
      </w:hyperlink>
    </w:p>
    <w:p w14:paraId="30751467" w14:textId="556BE0BE" w:rsidR="00121AFC" w:rsidRPr="00C462A0" w:rsidRDefault="00121AFC">
      <w:pPr>
        <w:pStyle w:val="TableofFigures"/>
        <w:tabs>
          <w:tab w:val="right" w:leader="dot" w:pos="9628"/>
        </w:tabs>
        <w:rPr>
          <w:noProof/>
          <w:kern w:val="2"/>
          <w:sz w:val="24"/>
          <w:szCs w:val="24"/>
          <w:lang w:eastAsia="hr-HR"/>
          <w14:ligatures w14:val="standardContextual"/>
        </w:rPr>
      </w:pPr>
      <w:hyperlink w:anchor="_Toc227623450" w:history="1">
        <w:r w:rsidRPr="00C462A0">
          <w:rPr>
            <w:rStyle w:val="Hyperlink"/>
            <w:rFonts w:cstheme="minorHAnsi"/>
            <w:noProof/>
          </w:rPr>
          <w:t>Figure 13. Typical IoT attack chain.</w:t>
        </w:r>
        <w:r w:rsidRPr="00C462A0">
          <w:rPr>
            <w:noProof/>
            <w:webHidden/>
          </w:rPr>
          <w:tab/>
        </w:r>
        <w:r w:rsidRPr="00C462A0">
          <w:rPr>
            <w:noProof/>
            <w:webHidden/>
          </w:rPr>
          <w:fldChar w:fldCharType="begin"/>
        </w:r>
        <w:r w:rsidRPr="00C462A0">
          <w:rPr>
            <w:noProof/>
            <w:webHidden/>
          </w:rPr>
          <w:instrText xml:space="preserve"> PAGEREF _Toc227623450 \h </w:instrText>
        </w:r>
        <w:r w:rsidRPr="00C462A0">
          <w:rPr>
            <w:noProof/>
            <w:webHidden/>
          </w:rPr>
        </w:r>
        <w:r w:rsidRPr="00C462A0">
          <w:rPr>
            <w:noProof/>
            <w:webHidden/>
          </w:rPr>
          <w:fldChar w:fldCharType="separate"/>
        </w:r>
        <w:r w:rsidR="00C9161E">
          <w:rPr>
            <w:noProof/>
            <w:webHidden/>
          </w:rPr>
          <w:t>39</w:t>
        </w:r>
        <w:r w:rsidRPr="00C462A0">
          <w:rPr>
            <w:noProof/>
            <w:webHidden/>
          </w:rPr>
          <w:fldChar w:fldCharType="end"/>
        </w:r>
      </w:hyperlink>
    </w:p>
    <w:p w14:paraId="169C82B2" w14:textId="29B70D09" w:rsidR="00121AFC" w:rsidRPr="00C462A0" w:rsidRDefault="00121AFC">
      <w:pPr>
        <w:pStyle w:val="TableofFigures"/>
        <w:tabs>
          <w:tab w:val="right" w:leader="dot" w:pos="9628"/>
        </w:tabs>
        <w:rPr>
          <w:noProof/>
          <w:kern w:val="2"/>
          <w:sz w:val="24"/>
          <w:szCs w:val="24"/>
          <w:lang w:eastAsia="hr-HR"/>
          <w14:ligatures w14:val="standardContextual"/>
        </w:rPr>
      </w:pPr>
      <w:hyperlink w:anchor="_Toc227623451" w:history="1">
        <w:r w:rsidRPr="00C462A0">
          <w:rPr>
            <w:rStyle w:val="Hyperlink"/>
            <w:rFonts w:cstheme="minorHAnsi"/>
            <w:noProof/>
          </w:rPr>
          <w:t>Figure 14.  Smart grid architecture</w:t>
        </w:r>
        <w:r w:rsidRPr="00C462A0">
          <w:rPr>
            <w:noProof/>
            <w:webHidden/>
          </w:rPr>
          <w:tab/>
        </w:r>
        <w:r w:rsidRPr="00C462A0">
          <w:rPr>
            <w:noProof/>
            <w:webHidden/>
          </w:rPr>
          <w:fldChar w:fldCharType="begin"/>
        </w:r>
        <w:r w:rsidRPr="00C462A0">
          <w:rPr>
            <w:noProof/>
            <w:webHidden/>
          </w:rPr>
          <w:instrText xml:space="preserve"> PAGEREF _Toc227623451 \h </w:instrText>
        </w:r>
        <w:r w:rsidRPr="00C462A0">
          <w:rPr>
            <w:noProof/>
            <w:webHidden/>
          </w:rPr>
        </w:r>
        <w:r w:rsidRPr="00C462A0">
          <w:rPr>
            <w:noProof/>
            <w:webHidden/>
          </w:rPr>
          <w:fldChar w:fldCharType="separate"/>
        </w:r>
        <w:r w:rsidR="00C9161E">
          <w:rPr>
            <w:noProof/>
            <w:webHidden/>
          </w:rPr>
          <w:t>43</w:t>
        </w:r>
        <w:r w:rsidRPr="00C462A0">
          <w:rPr>
            <w:noProof/>
            <w:webHidden/>
          </w:rPr>
          <w:fldChar w:fldCharType="end"/>
        </w:r>
      </w:hyperlink>
    </w:p>
    <w:p w14:paraId="0D4EA0E3" w14:textId="52A771EA" w:rsidR="00121AFC" w:rsidRPr="00C462A0" w:rsidRDefault="00121AFC">
      <w:pPr>
        <w:pStyle w:val="TableofFigures"/>
        <w:tabs>
          <w:tab w:val="right" w:leader="dot" w:pos="9628"/>
        </w:tabs>
        <w:rPr>
          <w:noProof/>
          <w:kern w:val="2"/>
          <w:sz w:val="24"/>
          <w:szCs w:val="24"/>
          <w:lang w:eastAsia="hr-HR"/>
          <w14:ligatures w14:val="standardContextual"/>
        </w:rPr>
      </w:pPr>
      <w:hyperlink w:anchor="_Toc227623452" w:history="1">
        <w:r w:rsidRPr="00C462A0">
          <w:rPr>
            <w:rStyle w:val="Hyperlink"/>
            <w:rFonts w:cstheme="minorHAnsi"/>
            <w:noProof/>
          </w:rPr>
          <w:t>Figure 15.  Example of a cascading cyber attack in a smart grid</w:t>
        </w:r>
        <w:r w:rsidRPr="00C462A0">
          <w:rPr>
            <w:noProof/>
            <w:webHidden/>
          </w:rPr>
          <w:tab/>
        </w:r>
        <w:r w:rsidRPr="00C462A0">
          <w:rPr>
            <w:noProof/>
            <w:webHidden/>
          </w:rPr>
          <w:fldChar w:fldCharType="begin"/>
        </w:r>
        <w:r w:rsidRPr="00C462A0">
          <w:rPr>
            <w:noProof/>
            <w:webHidden/>
          </w:rPr>
          <w:instrText xml:space="preserve"> PAGEREF _Toc227623452 \h </w:instrText>
        </w:r>
        <w:r w:rsidRPr="00C462A0">
          <w:rPr>
            <w:noProof/>
            <w:webHidden/>
          </w:rPr>
        </w:r>
        <w:r w:rsidRPr="00C462A0">
          <w:rPr>
            <w:noProof/>
            <w:webHidden/>
          </w:rPr>
          <w:fldChar w:fldCharType="separate"/>
        </w:r>
        <w:r w:rsidR="00C9161E">
          <w:rPr>
            <w:noProof/>
            <w:webHidden/>
          </w:rPr>
          <w:t>44</w:t>
        </w:r>
        <w:r w:rsidRPr="00C462A0">
          <w:rPr>
            <w:noProof/>
            <w:webHidden/>
          </w:rPr>
          <w:fldChar w:fldCharType="end"/>
        </w:r>
      </w:hyperlink>
    </w:p>
    <w:p w14:paraId="1C7EDD1D" w14:textId="04B691D0" w:rsidR="00121AFC" w:rsidRPr="00C462A0" w:rsidRDefault="00121AFC">
      <w:pPr>
        <w:pStyle w:val="TableofFigures"/>
        <w:tabs>
          <w:tab w:val="right" w:leader="dot" w:pos="9628"/>
        </w:tabs>
        <w:rPr>
          <w:noProof/>
          <w:kern w:val="2"/>
          <w:sz w:val="24"/>
          <w:szCs w:val="24"/>
          <w:lang w:eastAsia="hr-HR"/>
          <w14:ligatures w14:val="standardContextual"/>
        </w:rPr>
      </w:pPr>
      <w:hyperlink w:anchor="_Toc227623453" w:history="1">
        <w:r w:rsidRPr="00C462A0">
          <w:rPr>
            <w:rStyle w:val="Hyperlink"/>
            <w:rFonts w:cstheme="minorHAnsi"/>
            <w:noProof/>
          </w:rPr>
          <w:t>Figure 16.  Smart meter gateway acting as a secure communication hub</w:t>
        </w:r>
        <w:r w:rsidRPr="00C462A0">
          <w:rPr>
            <w:noProof/>
            <w:webHidden/>
          </w:rPr>
          <w:tab/>
        </w:r>
        <w:r w:rsidRPr="00C462A0">
          <w:rPr>
            <w:noProof/>
            <w:webHidden/>
          </w:rPr>
          <w:fldChar w:fldCharType="begin"/>
        </w:r>
        <w:r w:rsidRPr="00C462A0">
          <w:rPr>
            <w:noProof/>
            <w:webHidden/>
          </w:rPr>
          <w:instrText xml:space="preserve"> PAGEREF _Toc227623453 \h </w:instrText>
        </w:r>
        <w:r w:rsidRPr="00C462A0">
          <w:rPr>
            <w:noProof/>
            <w:webHidden/>
          </w:rPr>
        </w:r>
        <w:r w:rsidRPr="00C462A0">
          <w:rPr>
            <w:noProof/>
            <w:webHidden/>
          </w:rPr>
          <w:fldChar w:fldCharType="separate"/>
        </w:r>
        <w:r w:rsidR="00C9161E">
          <w:rPr>
            <w:noProof/>
            <w:webHidden/>
          </w:rPr>
          <w:t>45</w:t>
        </w:r>
        <w:r w:rsidRPr="00C462A0">
          <w:rPr>
            <w:noProof/>
            <w:webHidden/>
          </w:rPr>
          <w:fldChar w:fldCharType="end"/>
        </w:r>
      </w:hyperlink>
    </w:p>
    <w:p w14:paraId="49F5614D" w14:textId="6F957157" w:rsidR="00121AFC" w:rsidRPr="00C462A0" w:rsidRDefault="00121AFC">
      <w:pPr>
        <w:pStyle w:val="TableofFigures"/>
        <w:tabs>
          <w:tab w:val="right" w:leader="dot" w:pos="9628"/>
        </w:tabs>
        <w:rPr>
          <w:noProof/>
          <w:kern w:val="2"/>
          <w:sz w:val="24"/>
          <w:szCs w:val="24"/>
          <w:lang w:eastAsia="hr-HR"/>
          <w14:ligatures w14:val="standardContextual"/>
        </w:rPr>
      </w:pPr>
      <w:hyperlink w:anchor="_Toc227623454" w:history="1">
        <w:r w:rsidRPr="00C462A0">
          <w:rPr>
            <w:rStyle w:val="Hyperlink"/>
            <w:rFonts w:cstheme="minorHAnsi"/>
            <w:noProof/>
          </w:rPr>
          <w:t>Figure 17. Typical ESG platform architecture integrating IoT sensors, enterprise systems, and supply chain data</w:t>
        </w:r>
        <w:r w:rsidRPr="00C462A0">
          <w:rPr>
            <w:noProof/>
            <w:webHidden/>
          </w:rPr>
          <w:tab/>
        </w:r>
        <w:r w:rsidRPr="00C462A0">
          <w:rPr>
            <w:noProof/>
            <w:webHidden/>
          </w:rPr>
          <w:fldChar w:fldCharType="begin"/>
        </w:r>
        <w:r w:rsidRPr="00C462A0">
          <w:rPr>
            <w:noProof/>
            <w:webHidden/>
          </w:rPr>
          <w:instrText xml:space="preserve"> PAGEREF _Toc227623454 \h </w:instrText>
        </w:r>
        <w:r w:rsidRPr="00C462A0">
          <w:rPr>
            <w:noProof/>
            <w:webHidden/>
          </w:rPr>
        </w:r>
        <w:r w:rsidRPr="00C462A0">
          <w:rPr>
            <w:noProof/>
            <w:webHidden/>
          </w:rPr>
          <w:fldChar w:fldCharType="separate"/>
        </w:r>
        <w:r w:rsidR="00C9161E">
          <w:rPr>
            <w:noProof/>
            <w:webHidden/>
          </w:rPr>
          <w:t>50</w:t>
        </w:r>
        <w:r w:rsidRPr="00C462A0">
          <w:rPr>
            <w:noProof/>
            <w:webHidden/>
          </w:rPr>
          <w:fldChar w:fldCharType="end"/>
        </w:r>
      </w:hyperlink>
    </w:p>
    <w:p w14:paraId="65A2908D" w14:textId="73A0C28E" w:rsidR="00121AFC" w:rsidRPr="00C462A0" w:rsidRDefault="00121AFC">
      <w:pPr>
        <w:pStyle w:val="TableofFigures"/>
        <w:tabs>
          <w:tab w:val="right" w:leader="dot" w:pos="9628"/>
        </w:tabs>
        <w:rPr>
          <w:noProof/>
          <w:kern w:val="2"/>
          <w:sz w:val="24"/>
          <w:szCs w:val="24"/>
          <w:lang w:eastAsia="hr-HR"/>
          <w14:ligatures w14:val="standardContextual"/>
        </w:rPr>
      </w:pPr>
      <w:hyperlink w:anchor="_Toc227623455" w:history="1">
        <w:r w:rsidRPr="00C462A0">
          <w:rPr>
            <w:rStyle w:val="Hyperlink"/>
            <w:rFonts w:cstheme="minorHAnsi"/>
            <w:noProof/>
          </w:rPr>
          <w:t>Figure 18.  Example attack chain targeting an ESG platform</w:t>
        </w:r>
        <w:r w:rsidRPr="00C462A0">
          <w:rPr>
            <w:noProof/>
            <w:webHidden/>
          </w:rPr>
          <w:tab/>
        </w:r>
        <w:r w:rsidRPr="00C462A0">
          <w:rPr>
            <w:noProof/>
            <w:webHidden/>
          </w:rPr>
          <w:fldChar w:fldCharType="begin"/>
        </w:r>
        <w:r w:rsidRPr="00C462A0">
          <w:rPr>
            <w:noProof/>
            <w:webHidden/>
          </w:rPr>
          <w:instrText xml:space="preserve"> PAGEREF _Toc227623455 \h </w:instrText>
        </w:r>
        <w:r w:rsidRPr="00C462A0">
          <w:rPr>
            <w:noProof/>
            <w:webHidden/>
          </w:rPr>
        </w:r>
        <w:r w:rsidRPr="00C462A0">
          <w:rPr>
            <w:noProof/>
            <w:webHidden/>
          </w:rPr>
          <w:fldChar w:fldCharType="separate"/>
        </w:r>
        <w:r w:rsidR="00C9161E">
          <w:rPr>
            <w:noProof/>
            <w:webHidden/>
          </w:rPr>
          <w:t>51</w:t>
        </w:r>
        <w:r w:rsidRPr="00C462A0">
          <w:rPr>
            <w:noProof/>
            <w:webHidden/>
          </w:rPr>
          <w:fldChar w:fldCharType="end"/>
        </w:r>
      </w:hyperlink>
    </w:p>
    <w:p w14:paraId="2890594D" w14:textId="6F1A5255" w:rsidR="00121AFC" w:rsidRPr="00C462A0" w:rsidRDefault="00121AFC">
      <w:pPr>
        <w:pStyle w:val="TableofFigures"/>
        <w:tabs>
          <w:tab w:val="right" w:leader="dot" w:pos="9628"/>
        </w:tabs>
        <w:rPr>
          <w:noProof/>
          <w:kern w:val="2"/>
          <w:sz w:val="24"/>
          <w:szCs w:val="24"/>
          <w:lang w:eastAsia="hr-HR"/>
          <w14:ligatures w14:val="standardContextual"/>
        </w:rPr>
      </w:pPr>
      <w:hyperlink w:anchor="_Toc227623456" w:history="1">
        <w:r w:rsidRPr="00C462A0">
          <w:rPr>
            <w:rStyle w:val="Hyperlink"/>
            <w:rFonts w:cstheme="minorHAnsi"/>
            <w:noProof/>
          </w:rPr>
          <w:t>Figure 19. NIST Cybersecurity Framework</w:t>
        </w:r>
        <w:r w:rsidRPr="00C462A0">
          <w:rPr>
            <w:noProof/>
            <w:webHidden/>
          </w:rPr>
          <w:tab/>
        </w:r>
        <w:r w:rsidRPr="00C462A0">
          <w:rPr>
            <w:noProof/>
            <w:webHidden/>
          </w:rPr>
          <w:fldChar w:fldCharType="begin"/>
        </w:r>
        <w:r w:rsidRPr="00C462A0">
          <w:rPr>
            <w:noProof/>
            <w:webHidden/>
          </w:rPr>
          <w:instrText xml:space="preserve"> PAGEREF _Toc227623456 \h </w:instrText>
        </w:r>
        <w:r w:rsidRPr="00C462A0">
          <w:rPr>
            <w:noProof/>
            <w:webHidden/>
          </w:rPr>
        </w:r>
        <w:r w:rsidRPr="00C462A0">
          <w:rPr>
            <w:noProof/>
            <w:webHidden/>
          </w:rPr>
          <w:fldChar w:fldCharType="separate"/>
        </w:r>
        <w:r w:rsidR="00C9161E">
          <w:rPr>
            <w:noProof/>
            <w:webHidden/>
          </w:rPr>
          <w:t>54</w:t>
        </w:r>
        <w:r w:rsidRPr="00C462A0">
          <w:rPr>
            <w:noProof/>
            <w:webHidden/>
          </w:rPr>
          <w:fldChar w:fldCharType="end"/>
        </w:r>
      </w:hyperlink>
    </w:p>
    <w:p w14:paraId="44BE9DEA" w14:textId="7F3E3DC3" w:rsidR="00121AFC" w:rsidRPr="00C462A0" w:rsidRDefault="00121AFC">
      <w:pPr>
        <w:pStyle w:val="TableofFigures"/>
        <w:tabs>
          <w:tab w:val="right" w:leader="dot" w:pos="9628"/>
        </w:tabs>
        <w:rPr>
          <w:noProof/>
          <w:kern w:val="2"/>
          <w:sz w:val="24"/>
          <w:szCs w:val="24"/>
          <w:lang w:eastAsia="hr-HR"/>
          <w14:ligatures w14:val="standardContextual"/>
        </w:rPr>
      </w:pPr>
      <w:hyperlink w:anchor="_Toc227623457" w:history="1">
        <w:r w:rsidRPr="00C462A0">
          <w:rPr>
            <w:rStyle w:val="Hyperlink"/>
            <w:rFonts w:cstheme="minorHAnsi"/>
            <w:noProof/>
          </w:rPr>
          <w:t>Figure 20. Application of cybersecurity frameworks to smart grid infrastructures</w:t>
        </w:r>
        <w:r w:rsidRPr="00C462A0">
          <w:rPr>
            <w:noProof/>
            <w:webHidden/>
          </w:rPr>
          <w:tab/>
        </w:r>
        <w:r w:rsidRPr="00C462A0">
          <w:rPr>
            <w:noProof/>
            <w:webHidden/>
          </w:rPr>
          <w:fldChar w:fldCharType="begin"/>
        </w:r>
        <w:r w:rsidRPr="00C462A0">
          <w:rPr>
            <w:noProof/>
            <w:webHidden/>
          </w:rPr>
          <w:instrText xml:space="preserve"> PAGEREF _Toc227623457 \h </w:instrText>
        </w:r>
        <w:r w:rsidRPr="00C462A0">
          <w:rPr>
            <w:noProof/>
            <w:webHidden/>
          </w:rPr>
        </w:r>
        <w:r w:rsidRPr="00C462A0">
          <w:rPr>
            <w:noProof/>
            <w:webHidden/>
          </w:rPr>
          <w:fldChar w:fldCharType="separate"/>
        </w:r>
        <w:r w:rsidR="00C9161E">
          <w:rPr>
            <w:noProof/>
            <w:webHidden/>
          </w:rPr>
          <w:t>56</w:t>
        </w:r>
        <w:r w:rsidRPr="00C462A0">
          <w:rPr>
            <w:noProof/>
            <w:webHidden/>
          </w:rPr>
          <w:fldChar w:fldCharType="end"/>
        </w:r>
      </w:hyperlink>
    </w:p>
    <w:p w14:paraId="5FBCE3A9" w14:textId="232A5E98" w:rsidR="00121AFC" w:rsidRPr="00C462A0" w:rsidRDefault="00121AFC">
      <w:pPr>
        <w:pStyle w:val="TableofFigures"/>
        <w:tabs>
          <w:tab w:val="right" w:leader="dot" w:pos="9628"/>
        </w:tabs>
        <w:rPr>
          <w:noProof/>
          <w:kern w:val="2"/>
          <w:sz w:val="24"/>
          <w:szCs w:val="24"/>
          <w:lang w:eastAsia="hr-HR"/>
          <w14:ligatures w14:val="standardContextual"/>
        </w:rPr>
      </w:pPr>
      <w:hyperlink w:anchor="_Toc227623458" w:history="1">
        <w:r w:rsidRPr="00C462A0">
          <w:rPr>
            <w:rStyle w:val="Hyperlink"/>
            <w:rFonts w:cstheme="minorHAnsi"/>
            <w:noProof/>
          </w:rPr>
          <w:t>Figure 21. Access control workflow</w:t>
        </w:r>
        <w:r w:rsidRPr="00C462A0">
          <w:rPr>
            <w:noProof/>
            <w:webHidden/>
          </w:rPr>
          <w:tab/>
        </w:r>
        <w:r w:rsidRPr="00C462A0">
          <w:rPr>
            <w:noProof/>
            <w:webHidden/>
          </w:rPr>
          <w:fldChar w:fldCharType="begin"/>
        </w:r>
        <w:r w:rsidRPr="00C462A0">
          <w:rPr>
            <w:noProof/>
            <w:webHidden/>
          </w:rPr>
          <w:instrText xml:space="preserve"> PAGEREF _Toc227623458 \h </w:instrText>
        </w:r>
        <w:r w:rsidRPr="00C462A0">
          <w:rPr>
            <w:noProof/>
            <w:webHidden/>
          </w:rPr>
        </w:r>
        <w:r w:rsidRPr="00C462A0">
          <w:rPr>
            <w:noProof/>
            <w:webHidden/>
          </w:rPr>
          <w:fldChar w:fldCharType="separate"/>
        </w:r>
        <w:r w:rsidR="00C9161E">
          <w:rPr>
            <w:noProof/>
            <w:webHidden/>
          </w:rPr>
          <w:t>62</w:t>
        </w:r>
        <w:r w:rsidRPr="00C462A0">
          <w:rPr>
            <w:noProof/>
            <w:webHidden/>
          </w:rPr>
          <w:fldChar w:fldCharType="end"/>
        </w:r>
      </w:hyperlink>
    </w:p>
    <w:p w14:paraId="6C76B970" w14:textId="0708B5A0" w:rsidR="00121AFC" w:rsidRPr="00C462A0" w:rsidRDefault="00121AFC">
      <w:pPr>
        <w:pStyle w:val="TableofFigures"/>
        <w:tabs>
          <w:tab w:val="right" w:leader="dot" w:pos="9628"/>
        </w:tabs>
        <w:rPr>
          <w:noProof/>
          <w:kern w:val="2"/>
          <w:sz w:val="24"/>
          <w:szCs w:val="24"/>
          <w:lang w:eastAsia="hr-HR"/>
          <w14:ligatures w14:val="standardContextual"/>
        </w:rPr>
      </w:pPr>
      <w:hyperlink w:anchor="_Toc227623459" w:history="1">
        <w:r w:rsidRPr="00C462A0">
          <w:rPr>
            <w:rStyle w:val="Hyperlink"/>
            <w:rFonts w:cstheme="minorHAnsi"/>
            <w:noProof/>
          </w:rPr>
          <w:t xml:space="preserve">Figure 22. Access Control Mechanisms across infrastructure domains </w:t>
        </w:r>
        <w:r w:rsidRPr="00C462A0">
          <w:rPr>
            <w:noProof/>
            <w:webHidden/>
          </w:rPr>
          <w:tab/>
        </w:r>
        <w:r w:rsidRPr="00C462A0">
          <w:rPr>
            <w:noProof/>
            <w:webHidden/>
          </w:rPr>
          <w:fldChar w:fldCharType="begin"/>
        </w:r>
        <w:r w:rsidRPr="00C462A0">
          <w:rPr>
            <w:noProof/>
            <w:webHidden/>
          </w:rPr>
          <w:instrText xml:space="preserve"> PAGEREF _Toc227623459 \h </w:instrText>
        </w:r>
        <w:r w:rsidRPr="00C462A0">
          <w:rPr>
            <w:noProof/>
            <w:webHidden/>
          </w:rPr>
        </w:r>
        <w:r w:rsidRPr="00C462A0">
          <w:rPr>
            <w:noProof/>
            <w:webHidden/>
          </w:rPr>
          <w:fldChar w:fldCharType="separate"/>
        </w:r>
        <w:r w:rsidR="00C9161E">
          <w:rPr>
            <w:noProof/>
            <w:webHidden/>
          </w:rPr>
          <w:t>64</w:t>
        </w:r>
        <w:r w:rsidRPr="00C462A0">
          <w:rPr>
            <w:noProof/>
            <w:webHidden/>
          </w:rPr>
          <w:fldChar w:fldCharType="end"/>
        </w:r>
      </w:hyperlink>
    </w:p>
    <w:p w14:paraId="21B4DEDF" w14:textId="4F704E86" w:rsidR="00121AFC" w:rsidRPr="00C462A0" w:rsidRDefault="00121AFC">
      <w:pPr>
        <w:pStyle w:val="TableofFigures"/>
        <w:tabs>
          <w:tab w:val="right" w:leader="dot" w:pos="9628"/>
        </w:tabs>
        <w:rPr>
          <w:noProof/>
          <w:kern w:val="2"/>
          <w:sz w:val="24"/>
          <w:szCs w:val="24"/>
          <w:lang w:eastAsia="hr-HR"/>
          <w14:ligatures w14:val="standardContextual"/>
        </w:rPr>
      </w:pPr>
      <w:hyperlink w:anchor="_Toc227623460" w:history="1">
        <w:r w:rsidRPr="00C462A0">
          <w:rPr>
            <w:rStyle w:val="Hyperlink"/>
            <w:rFonts w:cstheme="minorHAnsi"/>
            <w:noProof/>
          </w:rPr>
          <w:t>Figure 23. Basic encryption process</w:t>
        </w:r>
        <w:r w:rsidRPr="00C462A0">
          <w:rPr>
            <w:noProof/>
            <w:webHidden/>
          </w:rPr>
          <w:tab/>
        </w:r>
        <w:r w:rsidRPr="00C462A0">
          <w:rPr>
            <w:noProof/>
            <w:webHidden/>
          </w:rPr>
          <w:fldChar w:fldCharType="begin"/>
        </w:r>
        <w:r w:rsidRPr="00C462A0">
          <w:rPr>
            <w:noProof/>
            <w:webHidden/>
          </w:rPr>
          <w:instrText xml:space="preserve"> PAGEREF _Toc227623460 \h </w:instrText>
        </w:r>
        <w:r w:rsidRPr="00C462A0">
          <w:rPr>
            <w:noProof/>
            <w:webHidden/>
          </w:rPr>
        </w:r>
        <w:r w:rsidRPr="00C462A0">
          <w:rPr>
            <w:noProof/>
            <w:webHidden/>
          </w:rPr>
          <w:fldChar w:fldCharType="separate"/>
        </w:r>
        <w:r w:rsidR="00C9161E">
          <w:rPr>
            <w:noProof/>
            <w:webHidden/>
          </w:rPr>
          <w:t>66</w:t>
        </w:r>
        <w:r w:rsidRPr="00C462A0">
          <w:rPr>
            <w:noProof/>
            <w:webHidden/>
          </w:rPr>
          <w:fldChar w:fldCharType="end"/>
        </w:r>
      </w:hyperlink>
    </w:p>
    <w:p w14:paraId="32D6DB1E" w14:textId="497922C0" w:rsidR="00121AFC" w:rsidRPr="00C462A0" w:rsidRDefault="00121AFC">
      <w:pPr>
        <w:pStyle w:val="TableofFigures"/>
        <w:tabs>
          <w:tab w:val="right" w:leader="dot" w:pos="9628"/>
        </w:tabs>
        <w:rPr>
          <w:noProof/>
          <w:kern w:val="2"/>
          <w:sz w:val="24"/>
          <w:szCs w:val="24"/>
          <w:lang w:eastAsia="hr-HR"/>
          <w14:ligatures w14:val="standardContextual"/>
        </w:rPr>
      </w:pPr>
      <w:hyperlink w:anchor="_Toc227623461" w:history="1">
        <w:r w:rsidRPr="00C462A0">
          <w:rPr>
            <w:rStyle w:val="Hyperlink"/>
            <w:rFonts w:cstheme="minorHAnsi"/>
            <w:noProof/>
          </w:rPr>
          <w:t>Figure 24.  End-to-end encryption across IoT, network, and cloud layers</w:t>
        </w:r>
        <w:r w:rsidRPr="00C462A0">
          <w:rPr>
            <w:noProof/>
            <w:webHidden/>
          </w:rPr>
          <w:tab/>
        </w:r>
        <w:r w:rsidRPr="00C462A0">
          <w:rPr>
            <w:noProof/>
            <w:webHidden/>
          </w:rPr>
          <w:fldChar w:fldCharType="begin"/>
        </w:r>
        <w:r w:rsidRPr="00C462A0">
          <w:rPr>
            <w:noProof/>
            <w:webHidden/>
          </w:rPr>
          <w:instrText xml:space="preserve"> PAGEREF _Toc227623461 \h </w:instrText>
        </w:r>
        <w:r w:rsidRPr="00C462A0">
          <w:rPr>
            <w:noProof/>
            <w:webHidden/>
          </w:rPr>
        </w:r>
        <w:r w:rsidRPr="00C462A0">
          <w:rPr>
            <w:noProof/>
            <w:webHidden/>
          </w:rPr>
          <w:fldChar w:fldCharType="separate"/>
        </w:r>
        <w:r w:rsidR="00C9161E">
          <w:rPr>
            <w:noProof/>
            <w:webHidden/>
          </w:rPr>
          <w:t>68</w:t>
        </w:r>
        <w:r w:rsidRPr="00C462A0">
          <w:rPr>
            <w:noProof/>
            <w:webHidden/>
          </w:rPr>
          <w:fldChar w:fldCharType="end"/>
        </w:r>
      </w:hyperlink>
    </w:p>
    <w:p w14:paraId="77A0DA06" w14:textId="466EEFF0" w:rsidR="00121AFC" w:rsidRPr="00C462A0" w:rsidRDefault="00121AFC">
      <w:pPr>
        <w:pStyle w:val="TableofFigures"/>
        <w:tabs>
          <w:tab w:val="right" w:leader="dot" w:pos="9628"/>
        </w:tabs>
        <w:rPr>
          <w:noProof/>
          <w:kern w:val="2"/>
          <w:sz w:val="24"/>
          <w:szCs w:val="24"/>
          <w:lang w:eastAsia="hr-HR"/>
          <w14:ligatures w14:val="standardContextual"/>
        </w:rPr>
      </w:pPr>
      <w:hyperlink w:anchor="_Toc227623462" w:history="1">
        <w:r w:rsidRPr="00C462A0">
          <w:rPr>
            <w:rStyle w:val="Hyperlink"/>
            <w:rFonts w:cstheme="minorHAnsi"/>
            <w:noProof/>
          </w:rPr>
          <w:t>Figure 25. The seven core principles of GDPR</w:t>
        </w:r>
        <w:r w:rsidRPr="00C462A0">
          <w:rPr>
            <w:noProof/>
            <w:webHidden/>
          </w:rPr>
          <w:tab/>
        </w:r>
        <w:r w:rsidRPr="00C462A0">
          <w:rPr>
            <w:noProof/>
            <w:webHidden/>
          </w:rPr>
          <w:fldChar w:fldCharType="begin"/>
        </w:r>
        <w:r w:rsidRPr="00C462A0">
          <w:rPr>
            <w:noProof/>
            <w:webHidden/>
          </w:rPr>
          <w:instrText xml:space="preserve"> PAGEREF _Toc227623462 \h </w:instrText>
        </w:r>
        <w:r w:rsidRPr="00C462A0">
          <w:rPr>
            <w:noProof/>
            <w:webHidden/>
          </w:rPr>
        </w:r>
        <w:r w:rsidRPr="00C462A0">
          <w:rPr>
            <w:noProof/>
            <w:webHidden/>
          </w:rPr>
          <w:fldChar w:fldCharType="separate"/>
        </w:r>
        <w:r w:rsidR="00C9161E">
          <w:rPr>
            <w:noProof/>
            <w:webHidden/>
          </w:rPr>
          <w:t>71</w:t>
        </w:r>
        <w:r w:rsidRPr="00C462A0">
          <w:rPr>
            <w:noProof/>
            <w:webHidden/>
          </w:rPr>
          <w:fldChar w:fldCharType="end"/>
        </w:r>
      </w:hyperlink>
    </w:p>
    <w:p w14:paraId="70D906FF" w14:textId="2F8AD107" w:rsidR="00121AFC" w:rsidRPr="00C462A0" w:rsidRDefault="00121AFC">
      <w:pPr>
        <w:pStyle w:val="TableofFigures"/>
        <w:tabs>
          <w:tab w:val="right" w:leader="dot" w:pos="9628"/>
        </w:tabs>
        <w:rPr>
          <w:noProof/>
          <w:kern w:val="2"/>
          <w:sz w:val="24"/>
          <w:szCs w:val="24"/>
          <w:lang w:eastAsia="hr-HR"/>
          <w14:ligatures w14:val="standardContextual"/>
        </w:rPr>
      </w:pPr>
      <w:hyperlink w:anchor="_Toc227623463" w:history="1">
        <w:r w:rsidRPr="00C462A0">
          <w:rPr>
            <w:rStyle w:val="Hyperlink"/>
            <w:rFonts w:cstheme="minorHAnsi"/>
            <w:noProof/>
          </w:rPr>
          <w:t>Figure 26. GDPR principles across domains</w:t>
        </w:r>
        <w:r w:rsidRPr="00C462A0">
          <w:rPr>
            <w:noProof/>
            <w:webHidden/>
          </w:rPr>
          <w:tab/>
        </w:r>
        <w:r w:rsidRPr="00C462A0">
          <w:rPr>
            <w:noProof/>
            <w:webHidden/>
          </w:rPr>
          <w:fldChar w:fldCharType="begin"/>
        </w:r>
        <w:r w:rsidRPr="00C462A0">
          <w:rPr>
            <w:noProof/>
            <w:webHidden/>
          </w:rPr>
          <w:instrText xml:space="preserve"> PAGEREF _Toc227623463 \h </w:instrText>
        </w:r>
        <w:r w:rsidRPr="00C462A0">
          <w:rPr>
            <w:noProof/>
            <w:webHidden/>
          </w:rPr>
        </w:r>
        <w:r w:rsidRPr="00C462A0">
          <w:rPr>
            <w:noProof/>
            <w:webHidden/>
          </w:rPr>
          <w:fldChar w:fldCharType="separate"/>
        </w:r>
        <w:r w:rsidR="00C9161E">
          <w:rPr>
            <w:noProof/>
            <w:webHidden/>
          </w:rPr>
          <w:t>72</w:t>
        </w:r>
        <w:r w:rsidRPr="00C462A0">
          <w:rPr>
            <w:noProof/>
            <w:webHidden/>
          </w:rPr>
          <w:fldChar w:fldCharType="end"/>
        </w:r>
      </w:hyperlink>
    </w:p>
    <w:p w14:paraId="50EE575A" w14:textId="6D88E355" w:rsidR="00121AFC" w:rsidRPr="00C462A0" w:rsidRDefault="00121AFC">
      <w:pPr>
        <w:pStyle w:val="TableofFigures"/>
        <w:tabs>
          <w:tab w:val="right" w:leader="dot" w:pos="9628"/>
        </w:tabs>
        <w:rPr>
          <w:noProof/>
          <w:kern w:val="2"/>
          <w:sz w:val="24"/>
          <w:szCs w:val="24"/>
          <w:lang w:eastAsia="hr-HR"/>
          <w14:ligatures w14:val="standardContextual"/>
        </w:rPr>
      </w:pPr>
      <w:hyperlink w:anchor="_Toc227623464" w:history="1">
        <w:r w:rsidRPr="00C462A0">
          <w:rPr>
            <w:rStyle w:val="Hyperlink"/>
            <w:rFonts w:cstheme="minorHAnsi"/>
            <w:noProof/>
          </w:rPr>
          <w:t>Figure 27. Example structure of an audit log entry</w:t>
        </w:r>
        <w:r w:rsidRPr="00C462A0">
          <w:rPr>
            <w:noProof/>
            <w:webHidden/>
          </w:rPr>
          <w:tab/>
        </w:r>
        <w:r w:rsidRPr="00C462A0">
          <w:rPr>
            <w:noProof/>
            <w:webHidden/>
          </w:rPr>
          <w:fldChar w:fldCharType="begin"/>
        </w:r>
        <w:r w:rsidRPr="00C462A0">
          <w:rPr>
            <w:noProof/>
            <w:webHidden/>
          </w:rPr>
          <w:instrText xml:space="preserve"> PAGEREF _Toc227623464 \h </w:instrText>
        </w:r>
        <w:r w:rsidRPr="00C462A0">
          <w:rPr>
            <w:noProof/>
            <w:webHidden/>
          </w:rPr>
        </w:r>
        <w:r w:rsidRPr="00C462A0">
          <w:rPr>
            <w:noProof/>
            <w:webHidden/>
          </w:rPr>
          <w:fldChar w:fldCharType="separate"/>
        </w:r>
        <w:r w:rsidR="00C9161E">
          <w:rPr>
            <w:noProof/>
            <w:webHidden/>
          </w:rPr>
          <w:t>75</w:t>
        </w:r>
        <w:r w:rsidRPr="00C462A0">
          <w:rPr>
            <w:noProof/>
            <w:webHidden/>
          </w:rPr>
          <w:fldChar w:fldCharType="end"/>
        </w:r>
      </w:hyperlink>
    </w:p>
    <w:p w14:paraId="6299F521" w14:textId="0732F989" w:rsidR="00121AFC" w:rsidRPr="00C462A0" w:rsidRDefault="00121AFC">
      <w:pPr>
        <w:pStyle w:val="TableofFigures"/>
        <w:tabs>
          <w:tab w:val="right" w:leader="dot" w:pos="9628"/>
        </w:tabs>
        <w:rPr>
          <w:noProof/>
          <w:kern w:val="2"/>
          <w:sz w:val="24"/>
          <w:szCs w:val="24"/>
          <w:lang w:eastAsia="hr-HR"/>
          <w14:ligatures w14:val="standardContextual"/>
        </w:rPr>
      </w:pPr>
      <w:hyperlink w:anchor="_Toc227623465" w:history="1">
        <w:r w:rsidRPr="00C462A0">
          <w:rPr>
            <w:rStyle w:val="Hyperlink"/>
            <w:rFonts w:cstheme="minorHAnsi"/>
            <w:noProof/>
          </w:rPr>
          <w:t>Figure 28. Audit tral functions across key domains</w:t>
        </w:r>
        <w:r w:rsidRPr="00C462A0">
          <w:rPr>
            <w:noProof/>
            <w:webHidden/>
          </w:rPr>
          <w:tab/>
        </w:r>
        <w:r w:rsidRPr="00C462A0">
          <w:rPr>
            <w:noProof/>
            <w:webHidden/>
          </w:rPr>
          <w:fldChar w:fldCharType="begin"/>
        </w:r>
        <w:r w:rsidRPr="00C462A0">
          <w:rPr>
            <w:noProof/>
            <w:webHidden/>
          </w:rPr>
          <w:instrText xml:space="preserve"> PAGEREF _Toc227623465 \h </w:instrText>
        </w:r>
        <w:r w:rsidRPr="00C462A0">
          <w:rPr>
            <w:noProof/>
            <w:webHidden/>
          </w:rPr>
        </w:r>
        <w:r w:rsidRPr="00C462A0">
          <w:rPr>
            <w:noProof/>
            <w:webHidden/>
          </w:rPr>
          <w:fldChar w:fldCharType="separate"/>
        </w:r>
        <w:r w:rsidR="00C9161E">
          <w:rPr>
            <w:noProof/>
            <w:webHidden/>
          </w:rPr>
          <w:t>76</w:t>
        </w:r>
        <w:r w:rsidRPr="00C462A0">
          <w:rPr>
            <w:noProof/>
            <w:webHidden/>
          </w:rPr>
          <w:fldChar w:fldCharType="end"/>
        </w:r>
      </w:hyperlink>
    </w:p>
    <w:p w14:paraId="48CF2F0C" w14:textId="475DE03C" w:rsidR="00121AFC" w:rsidRPr="00C462A0" w:rsidRDefault="00121AFC" w:rsidP="00BD0CF5">
      <w:pPr>
        <w:rPr>
          <w:rFonts w:asciiTheme="majorHAnsi" w:hAnsiTheme="majorHAnsi"/>
          <w:color w:val="00AC4E" w:themeColor="accent1"/>
          <w:sz w:val="40"/>
          <w:szCs w:val="40"/>
        </w:rPr>
      </w:pPr>
      <w:r w:rsidRPr="00C462A0">
        <w:rPr>
          <w:rFonts w:asciiTheme="majorHAnsi" w:hAnsiTheme="majorHAnsi"/>
          <w:color w:val="00AC4E" w:themeColor="accent1"/>
          <w:sz w:val="40"/>
          <w:szCs w:val="40"/>
        </w:rPr>
        <w:fldChar w:fldCharType="end"/>
      </w:r>
    </w:p>
    <w:p w14:paraId="46A68F3B" w14:textId="77777777" w:rsidR="00121AFC" w:rsidRPr="00C462A0" w:rsidRDefault="00BD0CF5" w:rsidP="00C45000">
      <w:pPr>
        <w:rPr>
          <w:noProof/>
        </w:rPr>
      </w:pPr>
      <w:r w:rsidRPr="00C462A0">
        <w:rPr>
          <w:rFonts w:asciiTheme="majorHAnsi" w:hAnsiTheme="majorHAnsi"/>
          <w:b/>
          <w:bCs/>
          <w:color w:val="00AC4E" w:themeColor="accent1"/>
          <w:sz w:val="40"/>
          <w:szCs w:val="40"/>
        </w:rPr>
        <w:lastRenderedPageBreak/>
        <w:t>List of tables:</w:t>
      </w:r>
      <w:r w:rsidR="00C45000" w:rsidRPr="00C462A0">
        <w:t xml:space="preserve"> </w:t>
      </w:r>
      <w:r w:rsidR="00121AFC" w:rsidRPr="00C462A0">
        <w:fldChar w:fldCharType="begin"/>
      </w:r>
      <w:r w:rsidR="00121AFC" w:rsidRPr="00C462A0">
        <w:instrText xml:space="preserve"> TOC \h \z \c "Table" </w:instrText>
      </w:r>
      <w:r w:rsidR="00121AFC" w:rsidRPr="00C462A0">
        <w:fldChar w:fldCharType="separate"/>
      </w:r>
    </w:p>
    <w:p w14:paraId="7ED1AFE2" w14:textId="3193E5A9" w:rsidR="00121AFC" w:rsidRPr="00C462A0" w:rsidRDefault="00121AFC">
      <w:pPr>
        <w:pStyle w:val="TableofFigures"/>
        <w:tabs>
          <w:tab w:val="right" w:leader="dot" w:pos="9628"/>
        </w:tabs>
        <w:rPr>
          <w:noProof/>
          <w:kern w:val="2"/>
          <w:sz w:val="24"/>
          <w:szCs w:val="24"/>
          <w:lang w:eastAsia="hr-HR"/>
          <w14:ligatures w14:val="standardContextual"/>
        </w:rPr>
      </w:pPr>
      <w:hyperlink w:anchor="_Toc227624051" w:history="1">
        <w:r w:rsidRPr="00C462A0">
          <w:rPr>
            <w:rStyle w:val="Hyperlink"/>
            <w:noProof/>
          </w:rPr>
          <w:t xml:space="preserve">Table 1. CIA Triad </w:t>
        </w:r>
        <w:r w:rsidRPr="00C462A0">
          <w:rPr>
            <w:noProof/>
            <w:webHidden/>
          </w:rPr>
          <w:tab/>
        </w:r>
        <w:r w:rsidRPr="00C462A0">
          <w:rPr>
            <w:noProof/>
            <w:webHidden/>
          </w:rPr>
          <w:fldChar w:fldCharType="begin"/>
        </w:r>
        <w:r w:rsidRPr="00C462A0">
          <w:rPr>
            <w:noProof/>
            <w:webHidden/>
          </w:rPr>
          <w:instrText xml:space="preserve"> PAGEREF _Toc227624051 \h </w:instrText>
        </w:r>
        <w:r w:rsidRPr="00C462A0">
          <w:rPr>
            <w:noProof/>
            <w:webHidden/>
          </w:rPr>
        </w:r>
        <w:r w:rsidRPr="00C462A0">
          <w:rPr>
            <w:noProof/>
            <w:webHidden/>
          </w:rPr>
          <w:fldChar w:fldCharType="separate"/>
        </w:r>
        <w:r w:rsidR="00C9161E">
          <w:rPr>
            <w:noProof/>
            <w:webHidden/>
          </w:rPr>
          <w:t>10</w:t>
        </w:r>
        <w:r w:rsidRPr="00C462A0">
          <w:rPr>
            <w:noProof/>
            <w:webHidden/>
          </w:rPr>
          <w:fldChar w:fldCharType="end"/>
        </w:r>
      </w:hyperlink>
    </w:p>
    <w:p w14:paraId="4D556F0E" w14:textId="7BAE2430" w:rsidR="00121AFC" w:rsidRPr="00C462A0" w:rsidRDefault="00121AFC">
      <w:pPr>
        <w:pStyle w:val="TableofFigures"/>
        <w:tabs>
          <w:tab w:val="right" w:leader="dot" w:pos="9628"/>
        </w:tabs>
        <w:rPr>
          <w:noProof/>
          <w:kern w:val="2"/>
          <w:sz w:val="24"/>
          <w:szCs w:val="24"/>
          <w:lang w:eastAsia="hr-HR"/>
          <w14:ligatures w14:val="standardContextual"/>
        </w:rPr>
      </w:pPr>
      <w:hyperlink w:anchor="_Toc227624052" w:history="1">
        <w:r w:rsidRPr="00C462A0">
          <w:rPr>
            <w:rStyle w:val="Hyperlink"/>
            <w:noProof/>
          </w:rPr>
          <w:t>Table 2. Security priorities for specific technological assets</w:t>
        </w:r>
        <w:r w:rsidRPr="00C462A0">
          <w:rPr>
            <w:noProof/>
            <w:webHidden/>
          </w:rPr>
          <w:tab/>
        </w:r>
        <w:r w:rsidRPr="00C462A0">
          <w:rPr>
            <w:noProof/>
            <w:webHidden/>
          </w:rPr>
          <w:fldChar w:fldCharType="begin"/>
        </w:r>
        <w:r w:rsidRPr="00C462A0">
          <w:rPr>
            <w:noProof/>
            <w:webHidden/>
          </w:rPr>
          <w:instrText xml:space="preserve"> PAGEREF _Toc227624052 \h </w:instrText>
        </w:r>
        <w:r w:rsidRPr="00C462A0">
          <w:rPr>
            <w:noProof/>
            <w:webHidden/>
          </w:rPr>
        </w:r>
        <w:r w:rsidRPr="00C462A0">
          <w:rPr>
            <w:noProof/>
            <w:webHidden/>
          </w:rPr>
          <w:fldChar w:fldCharType="separate"/>
        </w:r>
        <w:r w:rsidR="00C9161E">
          <w:rPr>
            <w:noProof/>
            <w:webHidden/>
          </w:rPr>
          <w:t>11</w:t>
        </w:r>
        <w:r w:rsidRPr="00C462A0">
          <w:rPr>
            <w:noProof/>
            <w:webHidden/>
          </w:rPr>
          <w:fldChar w:fldCharType="end"/>
        </w:r>
      </w:hyperlink>
    </w:p>
    <w:p w14:paraId="619252F6" w14:textId="143CFAB9" w:rsidR="00121AFC" w:rsidRPr="00C462A0" w:rsidRDefault="00121AFC">
      <w:pPr>
        <w:pStyle w:val="TableofFigures"/>
        <w:tabs>
          <w:tab w:val="right" w:leader="dot" w:pos="9628"/>
        </w:tabs>
        <w:rPr>
          <w:noProof/>
          <w:kern w:val="2"/>
          <w:sz w:val="24"/>
          <w:szCs w:val="24"/>
          <w:lang w:eastAsia="hr-HR"/>
          <w14:ligatures w14:val="standardContextual"/>
        </w:rPr>
      </w:pPr>
      <w:hyperlink w:anchor="_Toc227624053" w:history="1">
        <w:r w:rsidRPr="00C462A0">
          <w:rPr>
            <w:rStyle w:val="Hyperlink"/>
            <w:noProof/>
          </w:rPr>
          <w:t>Table 3. Various types of cybersecurity threats</w:t>
        </w:r>
        <w:r w:rsidRPr="00C462A0">
          <w:rPr>
            <w:noProof/>
            <w:webHidden/>
          </w:rPr>
          <w:tab/>
        </w:r>
        <w:r w:rsidRPr="00C462A0">
          <w:rPr>
            <w:noProof/>
            <w:webHidden/>
          </w:rPr>
          <w:fldChar w:fldCharType="begin"/>
        </w:r>
        <w:r w:rsidRPr="00C462A0">
          <w:rPr>
            <w:noProof/>
            <w:webHidden/>
          </w:rPr>
          <w:instrText xml:space="preserve"> PAGEREF _Toc227624053 \h </w:instrText>
        </w:r>
        <w:r w:rsidRPr="00C462A0">
          <w:rPr>
            <w:noProof/>
            <w:webHidden/>
          </w:rPr>
        </w:r>
        <w:r w:rsidRPr="00C462A0">
          <w:rPr>
            <w:noProof/>
            <w:webHidden/>
          </w:rPr>
          <w:fldChar w:fldCharType="separate"/>
        </w:r>
        <w:r w:rsidR="00C9161E">
          <w:rPr>
            <w:noProof/>
            <w:webHidden/>
          </w:rPr>
          <w:t>15</w:t>
        </w:r>
        <w:r w:rsidRPr="00C462A0">
          <w:rPr>
            <w:noProof/>
            <w:webHidden/>
          </w:rPr>
          <w:fldChar w:fldCharType="end"/>
        </w:r>
      </w:hyperlink>
    </w:p>
    <w:p w14:paraId="45859044" w14:textId="2AEB654C" w:rsidR="00121AFC" w:rsidRPr="00C462A0" w:rsidRDefault="00121AFC">
      <w:pPr>
        <w:pStyle w:val="TableofFigures"/>
        <w:tabs>
          <w:tab w:val="right" w:leader="dot" w:pos="9628"/>
        </w:tabs>
        <w:rPr>
          <w:noProof/>
          <w:kern w:val="2"/>
          <w:sz w:val="24"/>
          <w:szCs w:val="24"/>
          <w:lang w:eastAsia="hr-HR"/>
          <w14:ligatures w14:val="standardContextual"/>
        </w:rPr>
      </w:pPr>
      <w:hyperlink w:anchor="_Toc227624054" w:history="1">
        <w:r w:rsidRPr="00C462A0">
          <w:rPr>
            <w:rStyle w:val="Hyperlink"/>
            <w:noProof/>
          </w:rPr>
          <w:t>Table 4. Various cybersecurity threats</w:t>
        </w:r>
        <w:r w:rsidRPr="00C462A0">
          <w:rPr>
            <w:noProof/>
            <w:webHidden/>
          </w:rPr>
          <w:tab/>
        </w:r>
        <w:r w:rsidRPr="00C462A0">
          <w:rPr>
            <w:noProof/>
            <w:webHidden/>
          </w:rPr>
          <w:fldChar w:fldCharType="begin"/>
        </w:r>
        <w:r w:rsidRPr="00C462A0">
          <w:rPr>
            <w:noProof/>
            <w:webHidden/>
          </w:rPr>
          <w:instrText xml:space="preserve"> PAGEREF _Toc227624054 \h </w:instrText>
        </w:r>
        <w:r w:rsidRPr="00C462A0">
          <w:rPr>
            <w:noProof/>
            <w:webHidden/>
          </w:rPr>
        </w:r>
        <w:r w:rsidRPr="00C462A0">
          <w:rPr>
            <w:noProof/>
            <w:webHidden/>
          </w:rPr>
          <w:fldChar w:fldCharType="separate"/>
        </w:r>
        <w:r w:rsidR="00C9161E">
          <w:rPr>
            <w:noProof/>
            <w:webHidden/>
          </w:rPr>
          <w:t>34</w:t>
        </w:r>
        <w:r w:rsidRPr="00C462A0">
          <w:rPr>
            <w:noProof/>
            <w:webHidden/>
          </w:rPr>
          <w:fldChar w:fldCharType="end"/>
        </w:r>
      </w:hyperlink>
    </w:p>
    <w:p w14:paraId="5BD25B38" w14:textId="07D66327" w:rsidR="00C45000" w:rsidRPr="00C462A0" w:rsidRDefault="00121AFC" w:rsidP="00C45000">
      <w:r w:rsidRPr="00C462A0">
        <w:fldChar w:fldCharType="end"/>
      </w:r>
    </w:p>
    <w:p w14:paraId="2C2D3B08" w14:textId="2AE55358" w:rsidR="00BD0CF5" w:rsidRPr="00C462A0" w:rsidRDefault="00BD0CF5" w:rsidP="00BD0CF5"/>
    <w:p w14:paraId="6A3E73F6" w14:textId="77777777" w:rsidR="00C462A0" w:rsidRPr="00C462A0" w:rsidRDefault="00C462A0" w:rsidP="00BD0CF5"/>
    <w:p w14:paraId="354F3091" w14:textId="77777777" w:rsidR="00C462A0" w:rsidRPr="00C462A0" w:rsidRDefault="00C462A0" w:rsidP="00BD0CF5"/>
    <w:p w14:paraId="629F3214" w14:textId="77777777" w:rsidR="00C462A0" w:rsidRPr="00C462A0" w:rsidRDefault="00C462A0" w:rsidP="00BD0CF5"/>
    <w:p w14:paraId="72D73C3E" w14:textId="77777777" w:rsidR="00C462A0" w:rsidRPr="00C462A0" w:rsidRDefault="00C462A0" w:rsidP="00BD0CF5"/>
    <w:p w14:paraId="24C07348" w14:textId="77777777" w:rsidR="00C462A0" w:rsidRPr="00C462A0" w:rsidRDefault="00C462A0" w:rsidP="00BD0CF5"/>
    <w:p w14:paraId="323FE127" w14:textId="77777777" w:rsidR="00C462A0" w:rsidRPr="00C462A0" w:rsidRDefault="00C462A0" w:rsidP="00BD0CF5"/>
    <w:p w14:paraId="4A1D9F30" w14:textId="77777777" w:rsidR="00C462A0" w:rsidRPr="00C462A0" w:rsidRDefault="00C462A0" w:rsidP="00BD0CF5"/>
    <w:p w14:paraId="2A92F6CF" w14:textId="77777777" w:rsidR="00C462A0" w:rsidRPr="00C462A0" w:rsidRDefault="00C462A0" w:rsidP="00BD0CF5"/>
    <w:p w14:paraId="187111A3" w14:textId="77777777" w:rsidR="00C462A0" w:rsidRPr="00C462A0" w:rsidRDefault="00C462A0" w:rsidP="00BD0CF5"/>
    <w:p w14:paraId="18649EB8" w14:textId="77777777" w:rsidR="00C462A0" w:rsidRPr="00C462A0" w:rsidRDefault="00C462A0" w:rsidP="00BD0CF5"/>
    <w:p w14:paraId="2AF493E1" w14:textId="77777777" w:rsidR="00C462A0" w:rsidRPr="00C462A0" w:rsidRDefault="00C462A0" w:rsidP="00BD0CF5"/>
    <w:p w14:paraId="4239A1A4" w14:textId="77777777" w:rsidR="00C462A0" w:rsidRPr="00C462A0" w:rsidRDefault="00C462A0" w:rsidP="00BD0CF5"/>
    <w:p w14:paraId="75374F56" w14:textId="77777777" w:rsidR="00C462A0" w:rsidRPr="00C462A0" w:rsidRDefault="00C462A0" w:rsidP="00BD0CF5"/>
    <w:p w14:paraId="14185423" w14:textId="77777777" w:rsidR="00C462A0" w:rsidRPr="00C462A0" w:rsidRDefault="00C462A0" w:rsidP="00BD0CF5"/>
    <w:p w14:paraId="386FE747" w14:textId="77777777" w:rsidR="00C462A0" w:rsidRPr="00C462A0" w:rsidRDefault="00C462A0" w:rsidP="00BD0CF5"/>
    <w:p w14:paraId="7CD852CE" w14:textId="77777777" w:rsidR="00C462A0" w:rsidRPr="00C462A0" w:rsidRDefault="00C462A0" w:rsidP="00BD0CF5"/>
    <w:p w14:paraId="4301DCEC" w14:textId="77777777" w:rsidR="00C462A0" w:rsidRPr="00C462A0" w:rsidRDefault="00C462A0" w:rsidP="00BD0CF5"/>
    <w:p w14:paraId="308031C6" w14:textId="77777777" w:rsidR="00C462A0" w:rsidRPr="00C462A0" w:rsidRDefault="00C462A0" w:rsidP="00BD0CF5"/>
    <w:p w14:paraId="3664B289" w14:textId="59BE9A59" w:rsidR="00BD0CF5" w:rsidRPr="00C462A0" w:rsidRDefault="00BD0CF5" w:rsidP="00C462A0">
      <w:pPr>
        <w:pStyle w:val="Heading1"/>
        <w:numPr>
          <w:ilvl w:val="0"/>
          <w:numId w:val="0"/>
        </w:numPr>
        <w:ind w:left="360" w:hanging="360"/>
        <w:rPr>
          <w:sz w:val="40"/>
          <w:szCs w:val="40"/>
        </w:rPr>
      </w:pPr>
      <w:bookmarkStart w:id="1" w:name="_Toc227623398"/>
      <w:r w:rsidRPr="00C462A0">
        <w:rPr>
          <w:sz w:val="40"/>
          <w:szCs w:val="40"/>
        </w:rPr>
        <w:lastRenderedPageBreak/>
        <w:t xml:space="preserve">Introduction to Upskilling Curricula: </w:t>
      </w:r>
      <w:r w:rsidR="001243BF" w:rsidRPr="00C462A0">
        <w:rPr>
          <w:sz w:val="40"/>
          <w:szCs w:val="40"/>
        </w:rPr>
        <w:t>Cybersecurity for</w:t>
      </w:r>
      <w:r w:rsidR="00C462A0" w:rsidRPr="00C462A0">
        <w:rPr>
          <w:sz w:val="40"/>
          <w:szCs w:val="40"/>
        </w:rPr>
        <w:t xml:space="preserve"> </w:t>
      </w:r>
      <w:r w:rsidR="001243BF" w:rsidRPr="00C462A0">
        <w:rPr>
          <w:sz w:val="40"/>
          <w:szCs w:val="40"/>
        </w:rPr>
        <w:t>Sustainable Systems</w:t>
      </w:r>
      <w:bookmarkEnd w:id="1"/>
    </w:p>
    <w:p w14:paraId="5B688A81" w14:textId="77777777" w:rsidR="00BD0CF5" w:rsidRPr="00C462A0" w:rsidRDefault="00BD0CF5" w:rsidP="00BD0CF5"/>
    <w:tbl>
      <w:tblPr>
        <w:tblStyle w:val="TableGrid"/>
        <w:tblW w:w="0" w:type="auto"/>
        <w:tblLook w:val="04A0" w:firstRow="1" w:lastRow="0" w:firstColumn="1" w:lastColumn="0" w:noHBand="0" w:noVBand="1"/>
      </w:tblPr>
      <w:tblGrid>
        <w:gridCol w:w="9628"/>
      </w:tblGrid>
      <w:tr w:rsidR="001B6962" w:rsidRPr="00C462A0" w14:paraId="45DEAF83" w14:textId="77777777" w:rsidTr="00BD0CF5">
        <w:trPr>
          <w:trHeight w:val="422"/>
        </w:trPr>
        <w:tc>
          <w:tcPr>
            <w:tcW w:w="9628" w:type="dxa"/>
            <w:shd w:val="clear" w:color="auto" w:fill="D9D9D9" w:themeFill="background1" w:themeFillShade="D9"/>
          </w:tcPr>
          <w:p w14:paraId="51E47EBB" w14:textId="7888F315" w:rsidR="001B6962" w:rsidRPr="00C462A0" w:rsidRDefault="00FF0F54" w:rsidP="00BD0CF5">
            <w:pPr>
              <w:rPr>
                <w:b/>
                <w:bCs/>
              </w:rPr>
            </w:pPr>
            <w:bookmarkStart w:id="2" w:name="_Toc227159290"/>
            <w:r w:rsidRPr="00C462A0">
              <w:rPr>
                <w:b/>
                <w:bCs/>
              </w:rPr>
              <w:t>Overview</w:t>
            </w:r>
            <w:r w:rsidR="00BD0CF5" w:rsidRPr="00C462A0">
              <w:rPr>
                <w:b/>
                <w:bCs/>
              </w:rPr>
              <w:t>:</w:t>
            </w:r>
            <w:bookmarkEnd w:id="2"/>
          </w:p>
        </w:tc>
      </w:tr>
      <w:tr w:rsidR="001B6962" w:rsidRPr="00C462A0" w14:paraId="1E83A920" w14:textId="77777777" w:rsidTr="006203D4">
        <w:tc>
          <w:tcPr>
            <w:tcW w:w="9628" w:type="dxa"/>
          </w:tcPr>
          <w:p w14:paraId="0B001DCB" w14:textId="0DB7AF52" w:rsidR="001B6962" w:rsidRPr="00C462A0" w:rsidRDefault="001243BF" w:rsidP="00980D68">
            <w:pPr>
              <w:spacing w:line="276" w:lineRule="auto"/>
              <w:jc w:val="both"/>
              <w:rPr>
                <w:rFonts w:cstheme="minorHAnsi"/>
                <w:bCs/>
                <w:i/>
                <w:iCs/>
                <w:szCs w:val="20"/>
              </w:rPr>
            </w:pPr>
            <w:r w:rsidRPr="00C462A0">
              <w:rPr>
                <w:rFonts w:cstheme="minorHAnsi"/>
                <w:bCs/>
                <w:szCs w:val="20"/>
              </w:rPr>
              <w:t>The Cybersecurity for Sustainable Systems curricula is an intensive upskilling programme designed to equip professionals with the knowledge and practical competencies required to secure digitally enabled sustainable infrastructure Targeted at technical specialists, sustainability consultants, system administrators, and IT security professionals at EQF Level 6, the course moves beyond foundational cybersecurity concepts to their strategic application in energy, IoT, and ESG-driven environments. The learning journey is structured into three modules, subdivided into specific Topics. Learners progressively move from core cybersecurity principles (CIA Triad, threat landscape analysis, cyber risk fundamentals) to sector-specific threat modelling and regulatory alignment. The programme adopts a blended learning structure combining lectures, self-study, and 20 hours of Project-Based Learning (PBL). While lectures and self-study provide theoretical foundations, practical application is ensured through a Capstone Project developed throughout the course.</w:t>
            </w:r>
          </w:p>
        </w:tc>
      </w:tr>
      <w:tr w:rsidR="001B6962" w:rsidRPr="00C462A0" w14:paraId="44BACF26" w14:textId="77777777" w:rsidTr="006203D4">
        <w:tc>
          <w:tcPr>
            <w:tcW w:w="9628" w:type="dxa"/>
            <w:shd w:val="clear" w:color="auto" w:fill="D9D9D9" w:themeFill="background1" w:themeFillShade="D9"/>
          </w:tcPr>
          <w:p w14:paraId="3BFBE2D4" w14:textId="77777777" w:rsidR="001B6962" w:rsidRPr="00C462A0" w:rsidRDefault="001B6962" w:rsidP="00980D68">
            <w:pPr>
              <w:spacing w:line="276" w:lineRule="auto"/>
              <w:rPr>
                <w:rStyle w:val="ng-star-inserted"/>
                <w:rFonts w:cstheme="minorHAnsi"/>
                <w:b/>
                <w:bCs/>
                <w:color w:val="1A1C1E"/>
                <w:szCs w:val="20"/>
                <w:highlight w:val="lightGray"/>
                <w:shd w:val="clear" w:color="auto" w:fill="FFFFFF"/>
              </w:rPr>
            </w:pPr>
            <w:r w:rsidRPr="00C462A0">
              <w:rPr>
                <w:rStyle w:val="ng-star-inserted"/>
                <w:rFonts w:eastAsia="Arial" w:cstheme="minorHAnsi"/>
                <w:b/>
                <w:bCs/>
                <w:color w:val="1A1C1E"/>
                <w:szCs w:val="20"/>
                <w:highlight w:val="lightGray"/>
                <w:shd w:val="clear" w:color="auto" w:fill="FFFFFF"/>
              </w:rPr>
              <w:t>Learning Outcomes (LO) for this UC:</w:t>
            </w:r>
          </w:p>
          <w:p w14:paraId="4939AD51" w14:textId="77777777" w:rsidR="001B6962" w:rsidRPr="00C462A0" w:rsidRDefault="001B6962" w:rsidP="00980D68">
            <w:pPr>
              <w:spacing w:line="276" w:lineRule="auto"/>
              <w:rPr>
                <w:rFonts w:cstheme="minorHAnsi"/>
                <w:i/>
                <w:iCs/>
                <w:szCs w:val="20"/>
                <w:highlight w:val="lightGray"/>
              </w:rPr>
            </w:pPr>
            <w:r w:rsidRPr="00C462A0">
              <w:rPr>
                <w:rFonts w:eastAsia="Arial" w:cstheme="minorHAnsi"/>
                <w:i/>
                <w:iCs/>
                <w:szCs w:val="20"/>
                <w:highlight w:val="lightGray"/>
              </w:rPr>
              <w:t xml:space="preserve">The learner will be able to: </w:t>
            </w:r>
          </w:p>
        </w:tc>
      </w:tr>
      <w:tr w:rsidR="001B6962" w:rsidRPr="00C462A0" w14:paraId="38A6DA90" w14:textId="77777777" w:rsidTr="006203D4">
        <w:tc>
          <w:tcPr>
            <w:tcW w:w="9628" w:type="dxa"/>
          </w:tcPr>
          <w:p w14:paraId="5B8BB3E9" w14:textId="77777777" w:rsidR="001243BF" w:rsidRPr="00C462A0" w:rsidRDefault="001243BF" w:rsidP="001243BF">
            <w:pPr>
              <w:pStyle w:val="ListParagraph"/>
              <w:numPr>
                <w:ilvl w:val="0"/>
                <w:numId w:val="22"/>
              </w:numPr>
              <w:jc w:val="both"/>
              <w:rPr>
                <w:bCs/>
                <w:szCs w:val="20"/>
              </w:rPr>
            </w:pPr>
            <w:r w:rsidRPr="00C462A0">
              <w:rPr>
                <w:bCs/>
                <w:szCs w:val="20"/>
              </w:rPr>
              <w:t>Identify cybersecurity risks specific to sustainable digital systems (energy management, IoT sensors, ESG platforms)</w:t>
            </w:r>
          </w:p>
          <w:p w14:paraId="1981CB7C" w14:textId="77777777" w:rsidR="001243BF" w:rsidRPr="00C462A0" w:rsidRDefault="001243BF" w:rsidP="001243BF">
            <w:pPr>
              <w:pStyle w:val="ListParagraph"/>
              <w:numPr>
                <w:ilvl w:val="0"/>
                <w:numId w:val="22"/>
              </w:numPr>
              <w:jc w:val="both"/>
              <w:rPr>
                <w:bCs/>
                <w:szCs w:val="20"/>
              </w:rPr>
            </w:pPr>
            <w:r w:rsidRPr="00C462A0">
              <w:rPr>
                <w:bCs/>
                <w:szCs w:val="20"/>
              </w:rPr>
              <w:t>Apply security principles (CIA triad, defence in depth) to sustainability infrastructure design.</w:t>
            </w:r>
          </w:p>
          <w:p w14:paraId="236825B9" w14:textId="77777777" w:rsidR="001243BF" w:rsidRPr="00C462A0" w:rsidRDefault="001243BF" w:rsidP="001243BF">
            <w:pPr>
              <w:pStyle w:val="ListParagraph"/>
              <w:numPr>
                <w:ilvl w:val="0"/>
                <w:numId w:val="22"/>
              </w:numPr>
              <w:jc w:val="both"/>
              <w:rPr>
                <w:bCs/>
                <w:szCs w:val="20"/>
              </w:rPr>
            </w:pPr>
            <w:r w:rsidRPr="00C462A0">
              <w:rPr>
                <w:bCs/>
                <w:szCs w:val="20"/>
              </w:rPr>
              <w:t>Implement access controls and authentication mechanisms for ESG data systems.</w:t>
            </w:r>
          </w:p>
          <w:p w14:paraId="6D7BDD3B" w14:textId="77777777" w:rsidR="001243BF" w:rsidRPr="00C462A0" w:rsidRDefault="001243BF" w:rsidP="001243BF">
            <w:pPr>
              <w:pStyle w:val="ListParagraph"/>
              <w:numPr>
                <w:ilvl w:val="0"/>
                <w:numId w:val="22"/>
              </w:numPr>
              <w:jc w:val="both"/>
              <w:rPr>
                <w:bCs/>
                <w:szCs w:val="20"/>
              </w:rPr>
            </w:pPr>
            <w:r w:rsidRPr="00C462A0">
              <w:rPr>
                <w:bCs/>
                <w:szCs w:val="20"/>
              </w:rPr>
              <w:t>Evaluate security vulnerabilities in renewable energy systems and smart grid technologies.</w:t>
            </w:r>
          </w:p>
          <w:p w14:paraId="43E31506" w14:textId="77777777" w:rsidR="001243BF" w:rsidRPr="00C462A0" w:rsidRDefault="001243BF" w:rsidP="001243BF">
            <w:pPr>
              <w:pStyle w:val="ListParagraph"/>
              <w:numPr>
                <w:ilvl w:val="0"/>
                <w:numId w:val="22"/>
              </w:numPr>
              <w:jc w:val="both"/>
              <w:rPr>
                <w:bCs/>
                <w:szCs w:val="20"/>
              </w:rPr>
            </w:pPr>
            <w:r w:rsidRPr="00C462A0">
              <w:rPr>
                <w:bCs/>
                <w:szCs w:val="20"/>
              </w:rPr>
              <w:t>Design incident response procedures for sustainability-critical infrastructure.</w:t>
            </w:r>
          </w:p>
          <w:p w14:paraId="0681B26E" w14:textId="5AB80B0B" w:rsidR="001B6962" w:rsidRPr="00C462A0" w:rsidRDefault="001243BF" w:rsidP="001243BF">
            <w:pPr>
              <w:pStyle w:val="ListParagraph"/>
              <w:numPr>
                <w:ilvl w:val="0"/>
                <w:numId w:val="22"/>
              </w:numPr>
              <w:spacing w:line="276" w:lineRule="auto"/>
              <w:jc w:val="both"/>
              <w:rPr>
                <w:rFonts w:cstheme="minorHAnsi"/>
                <w:szCs w:val="20"/>
              </w:rPr>
            </w:pPr>
            <w:r w:rsidRPr="00C462A0">
              <w:rPr>
                <w:bCs/>
                <w:szCs w:val="20"/>
              </w:rPr>
              <w:t>Assess compliance requirements for data protection in sustainability reporting systems.</w:t>
            </w:r>
          </w:p>
        </w:tc>
      </w:tr>
      <w:tr w:rsidR="001B6962" w:rsidRPr="00C462A0" w14:paraId="4B7481AB" w14:textId="77777777" w:rsidTr="008A5A1A">
        <w:trPr>
          <w:trHeight w:val="300"/>
        </w:trPr>
        <w:tc>
          <w:tcPr>
            <w:tcW w:w="9628" w:type="dxa"/>
            <w:shd w:val="clear" w:color="auto" w:fill="D9D9D9" w:themeFill="background1" w:themeFillShade="D9"/>
          </w:tcPr>
          <w:p w14:paraId="741B8D6B" w14:textId="77777777" w:rsidR="001B6962" w:rsidRPr="00C462A0" w:rsidRDefault="001B6962" w:rsidP="00980D68">
            <w:pPr>
              <w:spacing w:line="276" w:lineRule="auto"/>
              <w:rPr>
                <w:rFonts w:cstheme="minorHAnsi"/>
                <w:szCs w:val="20"/>
              </w:rPr>
            </w:pPr>
            <w:r w:rsidRPr="00C462A0">
              <w:rPr>
                <w:rFonts w:eastAsia="Arial" w:cstheme="minorHAnsi"/>
                <w:b/>
                <w:szCs w:val="20"/>
              </w:rPr>
              <w:t>Structure of the handbook</w:t>
            </w:r>
            <w:r w:rsidRPr="00C462A0">
              <w:rPr>
                <w:rFonts w:eastAsia="Arial" w:cstheme="minorHAnsi"/>
                <w:szCs w:val="20"/>
              </w:rPr>
              <w:t xml:space="preserve"> </w:t>
            </w:r>
          </w:p>
          <w:p w14:paraId="7417ADD4" w14:textId="17AABD85" w:rsidR="001B6962" w:rsidRPr="00C462A0" w:rsidRDefault="001B6962" w:rsidP="00980D68">
            <w:pPr>
              <w:spacing w:line="276" w:lineRule="auto"/>
              <w:jc w:val="both"/>
              <w:rPr>
                <w:rFonts w:cstheme="minorHAnsi"/>
                <w:szCs w:val="20"/>
              </w:rPr>
            </w:pPr>
            <w:r w:rsidRPr="00C462A0">
              <w:rPr>
                <w:rFonts w:eastAsia="Arial" w:cstheme="minorHAnsi"/>
                <w:szCs w:val="20"/>
              </w:rPr>
              <w:t>This handbook is divided into Modules and topics.</w:t>
            </w:r>
          </w:p>
        </w:tc>
      </w:tr>
      <w:tr w:rsidR="001B6962" w:rsidRPr="00C462A0" w14:paraId="6A53641D" w14:textId="77777777" w:rsidTr="006203D4">
        <w:trPr>
          <w:trHeight w:val="300"/>
        </w:trPr>
        <w:tc>
          <w:tcPr>
            <w:tcW w:w="9628" w:type="dxa"/>
          </w:tcPr>
          <w:p w14:paraId="384362A2" w14:textId="77777777" w:rsidR="001243BF" w:rsidRPr="00C462A0" w:rsidRDefault="001243BF" w:rsidP="001243BF">
            <w:pPr>
              <w:pStyle w:val="NoSpacing"/>
              <w:spacing w:line="276" w:lineRule="auto"/>
              <w:rPr>
                <w:rFonts w:eastAsia="Arial" w:cstheme="minorHAnsi"/>
                <w:b/>
                <w:bCs/>
                <w:sz w:val="20"/>
                <w:szCs w:val="20"/>
                <w:lang w:val="en-GB"/>
              </w:rPr>
            </w:pPr>
            <w:r w:rsidRPr="00C462A0">
              <w:rPr>
                <w:rFonts w:eastAsia="Arial" w:cstheme="minorHAnsi"/>
                <w:b/>
                <w:bCs/>
                <w:sz w:val="20"/>
                <w:szCs w:val="20"/>
                <w:lang w:val="en-GB"/>
              </w:rPr>
              <w:t>Module 1: Cybersecurity Fundamentals</w:t>
            </w:r>
          </w:p>
          <w:p w14:paraId="0C2BB6CC" w14:textId="77777777" w:rsidR="001243BF" w:rsidRPr="00C462A0" w:rsidRDefault="001243BF" w:rsidP="001243BF">
            <w:pPr>
              <w:pStyle w:val="NoSpacing"/>
              <w:spacing w:line="276" w:lineRule="auto"/>
              <w:rPr>
                <w:rFonts w:eastAsia="Arial" w:cstheme="minorHAnsi"/>
                <w:sz w:val="20"/>
                <w:szCs w:val="20"/>
                <w:lang w:val="en-GB"/>
              </w:rPr>
            </w:pPr>
            <w:r w:rsidRPr="00C462A0">
              <w:rPr>
                <w:rFonts w:eastAsia="Arial" w:cstheme="minorHAnsi"/>
                <w:sz w:val="20"/>
                <w:szCs w:val="20"/>
                <w:lang w:val="en-GB"/>
              </w:rPr>
              <w:t>T1.1. CIA Triad and its role within cybersecurity</w:t>
            </w:r>
          </w:p>
          <w:p w14:paraId="041070B4" w14:textId="77777777" w:rsidR="001243BF" w:rsidRPr="00C462A0" w:rsidRDefault="001243BF" w:rsidP="001243BF">
            <w:pPr>
              <w:pStyle w:val="NoSpacing"/>
              <w:spacing w:line="276" w:lineRule="auto"/>
              <w:rPr>
                <w:rFonts w:eastAsia="Arial" w:cstheme="minorHAnsi"/>
                <w:sz w:val="20"/>
                <w:szCs w:val="20"/>
                <w:lang w:val="en-GB"/>
              </w:rPr>
            </w:pPr>
            <w:r w:rsidRPr="00C462A0">
              <w:rPr>
                <w:rFonts w:eastAsia="Arial" w:cstheme="minorHAnsi"/>
                <w:sz w:val="20"/>
                <w:szCs w:val="20"/>
                <w:lang w:val="en-GB"/>
              </w:rPr>
              <w:t xml:space="preserve">T1.2. Modern and up-to-date Threat Landscape </w:t>
            </w:r>
          </w:p>
          <w:p w14:paraId="05C04C89" w14:textId="77777777" w:rsidR="001243BF" w:rsidRPr="00C462A0" w:rsidRDefault="001243BF" w:rsidP="001243BF">
            <w:pPr>
              <w:pStyle w:val="NoSpacing"/>
              <w:spacing w:line="276" w:lineRule="auto"/>
              <w:rPr>
                <w:rFonts w:eastAsia="Arial" w:cstheme="minorHAnsi"/>
                <w:sz w:val="20"/>
                <w:szCs w:val="20"/>
                <w:lang w:val="en-GB"/>
              </w:rPr>
            </w:pPr>
            <w:r w:rsidRPr="00C462A0">
              <w:rPr>
                <w:rFonts w:eastAsia="Arial" w:cstheme="minorHAnsi"/>
                <w:sz w:val="20"/>
                <w:szCs w:val="20"/>
                <w:lang w:val="en-GB"/>
              </w:rPr>
              <w:t>T1.3. Modern Cybersecurity tactics and techniques</w:t>
            </w:r>
          </w:p>
          <w:p w14:paraId="3D44DE84" w14:textId="5EE54B74" w:rsidR="001243BF" w:rsidRPr="00C462A0" w:rsidRDefault="001243BF" w:rsidP="001243BF">
            <w:pPr>
              <w:pStyle w:val="NoSpacing"/>
              <w:spacing w:line="276" w:lineRule="auto"/>
              <w:rPr>
                <w:rFonts w:eastAsia="Arial" w:cstheme="minorHAnsi"/>
                <w:sz w:val="20"/>
                <w:szCs w:val="20"/>
                <w:lang w:val="en-GB"/>
              </w:rPr>
            </w:pPr>
            <w:r w:rsidRPr="00C462A0">
              <w:rPr>
                <w:rFonts w:eastAsia="Arial" w:cstheme="minorHAnsi"/>
                <w:sz w:val="20"/>
                <w:szCs w:val="20"/>
                <w:lang w:val="en-GB"/>
              </w:rPr>
              <w:t>T1.4. Introduction to the role of Cybe</w:t>
            </w:r>
            <w:r w:rsidR="00243017">
              <w:rPr>
                <w:rFonts w:eastAsia="Arial" w:cstheme="minorHAnsi"/>
                <w:sz w:val="20"/>
                <w:szCs w:val="20"/>
                <w:lang w:val="en-GB"/>
              </w:rPr>
              <w:t>r-</w:t>
            </w:r>
            <w:r w:rsidRPr="00C462A0">
              <w:rPr>
                <w:rFonts w:eastAsia="Arial" w:cstheme="minorHAnsi"/>
                <w:sz w:val="20"/>
                <w:szCs w:val="20"/>
                <w:lang w:val="en-GB"/>
              </w:rPr>
              <w:t>risk</w:t>
            </w:r>
          </w:p>
          <w:p w14:paraId="16193104" w14:textId="77777777" w:rsidR="001243BF" w:rsidRPr="00C462A0" w:rsidRDefault="001243BF" w:rsidP="001243BF">
            <w:pPr>
              <w:pStyle w:val="NoSpacing"/>
              <w:spacing w:line="276" w:lineRule="auto"/>
              <w:rPr>
                <w:rFonts w:eastAsia="Arial" w:cstheme="minorHAnsi"/>
                <w:b/>
                <w:bCs/>
                <w:sz w:val="20"/>
                <w:szCs w:val="20"/>
                <w:lang w:val="en-GB"/>
              </w:rPr>
            </w:pPr>
          </w:p>
          <w:p w14:paraId="5F7A2FBB" w14:textId="77777777" w:rsidR="001243BF" w:rsidRPr="00C462A0" w:rsidRDefault="001243BF" w:rsidP="001243BF">
            <w:pPr>
              <w:pStyle w:val="NoSpacing"/>
              <w:spacing w:line="276" w:lineRule="auto"/>
              <w:rPr>
                <w:rFonts w:eastAsia="Arial" w:cstheme="minorHAnsi"/>
                <w:b/>
                <w:bCs/>
                <w:sz w:val="20"/>
                <w:szCs w:val="20"/>
                <w:lang w:val="en-GB"/>
              </w:rPr>
            </w:pPr>
            <w:r w:rsidRPr="00C462A0">
              <w:rPr>
                <w:rFonts w:eastAsia="Arial" w:cstheme="minorHAnsi"/>
                <w:b/>
                <w:bCs/>
                <w:sz w:val="20"/>
                <w:szCs w:val="20"/>
                <w:lang w:val="en-GB"/>
              </w:rPr>
              <w:t xml:space="preserve">Module 2: Sustainable Systems Security </w:t>
            </w:r>
          </w:p>
          <w:p w14:paraId="6D860B7F" w14:textId="77777777" w:rsidR="001243BF" w:rsidRPr="00C462A0" w:rsidRDefault="001243BF" w:rsidP="001243BF">
            <w:pPr>
              <w:pStyle w:val="NoSpacing"/>
              <w:spacing w:line="276" w:lineRule="auto"/>
              <w:rPr>
                <w:rFonts w:eastAsia="Arial" w:cstheme="minorHAnsi"/>
                <w:sz w:val="20"/>
                <w:szCs w:val="20"/>
                <w:lang w:val="en-GB"/>
              </w:rPr>
            </w:pPr>
            <w:r w:rsidRPr="00C462A0">
              <w:rPr>
                <w:rFonts w:eastAsia="Arial" w:cstheme="minorHAnsi"/>
                <w:sz w:val="20"/>
                <w:szCs w:val="20"/>
                <w:lang w:val="en-GB"/>
              </w:rPr>
              <w:t>T2.1. Threat Landscape of Energy Management Systems</w:t>
            </w:r>
          </w:p>
          <w:p w14:paraId="4A73FCEC" w14:textId="77777777" w:rsidR="001243BF" w:rsidRPr="00C462A0" w:rsidRDefault="001243BF" w:rsidP="001243BF">
            <w:pPr>
              <w:pStyle w:val="NoSpacing"/>
              <w:spacing w:line="276" w:lineRule="auto"/>
              <w:rPr>
                <w:rFonts w:eastAsia="Arial" w:cstheme="minorHAnsi"/>
                <w:sz w:val="20"/>
                <w:szCs w:val="20"/>
                <w:lang w:val="en-GB"/>
              </w:rPr>
            </w:pPr>
            <w:r w:rsidRPr="00C462A0">
              <w:rPr>
                <w:rFonts w:eastAsia="Arial" w:cstheme="minorHAnsi"/>
                <w:sz w:val="20"/>
                <w:szCs w:val="20"/>
                <w:lang w:val="en-GB"/>
              </w:rPr>
              <w:t>T2.2.  Threat Landscape of IoT sensors</w:t>
            </w:r>
          </w:p>
          <w:p w14:paraId="5EBAD841" w14:textId="77777777" w:rsidR="001243BF" w:rsidRPr="00C462A0" w:rsidRDefault="001243BF" w:rsidP="001243BF">
            <w:pPr>
              <w:pStyle w:val="NoSpacing"/>
              <w:spacing w:line="276" w:lineRule="auto"/>
              <w:rPr>
                <w:rFonts w:eastAsia="Arial" w:cstheme="minorHAnsi"/>
                <w:sz w:val="20"/>
                <w:szCs w:val="20"/>
                <w:lang w:val="en-GB"/>
              </w:rPr>
            </w:pPr>
            <w:r w:rsidRPr="00C462A0">
              <w:rPr>
                <w:rFonts w:eastAsia="Arial" w:cstheme="minorHAnsi"/>
                <w:sz w:val="20"/>
                <w:szCs w:val="20"/>
                <w:lang w:val="en-GB"/>
              </w:rPr>
              <w:t>T2.3. Threat Landscape of Smart Grids</w:t>
            </w:r>
          </w:p>
          <w:p w14:paraId="41070C61" w14:textId="77777777" w:rsidR="001243BF" w:rsidRPr="00C462A0" w:rsidRDefault="001243BF" w:rsidP="001243BF">
            <w:pPr>
              <w:pStyle w:val="NoSpacing"/>
              <w:spacing w:line="276" w:lineRule="auto"/>
              <w:rPr>
                <w:rFonts w:eastAsia="Arial" w:cstheme="minorHAnsi"/>
                <w:sz w:val="20"/>
                <w:szCs w:val="20"/>
                <w:lang w:val="en-GB"/>
              </w:rPr>
            </w:pPr>
            <w:r w:rsidRPr="00C462A0">
              <w:rPr>
                <w:rFonts w:eastAsia="Arial" w:cstheme="minorHAnsi"/>
                <w:sz w:val="20"/>
                <w:szCs w:val="20"/>
                <w:lang w:val="en-GB"/>
              </w:rPr>
              <w:lastRenderedPageBreak/>
              <w:t>T2.4. Introduction to ESG platforms</w:t>
            </w:r>
          </w:p>
          <w:p w14:paraId="4672CC1D" w14:textId="77777777" w:rsidR="001243BF" w:rsidRPr="00C462A0" w:rsidRDefault="001243BF" w:rsidP="001243BF">
            <w:pPr>
              <w:pStyle w:val="NoSpacing"/>
              <w:spacing w:line="276" w:lineRule="auto"/>
              <w:rPr>
                <w:rFonts w:eastAsia="Arial" w:cstheme="minorHAnsi"/>
                <w:sz w:val="20"/>
                <w:szCs w:val="20"/>
                <w:lang w:val="en-GB"/>
              </w:rPr>
            </w:pPr>
            <w:r w:rsidRPr="00C462A0">
              <w:rPr>
                <w:rFonts w:eastAsia="Arial" w:cstheme="minorHAnsi"/>
                <w:sz w:val="20"/>
                <w:szCs w:val="20"/>
                <w:lang w:val="en-GB"/>
              </w:rPr>
              <w:t>T2.5. Security framework</w:t>
            </w:r>
          </w:p>
          <w:p w14:paraId="3D0D5D6F" w14:textId="77777777" w:rsidR="001243BF" w:rsidRPr="00C462A0" w:rsidRDefault="001243BF" w:rsidP="001243BF">
            <w:pPr>
              <w:pStyle w:val="NoSpacing"/>
              <w:spacing w:line="276" w:lineRule="auto"/>
              <w:rPr>
                <w:rFonts w:eastAsia="Arial" w:cstheme="minorHAnsi"/>
                <w:b/>
                <w:bCs/>
                <w:sz w:val="20"/>
                <w:szCs w:val="20"/>
                <w:lang w:val="en-GB"/>
              </w:rPr>
            </w:pPr>
          </w:p>
          <w:p w14:paraId="44C6508D" w14:textId="77777777" w:rsidR="001243BF" w:rsidRPr="00C462A0" w:rsidRDefault="001243BF" w:rsidP="001243BF">
            <w:pPr>
              <w:pStyle w:val="NoSpacing"/>
              <w:spacing w:line="276" w:lineRule="auto"/>
              <w:rPr>
                <w:rFonts w:eastAsia="Arial" w:cstheme="minorHAnsi"/>
                <w:b/>
                <w:bCs/>
                <w:sz w:val="20"/>
                <w:szCs w:val="20"/>
                <w:lang w:val="en-GB"/>
              </w:rPr>
            </w:pPr>
            <w:r w:rsidRPr="00C462A0">
              <w:rPr>
                <w:rFonts w:eastAsia="Arial" w:cstheme="minorHAnsi"/>
                <w:b/>
                <w:bCs/>
                <w:sz w:val="20"/>
                <w:szCs w:val="20"/>
                <w:lang w:val="en-GB"/>
              </w:rPr>
              <w:t xml:space="preserve">Module 3: Data Protection &amp; Compliance </w:t>
            </w:r>
          </w:p>
          <w:p w14:paraId="070D1A47" w14:textId="77777777" w:rsidR="001243BF" w:rsidRPr="00C462A0" w:rsidRDefault="001243BF" w:rsidP="001243BF">
            <w:pPr>
              <w:pStyle w:val="NoSpacing"/>
              <w:spacing w:line="276" w:lineRule="auto"/>
              <w:rPr>
                <w:rFonts w:eastAsia="Arial" w:cstheme="minorHAnsi"/>
                <w:sz w:val="20"/>
                <w:szCs w:val="20"/>
                <w:lang w:val="en-GB"/>
              </w:rPr>
            </w:pPr>
            <w:r w:rsidRPr="00C462A0">
              <w:rPr>
                <w:rFonts w:eastAsia="Arial" w:cstheme="minorHAnsi"/>
                <w:sz w:val="20"/>
                <w:szCs w:val="20"/>
                <w:lang w:val="en-GB"/>
              </w:rPr>
              <w:t>T3.1. Introduction to the Access Controls</w:t>
            </w:r>
          </w:p>
          <w:p w14:paraId="1CB5BC3C" w14:textId="77777777" w:rsidR="001243BF" w:rsidRPr="00C462A0" w:rsidRDefault="001243BF" w:rsidP="001243BF">
            <w:pPr>
              <w:pStyle w:val="NoSpacing"/>
              <w:spacing w:line="276" w:lineRule="auto"/>
              <w:rPr>
                <w:rFonts w:eastAsia="Arial" w:cstheme="minorHAnsi"/>
                <w:sz w:val="20"/>
                <w:szCs w:val="20"/>
                <w:lang w:val="en-GB"/>
              </w:rPr>
            </w:pPr>
            <w:r w:rsidRPr="00C462A0">
              <w:rPr>
                <w:rFonts w:eastAsia="Arial" w:cstheme="minorHAnsi"/>
                <w:sz w:val="20"/>
                <w:szCs w:val="20"/>
                <w:lang w:val="en-GB"/>
              </w:rPr>
              <w:t>T3.2. Introduction to Encryption Technologies</w:t>
            </w:r>
          </w:p>
          <w:p w14:paraId="0303043F" w14:textId="77777777" w:rsidR="001243BF" w:rsidRPr="00C462A0" w:rsidRDefault="001243BF" w:rsidP="001243BF">
            <w:pPr>
              <w:pStyle w:val="NoSpacing"/>
              <w:spacing w:line="276" w:lineRule="auto"/>
              <w:rPr>
                <w:rFonts w:eastAsia="Arial" w:cstheme="minorHAnsi"/>
                <w:sz w:val="20"/>
                <w:szCs w:val="20"/>
                <w:lang w:val="en-GB"/>
              </w:rPr>
            </w:pPr>
            <w:r w:rsidRPr="00C462A0">
              <w:rPr>
                <w:rFonts w:eastAsia="Arial" w:cstheme="minorHAnsi"/>
                <w:sz w:val="20"/>
                <w:szCs w:val="20"/>
                <w:lang w:val="en-GB"/>
              </w:rPr>
              <w:t>T3.3. Introduction to GDPR alignment and its evolution</w:t>
            </w:r>
          </w:p>
          <w:p w14:paraId="67E22932" w14:textId="25C68C13" w:rsidR="001B6962" w:rsidRPr="00C462A0" w:rsidRDefault="001243BF" w:rsidP="001243BF">
            <w:pPr>
              <w:pStyle w:val="NoSpacing"/>
              <w:spacing w:line="276" w:lineRule="auto"/>
              <w:rPr>
                <w:rFonts w:cstheme="minorHAnsi"/>
                <w:i/>
                <w:iCs/>
                <w:sz w:val="20"/>
                <w:szCs w:val="20"/>
                <w:lang w:val="en-GB"/>
              </w:rPr>
            </w:pPr>
            <w:r w:rsidRPr="00C462A0">
              <w:rPr>
                <w:rFonts w:eastAsia="Arial" w:cstheme="minorHAnsi"/>
                <w:sz w:val="20"/>
                <w:szCs w:val="20"/>
                <w:lang w:val="en-GB"/>
              </w:rPr>
              <w:t>T3.4. Audit trails</w:t>
            </w:r>
          </w:p>
        </w:tc>
      </w:tr>
    </w:tbl>
    <w:p w14:paraId="579DB2D0" w14:textId="77777777" w:rsidR="00BD0CF5" w:rsidRPr="00C462A0" w:rsidRDefault="00BD0CF5" w:rsidP="00BD0CF5">
      <w:pPr>
        <w:pStyle w:val="Heading1"/>
        <w:numPr>
          <w:ilvl w:val="0"/>
          <w:numId w:val="0"/>
        </w:numPr>
        <w:ind w:left="426" w:hanging="360"/>
        <w:rPr>
          <w:rFonts w:cstheme="minorHAnsi"/>
          <w:szCs w:val="20"/>
        </w:rPr>
      </w:pPr>
    </w:p>
    <w:p w14:paraId="6CB93083" w14:textId="77777777" w:rsidR="00C462A0" w:rsidRPr="00C462A0" w:rsidRDefault="00C462A0" w:rsidP="00C462A0"/>
    <w:p w14:paraId="3446B2EE" w14:textId="77777777" w:rsidR="00C462A0" w:rsidRPr="00C462A0" w:rsidRDefault="00C462A0" w:rsidP="00C462A0"/>
    <w:p w14:paraId="28DDCFD8" w14:textId="77777777" w:rsidR="00C462A0" w:rsidRPr="00C462A0" w:rsidRDefault="00C462A0" w:rsidP="00C462A0"/>
    <w:p w14:paraId="45B414AE" w14:textId="77777777" w:rsidR="00C462A0" w:rsidRPr="00C462A0" w:rsidRDefault="00C462A0" w:rsidP="00C462A0"/>
    <w:p w14:paraId="62BAADF0" w14:textId="77777777" w:rsidR="00C462A0" w:rsidRPr="00C462A0" w:rsidRDefault="00C462A0" w:rsidP="00C462A0"/>
    <w:p w14:paraId="08A50D4B" w14:textId="77777777" w:rsidR="00C462A0" w:rsidRPr="00C462A0" w:rsidRDefault="00C462A0" w:rsidP="00C462A0"/>
    <w:p w14:paraId="683C10D1" w14:textId="77777777" w:rsidR="00C462A0" w:rsidRPr="00C462A0" w:rsidRDefault="00C462A0" w:rsidP="00C462A0"/>
    <w:p w14:paraId="69F4A91B" w14:textId="77777777" w:rsidR="00C462A0" w:rsidRPr="00C462A0" w:rsidRDefault="00C462A0" w:rsidP="00C462A0"/>
    <w:p w14:paraId="3BD70BF4" w14:textId="77777777" w:rsidR="00C462A0" w:rsidRPr="00C462A0" w:rsidRDefault="00C462A0" w:rsidP="00C462A0"/>
    <w:p w14:paraId="563DD82D" w14:textId="77777777" w:rsidR="00C462A0" w:rsidRPr="00C462A0" w:rsidRDefault="00C462A0" w:rsidP="00C462A0"/>
    <w:p w14:paraId="3098550C" w14:textId="77777777" w:rsidR="00C462A0" w:rsidRPr="00C462A0" w:rsidRDefault="00C462A0" w:rsidP="00C462A0"/>
    <w:p w14:paraId="7F49BE4B" w14:textId="77777777" w:rsidR="00C462A0" w:rsidRPr="00C462A0" w:rsidRDefault="00C462A0" w:rsidP="00C462A0"/>
    <w:p w14:paraId="4D45BE44" w14:textId="77777777" w:rsidR="00C462A0" w:rsidRPr="00C462A0" w:rsidRDefault="00C462A0" w:rsidP="00C462A0"/>
    <w:p w14:paraId="13E65DD1" w14:textId="77777777" w:rsidR="00C462A0" w:rsidRPr="00C462A0" w:rsidRDefault="00C462A0" w:rsidP="00C462A0"/>
    <w:p w14:paraId="487A263C" w14:textId="77777777" w:rsidR="00C462A0" w:rsidRPr="00C462A0" w:rsidRDefault="00C462A0" w:rsidP="00C462A0"/>
    <w:p w14:paraId="554A033D" w14:textId="77777777" w:rsidR="00C462A0" w:rsidRPr="00C462A0" w:rsidRDefault="00C462A0" w:rsidP="00C462A0"/>
    <w:p w14:paraId="13534041" w14:textId="77777777" w:rsidR="00C462A0" w:rsidRPr="00C462A0" w:rsidRDefault="00C462A0" w:rsidP="00C462A0"/>
    <w:p w14:paraId="04BE5A80" w14:textId="77777777" w:rsidR="00C462A0" w:rsidRPr="00C462A0" w:rsidRDefault="00C462A0" w:rsidP="00C462A0"/>
    <w:p w14:paraId="0A841614" w14:textId="77777777" w:rsidR="00C462A0" w:rsidRPr="00C462A0" w:rsidRDefault="00C462A0" w:rsidP="00C462A0"/>
    <w:p w14:paraId="510DE307" w14:textId="5ED6CA21" w:rsidR="00531361" w:rsidRPr="00C462A0" w:rsidRDefault="00531361" w:rsidP="00BD0CF5">
      <w:pPr>
        <w:pStyle w:val="Heading1"/>
        <w:numPr>
          <w:ilvl w:val="0"/>
          <w:numId w:val="0"/>
        </w:numPr>
        <w:ind w:left="426" w:hanging="360"/>
        <w:rPr>
          <w:sz w:val="40"/>
          <w:szCs w:val="40"/>
        </w:rPr>
      </w:pPr>
      <w:bookmarkStart w:id="3" w:name="_Toc227623399"/>
      <w:r w:rsidRPr="00C462A0">
        <w:rPr>
          <w:sz w:val="40"/>
          <w:szCs w:val="40"/>
        </w:rPr>
        <w:lastRenderedPageBreak/>
        <w:t xml:space="preserve">MODULE 1: </w:t>
      </w:r>
      <w:r w:rsidR="001243BF" w:rsidRPr="00C462A0">
        <w:rPr>
          <w:sz w:val="40"/>
          <w:szCs w:val="40"/>
        </w:rPr>
        <w:t>Cybersecurity Fundamentals</w:t>
      </w:r>
      <w:bookmarkEnd w:id="3"/>
    </w:p>
    <w:tbl>
      <w:tblPr>
        <w:tblStyle w:val="TableGrid"/>
        <w:tblW w:w="0" w:type="auto"/>
        <w:tblLook w:val="04A0" w:firstRow="1" w:lastRow="0" w:firstColumn="1" w:lastColumn="0" w:noHBand="0" w:noVBand="1"/>
      </w:tblPr>
      <w:tblGrid>
        <w:gridCol w:w="9628"/>
      </w:tblGrid>
      <w:tr w:rsidR="00531361" w:rsidRPr="00C462A0" w14:paraId="358F2191" w14:textId="77777777" w:rsidTr="006203D4">
        <w:tc>
          <w:tcPr>
            <w:tcW w:w="9628" w:type="dxa"/>
            <w:shd w:val="clear" w:color="auto" w:fill="D9D9D9" w:themeFill="background1" w:themeFillShade="D9"/>
          </w:tcPr>
          <w:p w14:paraId="3FE4549F" w14:textId="410FDD52" w:rsidR="00531361" w:rsidRPr="00C462A0" w:rsidRDefault="00531361" w:rsidP="00980D68">
            <w:pPr>
              <w:spacing w:line="276" w:lineRule="auto"/>
              <w:rPr>
                <w:rFonts w:cstheme="minorHAnsi"/>
                <w:b/>
                <w:bCs/>
                <w:szCs w:val="20"/>
              </w:rPr>
            </w:pPr>
            <w:r w:rsidRPr="00C462A0">
              <w:rPr>
                <w:rFonts w:cstheme="minorHAnsi"/>
                <w:b/>
                <w:bCs/>
                <w:szCs w:val="20"/>
              </w:rPr>
              <w:t xml:space="preserve">Module Overview: </w:t>
            </w:r>
          </w:p>
        </w:tc>
      </w:tr>
      <w:tr w:rsidR="001243BF" w:rsidRPr="00C462A0" w14:paraId="6FEAAC2F" w14:textId="77777777" w:rsidTr="006203D4">
        <w:tc>
          <w:tcPr>
            <w:tcW w:w="9628" w:type="dxa"/>
          </w:tcPr>
          <w:p w14:paraId="4F078E4B" w14:textId="7F0B12A4" w:rsidR="001243BF" w:rsidRPr="00C462A0" w:rsidRDefault="001243BF" w:rsidP="001243BF">
            <w:pPr>
              <w:spacing w:after="160" w:line="276" w:lineRule="auto"/>
              <w:jc w:val="both"/>
              <w:rPr>
                <w:rFonts w:cstheme="minorHAnsi"/>
                <w:szCs w:val="20"/>
              </w:rPr>
            </w:pPr>
            <w:r w:rsidRPr="00C462A0">
              <w:t>This module sets out the core cybersecurity principles needed to protect sustainable digital systems. It introduces the CIA Triad as the central protection model, explores the modern threat landscape and attacker tactics, and presents cybersecurity as a risk-driven discipline that supports prioritised and sustainable security decisions.</w:t>
            </w:r>
          </w:p>
        </w:tc>
      </w:tr>
      <w:tr w:rsidR="00531361" w:rsidRPr="00C462A0" w14:paraId="5CFCBA9C" w14:textId="77777777" w:rsidTr="006203D4">
        <w:tc>
          <w:tcPr>
            <w:tcW w:w="9628" w:type="dxa"/>
            <w:shd w:val="clear" w:color="auto" w:fill="D9D9D9" w:themeFill="background1" w:themeFillShade="D9"/>
          </w:tcPr>
          <w:p w14:paraId="18DC7838" w14:textId="7F9D4D4A" w:rsidR="00531361" w:rsidRPr="00C462A0" w:rsidRDefault="00531361" w:rsidP="00980D68">
            <w:pPr>
              <w:spacing w:line="276" w:lineRule="auto"/>
              <w:rPr>
                <w:rFonts w:cstheme="minorHAnsi"/>
                <w:szCs w:val="20"/>
              </w:rPr>
            </w:pPr>
            <w:r w:rsidRPr="00C462A0">
              <w:rPr>
                <w:rFonts w:cstheme="minorHAnsi"/>
                <w:b/>
                <w:bCs/>
                <w:szCs w:val="20"/>
              </w:rPr>
              <w:t>Module learning outcomes:</w:t>
            </w:r>
            <w:r w:rsidRPr="00C462A0">
              <w:rPr>
                <w:rFonts w:cstheme="minorHAnsi"/>
                <w:szCs w:val="20"/>
              </w:rPr>
              <w:t xml:space="preserve"> </w:t>
            </w:r>
          </w:p>
        </w:tc>
      </w:tr>
      <w:tr w:rsidR="00531361" w:rsidRPr="00C462A0" w14:paraId="38BDC390" w14:textId="77777777" w:rsidTr="006203D4">
        <w:tc>
          <w:tcPr>
            <w:tcW w:w="9628" w:type="dxa"/>
          </w:tcPr>
          <w:p w14:paraId="743D5FDB" w14:textId="77777777" w:rsidR="001243BF" w:rsidRPr="00C462A0" w:rsidRDefault="001243BF" w:rsidP="001243BF">
            <w:pPr>
              <w:pStyle w:val="ListParagraph"/>
              <w:numPr>
                <w:ilvl w:val="0"/>
                <w:numId w:val="96"/>
              </w:numPr>
              <w:spacing w:line="276" w:lineRule="auto"/>
              <w:jc w:val="both"/>
              <w:rPr>
                <w:rFonts w:cstheme="minorHAnsi"/>
                <w:szCs w:val="20"/>
              </w:rPr>
            </w:pPr>
            <w:r w:rsidRPr="00C462A0">
              <w:rPr>
                <w:rFonts w:cstheme="minorHAnsi"/>
                <w:szCs w:val="20"/>
              </w:rPr>
              <w:t>Analyse the role and limitations of the CIA Triad and differentiate between threats, vulnerabilities, and risks within sustainable digital systems.</w:t>
            </w:r>
          </w:p>
          <w:p w14:paraId="71933A3C" w14:textId="77777777" w:rsidR="001243BF" w:rsidRPr="00C462A0" w:rsidRDefault="001243BF" w:rsidP="001243BF">
            <w:pPr>
              <w:pStyle w:val="ListParagraph"/>
              <w:numPr>
                <w:ilvl w:val="0"/>
                <w:numId w:val="96"/>
              </w:numPr>
              <w:spacing w:line="276" w:lineRule="auto"/>
              <w:jc w:val="both"/>
              <w:rPr>
                <w:rFonts w:cstheme="minorHAnsi"/>
                <w:szCs w:val="20"/>
              </w:rPr>
            </w:pPr>
            <w:r w:rsidRPr="00C462A0">
              <w:rPr>
                <w:rFonts w:cstheme="minorHAnsi"/>
                <w:szCs w:val="20"/>
              </w:rPr>
              <w:t>Apply fundamental threat modelling principles to identify attack surfaces and assess cyber risks in ESG-related environments.</w:t>
            </w:r>
          </w:p>
          <w:p w14:paraId="382E07E8" w14:textId="77777777" w:rsidR="001243BF" w:rsidRPr="00C462A0" w:rsidRDefault="001243BF" w:rsidP="001243BF">
            <w:pPr>
              <w:pStyle w:val="ListParagraph"/>
              <w:numPr>
                <w:ilvl w:val="0"/>
                <w:numId w:val="96"/>
              </w:numPr>
              <w:spacing w:line="276" w:lineRule="auto"/>
              <w:jc w:val="both"/>
              <w:rPr>
                <w:rFonts w:cstheme="minorHAnsi"/>
                <w:szCs w:val="20"/>
              </w:rPr>
            </w:pPr>
            <w:r w:rsidRPr="00C462A0">
              <w:rPr>
                <w:rFonts w:cstheme="minorHAnsi"/>
                <w:szCs w:val="20"/>
              </w:rPr>
              <w:t>Examine cybercrime concepts, including threat actors, tactics, techniques, and procedures (TTPs), and their relevance to sustainable infrastructures.</w:t>
            </w:r>
          </w:p>
          <w:p w14:paraId="7B20E9FF" w14:textId="58F22FB6" w:rsidR="00531361" w:rsidRPr="00C462A0" w:rsidRDefault="001243BF" w:rsidP="001243BF">
            <w:pPr>
              <w:pStyle w:val="ListParagraph"/>
              <w:numPr>
                <w:ilvl w:val="0"/>
                <w:numId w:val="96"/>
              </w:numPr>
              <w:spacing w:line="276" w:lineRule="auto"/>
              <w:jc w:val="both"/>
              <w:rPr>
                <w:rFonts w:cstheme="minorHAnsi"/>
                <w:szCs w:val="20"/>
              </w:rPr>
            </w:pPr>
            <w:r w:rsidRPr="00C462A0">
              <w:rPr>
                <w:rFonts w:cstheme="minorHAnsi"/>
                <w:szCs w:val="20"/>
              </w:rPr>
              <w:t>Interpret key cyber risk definitions and identify relevant EU legislative references and recognised cybersecurity best practices.</w:t>
            </w:r>
          </w:p>
        </w:tc>
      </w:tr>
      <w:tr w:rsidR="00AA562D" w:rsidRPr="00C462A0" w14:paraId="72119665" w14:textId="77777777" w:rsidTr="00AA562D">
        <w:tc>
          <w:tcPr>
            <w:tcW w:w="9628" w:type="dxa"/>
            <w:shd w:val="clear" w:color="auto" w:fill="D9D9D9" w:themeFill="background1" w:themeFillShade="D9"/>
          </w:tcPr>
          <w:p w14:paraId="17FA22B1" w14:textId="07CF620B" w:rsidR="00AA562D" w:rsidRPr="00C462A0" w:rsidRDefault="00AA562D" w:rsidP="00980D68">
            <w:pPr>
              <w:spacing w:line="276" w:lineRule="auto"/>
              <w:rPr>
                <w:rFonts w:cstheme="minorHAnsi"/>
                <w:szCs w:val="20"/>
              </w:rPr>
            </w:pPr>
            <w:r w:rsidRPr="00C462A0">
              <w:rPr>
                <w:rFonts w:cstheme="minorHAnsi"/>
                <w:b/>
                <w:bCs/>
                <w:szCs w:val="20"/>
              </w:rPr>
              <w:t>Estimated workload</w:t>
            </w:r>
            <w:r w:rsidRPr="00C462A0">
              <w:rPr>
                <w:rFonts w:cstheme="minorHAnsi"/>
                <w:szCs w:val="20"/>
              </w:rPr>
              <w:t>:</w:t>
            </w:r>
          </w:p>
        </w:tc>
      </w:tr>
      <w:tr w:rsidR="00531361" w:rsidRPr="00C462A0" w14:paraId="05D2411C" w14:textId="77777777" w:rsidTr="006203D4">
        <w:tc>
          <w:tcPr>
            <w:tcW w:w="9628" w:type="dxa"/>
          </w:tcPr>
          <w:p w14:paraId="34618F2F" w14:textId="77777777" w:rsidR="001243BF" w:rsidRPr="00C462A0" w:rsidRDefault="001243BF" w:rsidP="001243BF">
            <w:pPr>
              <w:pStyle w:val="NoSpacing"/>
              <w:jc w:val="both"/>
              <w:rPr>
                <w:lang w:val="en-GB"/>
              </w:rPr>
            </w:pPr>
            <w:r w:rsidRPr="00C462A0">
              <w:rPr>
                <w:lang w:val="en-GB"/>
              </w:rPr>
              <w:t>Lecture hours (F2F): 6 hours</w:t>
            </w:r>
          </w:p>
          <w:p w14:paraId="1DBEC722" w14:textId="77777777" w:rsidR="001243BF" w:rsidRPr="00C462A0" w:rsidRDefault="001243BF" w:rsidP="001243BF">
            <w:pPr>
              <w:pStyle w:val="NoSpacing"/>
              <w:jc w:val="both"/>
              <w:rPr>
                <w:lang w:val="en-GB"/>
              </w:rPr>
            </w:pPr>
            <w:r w:rsidRPr="00C462A0">
              <w:rPr>
                <w:lang w:val="en-GB"/>
              </w:rPr>
              <w:t xml:space="preserve">Self-study: 6 hours </w:t>
            </w:r>
          </w:p>
          <w:p w14:paraId="3AEA1AA6" w14:textId="77777777" w:rsidR="001243BF" w:rsidRPr="00C462A0" w:rsidRDefault="001243BF" w:rsidP="001243BF">
            <w:pPr>
              <w:pStyle w:val="NoSpacing"/>
              <w:jc w:val="both"/>
              <w:rPr>
                <w:lang w:val="en-GB"/>
              </w:rPr>
            </w:pPr>
            <w:r w:rsidRPr="00C462A0">
              <w:rPr>
                <w:lang w:val="en-GB"/>
              </w:rPr>
              <w:t>Practical application (if applicable): 8 hours</w:t>
            </w:r>
          </w:p>
          <w:p w14:paraId="3AE888BB" w14:textId="420D2E18" w:rsidR="00BD0CF5" w:rsidRPr="00C462A0" w:rsidRDefault="001243BF" w:rsidP="001243BF">
            <w:pPr>
              <w:spacing w:line="276" w:lineRule="auto"/>
              <w:jc w:val="both"/>
              <w:rPr>
                <w:rFonts w:cstheme="minorHAnsi"/>
                <w:szCs w:val="20"/>
              </w:rPr>
            </w:pPr>
            <w:r w:rsidRPr="00C462A0">
              <w:t>Assessment link: This module establishes the core analytical framework, asset identification, threat analysis, and risk-based prioritisation that constitute the first structured section of the Capstone Project.</w:t>
            </w:r>
          </w:p>
        </w:tc>
      </w:tr>
      <w:tr w:rsidR="00AA562D" w:rsidRPr="00C462A0" w14:paraId="21FB36E0" w14:textId="77777777" w:rsidTr="00AA562D">
        <w:tc>
          <w:tcPr>
            <w:tcW w:w="9628" w:type="dxa"/>
            <w:shd w:val="clear" w:color="auto" w:fill="D9D9D9" w:themeFill="background1" w:themeFillShade="D9"/>
          </w:tcPr>
          <w:p w14:paraId="6E7F3AAF" w14:textId="46F94715" w:rsidR="00AA562D" w:rsidRPr="00C462A0" w:rsidRDefault="00AA562D" w:rsidP="001243BF">
            <w:pPr>
              <w:spacing w:line="276" w:lineRule="auto"/>
              <w:jc w:val="both"/>
              <w:rPr>
                <w:rFonts w:cstheme="minorHAnsi"/>
                <w:b/>
                <w:bCs/>
                <w:szCs w:val="20"/>
              </w:rPr>
            </w:pPr>
            <w:r w:rsidRPr="00C462A0">
              <w:rPr>
                <w:rFonts w:cstheme="minorHAnsi"/>
                <w:b/>
                <w:bCs/>
                <w:szCs w:val="20"/>
              </w:rPr>
              <w:t>Practical focus / deliverable:</w:t>
            </w:r>
          </w:p>
        </w:tc>
      </w:tr>
      <w:tr w:rsidR="00531361" w:rsidRPr="00C462A0" w14:paraId="3B2B4511" w14:textId="77777777" w:rsidTr="006203D4">
        <w:tc>
          <w:tcPr>
            <w:tcW w:w="9628" w:type="dxa"/>
          </w:tcPr>
          <w:p w14:paraId="6E18741C" w14:textId="3D789F5F" w:rsidR="00531361" w:rsidRPr="00C462A0" w:rsidRDefault="001243BF" w:rsidP="001243BF">
            <w:pPr>
              <w:spacing w:line="276" w:lineRule="auto"/>
              <w:jc w:val="both"/>
              <w:rPr>
                <w:rFonts w:cstheme="minorHAnsi"/>
                <w:szCs w:val="20"/>
              </w:rPr>
            </w:pPr>
            <w:r w:rsidRPr="00C462A0">
              <w:t>Learners build a preliminary cybersecurity baseline for the assigned case study, including asset mapping, identification of key threats and TTPs, and an initial qualitative cyber risk assessment to inform subsequent mitigation design.</w:t>
            </w:r>
          </w:p>
        </w:tc>
      </w:tr>
    </w:tbl>
    <w:p w14:paraId="25F0E634" w14:textId="77777777" w:rsidR="001243BF" w:rsidRPr="00C462A0" w:rsidRDefault="001243BF">
      <w:r w:rsidRPr="00C462A0">
        <w:br w:type="page"/>
      </w:r>
    </w:p>
    <w:tbl>
      <w:tblPr>
        <w:tblStyle w:val="TableGrid"/>
        <w:tblW w:w="0" w:type="auto"/>
        <w:tblLook w:val="04A0" w:firstRow="1" w:lastRow="0" w:firstColumn="1" w:lastColumn="0" w:noHBand="0" w:noVBand="1"/>
      </w:tblPr>
      <w:tblGrid>
        <w:gridCol w:w="9628"/>
      </w:tblGrid>
      <w:tr w:rsidR="00736E55" w:rsidRPr="00C462A0" w14:paraId="0264D2FC" w14:textId="77777777" w:rsidTr="00736E55">
        <w:tc>
          <w:tcPr>
            <w:tcW w:w="9628" w:type="dxa"/>
          </w:tcPr>
          <w:p w14:paraId="31FAED0D" w14:textId="35CC6CED" w:rsidR="00736E55" w:rsidRPr="00C462A0" w:rsidRDefault="00736E55" w:rsidP="00980D68">
            <w:pPr>
              <w:pStyle w:val="Heading2"/>
              <w:numPr>
                <w:ilvl w:val="0"/>
                <w:numId w:val="0"/>
              </w:numPr>
              <w:spacing w:before="0" w:line="276" w:lineRule="auto"/>
              <w:rPr>
                <w:rFonts w:cstheme="minorHAnsi"/>
                <w:b/>
                <w:bCs/>
                <w:szCs w:val="40"/>
              </w:rPr>
            </w:pPr>
            <w:bookmarkStart w:id="4" w:name="_Toc227623400"/>
            <w:r w:rsidRPr="00C462A0">
              <w:rPr>
                <w:rFonts w:cstheme="minorHAnsi"/>
                <w:b/>
                <w:bCs/>
                <w:szCs w:val="40"/>
              </w:rPr>
              <w:lastRenderedPageBreak/>
              <w:t xml:space="preserve">Topic 1.1: </w:t>
            </w:r>
            <w:r w:rsidR="001243BF" w:rsidRPr="00C462A0">
              <w:rPr>
                <w:rFonts w:cstheme="minorHAnsi"/>
                <w:b/>
                <w:bCs/>
                <w:szCs w:val="40"/>
              </w:rPr>
              <w:t>CIA Triad and its role within cybersecurity</w:t>
            </w:r>
            <w:bookmarkEnd w:id="4"/>
          </w:p>
        </w:tc>
      </w:tr>
      <w:tr w:rsidR="00531361" w:rsidRPr="00C462A0" w14:paraId="3C57F1AF" w14:textId="77777777" w:rsidTr="00736E55">
        <w:tc>
          <w:tcPr>
            <w:tcW w:w="9628" w:type="dxa"/>
            <w:shd w:val="clear" w:color="auto" w:fill="D9D9D9" w:themeFill="background1" w:themeFillShade="D9"/>
          </w:tcPr>
          <w:p w14:paraId="505DDF9A" w14:textId="36A558E5" w:rsidR="00531361" w:rsidRPr="00C462A0" w:rsidRDefault="00736E55" w:rsidP="00980D68">
            <w:pPr>
              <w:spacing w:line="276" w:lineRule="auto"/>
              <w:rPr>
                <w:rFonts w:cstheme="minorHAnsi"/>
                <w:b/>
                <w:szCs w:val="20"/>
              </w:rPr>
            </w:pPr>
            <w:r w:rsidRPr="00C462A0">
              <w:rPr>
                <w:rFonts w:cstheme="minorHAnsi"/>
                <w:b/>
                <w:szCs w:val="20"/>
              </w:rPr>
              <w:t>Short introduction:</w:t>
            </w:r>
          </w:p>
        </w:tc>
      </w:tr>
      <w:tr w:rsidR="00736E55" w:rsidRPr="00C462A0" w14:paraId="0DD6339B" w14:textId="77777777" w:rsidTr="00736E55">
        <w:tc>
          <w:tcPr>
            <w:tcW w:w="9628" w:type="dxa"/>
          </w:tcPr>
          <w:p w14:paraId="1F013EE2" w14:textId="6BE4DF8D" w:rsidR="008A5A1A" w:rsidRPr="00C462A0" w:rsidRDefault="001243BF" w:rsidP="00980D68">
            <w:pPr>
              <w:spacing w:line="276" w:lineRule="auto"/>
              <w:rPr>
                <w:rFonts w:cstheme="minorHAnsi"/>
                <w:szCs w:val="20"/>
              </w:rPr>
            </w:pPr>
            <w:r w:rsidRPr="00C462A0">
              <w:rPr>
                <w:rFonts w:cstheme="minorHAnsi"/>
                <w:szCs w:val="20"/>
              </w:rPr>
              <w:t>The CIA Triad (Confidentiality, Integrity, Availability) sets the baseline for cybersecurity. It clarifies what any digital system is meant to protect and why that protection matters, including in sustainable infrastructures such as energy management systems, IoT deployments, and ESG data platforms.</w:t>
            </w:r>
          </w:p>
        </w:tc>
      </w:tr>
      <w:tr w:rsidR="00736E55" w:rsidRPr="00C462A0" w14:paraId="6AEB3BB7" w14:textId="77777777" w:rsidTr="00736E55">
        <w:tc>
          <w:tcPr>
            <w:tcW w:w="9628" w:type="dxa"/>
            <w:shd w:val="clear" w:color="auto" w:fill="D9D9D9" w:themeFill="background1" w:themeFillShade="D9"/>
          </w:tcPr>
          <w:p w14:paraId="0E90FA9E" w14:textId="460F189C" w:rsidR="00736E55" w:rsidRPr="00C462A0" w:rsidRDefault="00736E55" w:rsidP="00980D68">
            <w:pPr>
              <w:spacing w:line="276" w:lineRule="auto"/>
              <w:rPr>
                <w:rFonts w:cstheme="minorHAnsi"/>
                <w:b/>
                <w:szCs w:val="20"/>
              </w:rPr>
            </w:pPr>
            <w:r w:rsidRPr="00C462A0">
              <w:rPr>
                <w:rFonts w:cstheme="minorHAnsi"/>
                <w:b/>
                <w:szCs w:val="20"/>
              </w:rPr>
              <w:t xml:space="preserve">Theory &amp; Knowledge: </w:t>
            </w:r>
          </w:p>
        </w:tc>
      </w:tr>
      <w:tr w:rsidR="00531361" w:rsidRPr="00C462A0" w14:paraId="0D5478F8" w14:textId="77777777" w:rsidTr="00C462A0">
        <w:trPr>
          <w:trHeight w:val="866"/>
        </w:trPr>
        <w:tc>
          <w:tcPr>
            <w:tcW w:w="9628" w:type="dxa"/>
          </w:tcPr>
          <w:p w14:paraId="28244F30" w14:textId="77777777" w:rsidR="001243BF" w:rsidRPr="00C462A0" w:rsidRDefault="001243BF" w:rsidP="001243BF">
            <w:pPr>
              <w:spacing w:line="276" w:lineRule="auto"/>
              <w:jc w:val="both"/>
              <w:rPr>
                <w:rFonts w:cstheme="minorHAnsi"/>
                <w:szCs w:val="20"/>
              </w:rPr>
            </w:pPr>
            <w:r w:rsidRPr="00C462A0">
              <w:rPr>
                <w:rFonts w:cstheme="minorHAnsi"/>
                <w:szCs w:val="20"/>
              </w:rPr>
              <w:t>Cybersecurity starts with a simple question: what are we actually protecting?</w:t>
            </w:r>
          </w:p>
          <w:p w14:paraId="13FEBA15" w14:textId="77777777" w:rsidR="001243BF" w:rsidRPr="00C462A0" w:rsidRDefault="001243BF" w:rsidP="001243BF">
            <w:pPr>
              <w:spacing w:line="276" w:lineRule="auto"/>
              <w:jc w:val="both"/>
              <w:rPr>
                <w:rFonts w:cstheme="minorHAnsi"/>
                <w:szCs w:val="20"/>
              </w:rPr>
            </w:pPr>
            <w:r w:rsidRPr="00C462A0">
              <w:rPr>
                <w:rFonts w:cstheme="minorHAnsi"/>
                <w:szCs w:val="20"/>
              </w:rPr>
              <w:t>At its core, the primary asset is data. Information must be protected both when it is stored in systems (data at rest) and when it is transmitted across networks (data in transit).</w:t>
            </w:r>
          </w:p>
          <w:p w14:paraId="2E3582B5" w14:textId="77777777" w:rsidR="001243BF" w:rsidRPr="00C462A0" w:rsidRDefault="001243BF" w:rsidP="001243BF">
            <w:pPr>
              <w:spacing w:line="276" w:lineRule="auto"/>
              <w:jc w:val="both"/>
              <w:rPr>
                <w:rFonts w:cstheme="minorHAnsi"/>
                <w:szCs w:val="20"/>
              </w:rPr>
            </w:pPr>
            <w:r w:rsidRPr="00C462A0">
              <w:rPr>
                <w:rFonts w:cstheme="minorHAnsi"/>
                <w:szCs w:val="20"/>
              </w:rPr>
              <w:t>Firewalls, encryption algorithms, and intrusion detection systems all come later. Before any tool, there is an objective. The CIA Triad, Confidentiality, Integrity, Availability, names that objective and gives it structure. It defines the three conditions every digital system must preserve, regardless of scale, industry, or technical sophistication.</w:t>
            </w:r>
          </w:p>
          <w:p w14:paraId="55E433BE" w14:textId="77777777" w:rsidR="001243BF" w:rsidRPr="00C462A0" w:rsidRDefault="001243BF" w:rsidP="001243BF">
            <w:pPr>
              <w:spacing w:line="276" w:lineRule="auto"/>
              <w:jc w:val="both"/>
              <w:rPr>
                <w:rFonts w:cstheme="minorHAnsi"/>
                <w:szCs w:val="20"/>
              </w:rPr>
            </w:pPr>
            <w:r w:rsidRPr="00C462A0">
              <w:rPr>
                <w:rFonts w:cstheme="minorHAnsi"/>
                <w:szCs w:val="20"/>
              </w:rPr>
              <w:t>In sustainable digital infrastructures, from energy management systems to IoT sensor networks, smart grids, and ESG reporting platforms, this model stops being theory and becomes operational. It shapes resilience, compliance, and trust. When something goes wrong, you can usually trace the failure back to one of these three properties.</w:t>
            </w:r>
          </w:p>
          <w:p w14:paraId="2282D5B3" w14:textId="2EA1DFA2" w:rsidR="00531361" w:rsidRPr="00C462A0" w:rsidRDefault="001243BF" w:rsidP="001243BF">
            <w:pPr>
              <w:spacing w:after="160" w:line="276" w:lineRule="auto"/>
              <w:jc w:val="both"/>
              <w:rPr>
                <w:rFonts w:cstheme="minorHAnsi"/>
                <w:szCs w:val="20"/>
              </w:rPr>
            </w:pPr>
            <w:r w:rsidRPr="00C462A0">
              <w:rPr>
                <w:rFonts w:cstheme="minorHAnsi"/>
                <w:szCs w:val="20"/>
              </w:rPr>
              <w:t>Seen this way, cybersecurity is less a toolbox and more a discipline of protection. Each incident is a breach of confidentiality, integrity, or availability, or a combination of them.</w:t>
            </w:r>
          </w:p>
          <w:p w14:paraId="0E4FCE75" w14:textId="3D1EF700" w:rsidR="00736E55" w:rsidRPr="00C462A0" w:rsidRDefault="001243BF" w:rsidP="00980D68">
            <w:pPr>
              <w:keepNext/>
              <w:spacing w:after="160" w:line="276" w:lineRule="auto"/>
              <w:jc w:val="center"/>
            </w:pPr>
            <w:r w:rsidRPr="00C462A0">
              <w:rPr>
                <w:noProof/>
                <w:sz w:val="22"/>
                <w:szCs w:val="22"/>
              </w:rPr>
              <w:drawing>
                <wp:inline distT="0" distB="0" distL="0" distR="0" wp14:anchorId="67F67E6F" wp14:editId="765D5471">
                  <wp:extent cx="3276000" cy="3276000"/>
                  <wp:effectExtent l="19050" t="19050" r="19685" b="19685"/>
                  <wp:docPr id="6991862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12"/>
                          <a:stretch/>
                        </pic:blipFill>
                        <pic:spPr bwMode="auto">
                          <a:xfrm>
                            <a:off x="0" y="0"/>
                            <a:ext cx="3276000" cy="3276000"/>
                          </a:xfrm>
                          <a:prstGeom prst="rect">
                            <a:avLst/>
                          </a:prstGeom>
                          <a:noFill/>
                          <a:ln>
                            <a:solidFill>
                              <a:schemeClr val="bg1">
                                <a:lumMod val="85000"/>
                              </a:schemeClr>
                            </a:solidFill>
                          </a:ln>
                        </pic:spPr>
                      </pic:pic>
                    </a:graphicData>
                  </a:graphic>
                </wp:inline>
              </w:drawing>
            </w:r>
          </w:p>
          <w:p w14:paraId="104CF2D2" w14:textId="47AFF853" w:rsidR="00531361" w:rsidRPr="00C462A0" w:rsidRDefault="00736E55" w:rsidP="00980D68">
            <w:pPr>
              <w:pStyle w:val="Caption"/>
              <w:spacing w:line="276" w:lineRule="auto"/>
              <w:jc w:val="center"/>
              <w:rPr>
                <w:rFonts w:cstheme="minorHAnsi"/>
                <w:b w:val="0"/>
                <w:bCs w:val="0"/>
                <w:sz w:val="20"/>
                <w:szCs w:val="20"/>
              </w:rPr>
            </w:pPr>
            <w:bookmarkStart w:id="5" w:name="_Toc227159317"/>
            <w:bookmarkStart w:id="6" w:name="_Toc227623438"/>
            <w:r w:rsidRPr="00C462A0">
              <w:rPr>
                <w:b w:val="0"/>
                <w:bCs w:val="0"/>
              </w:rPr>
              <w:t xml:space="preserve">Figure </w:t>
            </w:r>
            <w:r w:rsidRPr="00C462A0">
              <w:rPr>
                <w:b w:val="0"/>
                <w:bCs w:val="0"/>
              </w:rPr>
              <w:fldChar w:fldCharType="begin"/>
            </w:r>
            <w:r w:rsidRPr="00C462A0">
              <w:rPr>
                <w:b w:val="0"/>
                <w:bCs w:val="0"/>
              </w:rPr>
              <w:instrText xml:space="preserve"> SEQ Figure \* ARABIC </w:instrText>
            </w:r>
            <w:r w:rsidRPr="00C462A0">
              <w:rPr>
                <w:b w:val="0"/>
                <w:bCs w:val="0"/>
              </w:rPr>
              <w:fldChar w:fldCharType="separate"/>
            </w:r>
            <w:r w:rsidR="001243BF" w:rsidRPr="00C462A0">
              <w:rPr>
                <w:b w:val="0"/>
                <w:bCs w:val="0"/>
              </w:rPr>
              <w:t>1</w:t>
            </w:r>
            <w:r w:rsidRPr="00C462A0">
              <w:rPr>
                <w:b w:val="0"/>
                <w:bCs w:val="0"/>
              </w:rPr>
              <w:fldChar w:fldCharType="end"/>
            </w:r>
            <w:r w:rsidRPr="00C462A0">
              <w:rPr>
                <w:b w:val="0"/>
                <w:bCs w:val="0"/>
              </w:rPr>
              <w:t xml:space="preserve">. </w:t>
            </w:r>
            <w:r w:rsidR="001243BF" w:rsidRPr="00C462A0">
              <w:rPr>
                <w:b w:val="0"/>
                <w:bCs w:val="0"/>
              </w:rPr>
              <w:t xml:space="preserve">Confidentiality, integrity, and availability. The three core principles of the CIA triad that guide information security management and system protection </w:t>
            </w:r>
            <w:r w:rsidRPr="00C462A0">
              <w:rPr>
                <w:b w:val="0"/>
                <w:bCs w:val="0"/>
              </w:rPr>
              <w:t xml:space="preserve">(source: </w:t>
            </w:r>
            <w:hyperlink r:id="rId13" w:history="1">
              <w:r w:rsidR="00412A29" w:rsidRPr="00C462A0">
                <w:rPr>
                  <w:rStyle w:val="Hyperlink"/>
                  <w:b w:val="0"/>
                  <w:bCs w:val="0"/>
                  <w:color w:val="009889" w:themeColor="accent2"/>
                </w:rPr>
                <w:t>Vectorstock</w:t>
              </w:r>
            </w:hyperlink>
            <w:r w:rsidRPr="00C462A0">
              <w:rPr>
                <w:b w:val="0"/>
                <w:bCs w:val="0"/>
              </w:rPr>
              <w:t>)</w:t>
            </w:r>
            <w:bookmarkEnd w:id="5"/>
            <w:bookmarkEnd w:id="6"/>
          </w:p>
          <w:p w14:paraId="730C1E01" w14:textId="77777777" w:rsidR="00531361" w:rsidRPr="00C462A0" w:rsidRDefault="00531361" w:rsidP="00980D68">
            <w:pPr>
              <w:spacing w:after="160" w:line="276" w:lineRule="auto"/>
              <w:jc w:val="both"/>
              <w:rPr>
                <w:rFonts w:cstheme="minorHAnsi"/>
                <w:szCs w:val="20"/>
              </w:rPr>
            </w:pPr>
          </w:p>
          <w:p w14:paraId="64D31226" w14:textId="4A235D08" w:rsidR="00501D43" w:rsidRPr="00501D43" w:rsidRDefault="00501D43" w:rsidP="00501D43">
            <w:pPr>
              <w:jc w:val="both"/>
              <w:rPr>
                <w:i/>
                <w:iCs/>
              </w:rPr>
            </w:pPr>
            <w:r w:rsidRPr="00501D43">
              <w:rPr>
                <w:i/>
                <w:iCs/>
              </w:rPr>
              <w:lastRenderedPageBreak/>
              <w:t>Th</w:t>
            </w:r>
            <w:r>
              <w:rPr>
                <w:i/>
                <w:iCs/>
              </w:rPr>
              <w:t>e</w:t>
            </w:r>
            <w:r w:rsidRPr="00501D43">
              <w:rPr>
                <w:i/>
                <w:iCs/>
              </w:rPr>
              <w:t xml:space="preserve"> image</w:t>
            </w:r>
            <w:r>
              <w:rPr>
                <w:i/>
                <w:iCs/>
              </w:rPr>
              <w:t xml:space="preserve"> above</w:t>
            </w:r>
            <w:r w:rsidRPr="00501D43">
              <w:rPr>
                <w:i/>
                <w:iCs/>
              </w:rPr>
              <w:t xml:space="preserve"> illustrates the CIA Triad, the foundational model for information security designed to guide policies for data protection. </w:t>
            </w:r>
          </w:p>
          <w:p w14:paraId="106C1A11" w14:textId="77777777" w:rsidR="00501D43" w:rsidRPr="00501D43" w:rsidRDefault="00501D43" w:rsidP="00501D43">
            <w:pPr>
              <w:jc w:val="both"/>
              <w:rPr>
                <w:i/>
                <w:iCs/>
              </w:rPr>
            </w:pPr>
            <w:r w:rsidRPr="00501D43">
              <w:rPr>
                <w:i/>
                <w:iCs/>
              </w:rPr>
              <w:t xml:space="preserve">Confidentiality: Ensures sensitive information is only accessible to authorized individuals. </w:t>
            </w:r>
          </w:p>
          <w:p w14:paraId="1E30C4FC" w14:textId="77777777" w:rsidR="00501D43" w:rsidRPr="00501D43" w:rsidRDefault="00501D43" w:rsidP="00501D43">
            <w:pPr>
              <w:jc w:val="both"/>
              <w:rPr>
                <w:i/>
                <w:iCs/>
              </w:rPr>
            </w:pPr>
            <w:r w:rsidRPr="00501D43">
              <w:rPr>
                <w:i/>
                <w:iCs/>
              </w:rPr>
              <w:t xml:space="preserve">Integrity: Maintains the accuracy, reliability, and trustworthiness of data throughout its lifecycle. </w:t>
            </w:r>
          </w:p>
          <w:p w14:paraId="5001C3F9" w14:textId="77777777" w:rsidR="00501D43" w:rsidRPr="00501D43" w:rsidRDefault="00501D43" w:rsidP="00501D43">
            <w:pPr>
              <w:jc w:val="both"/>
              <w:rPr>
                <w:i/>
                <w:iCs/>
              </w:rPr>
            </w:pPr>
            <w:r w:rsidRPr="00501D43">
              <w:rPr>
                <w:i/>
                <w:iCs/>
              </w:rPr>
              <w:t xml:space="preserve">Availability: Guarantees that systems, applications, and data are accessible to users when needed. </w:t>
            </w:r>
          </w:p>
          <w:p w14:paraId="3C089664" w14:textId="77777777" w:rsidR="00501D43" w:rsidRPr="00501D43" w:rsidRDefault="00501D43" w:rsidP="00501D43">
            <w:pPr>
              <w:rPr>
                <w:b/>
                <w:bCs/>
                <w:sz w:val="22"/>
                <w:szCs w:val="22"/>
              </w:rPr>
            </w:pPr>
          </w:p>
          <w:p w14:paraId="7D88F3B3" w14:textId="77777777" w:rsidR="001243BF" w:rsidRPr="00C462A0" w:rsidRDefault="001243BF" w:rsidP="001243BF">
            <w:pPr>
              <w:rPr>
                <w:b/>
                <w:bCs/>
                <w:sz w:val="22"/>
                <w:szCs w:val="22"/>
              </w:rPr>
            </w:pPr>
          </w:p>
          <w:p w14:paraId="1A45D860" w14:textId="7BEE3C37" w:rsidR="001243BF" w:rsidRPr="00C462A0" w:rsidRDefault="001243BF" w:rsidP="001243BF">
            <w:pPr>
              <w:pStyle w:val="ListParagraph"/>
              <w:numPr>
                <w:ilvl w:val="0"/>
                <w:numId w:val="180"/>
              </w:numPr>
              <w:rPr>
                <w:b/>
                <w:bCs/>
                <w:color w:val="009889" w:themeColor="accent2"/>
                <w:sz w:val="22"/>
                <w:szCs w:val="22"/>
              </w:rPr>
            </w:pPr>
            <w:commentRangeStart w:id="7"/>
            <w:commentRangeStart w:id="8"/>
            <w:r w:rsidRPr="00C462A0">
              <w:rPr>
                <w:b/>
                <w:bCs/>
                <w:color w:val="009889" w:themeColor="accent2"/>
                <w:sz w:val="22"/>
                <w:szCs w:val="22"/>
              </w:rPr>
              <w:t>Confidentiality</w:t>
            </w:r>
            <w:commentRangeEnd w:id="7"/>
            <w:r w:rsidR="00C462A0" w:rsidRPr="00C462A0">
              <w:rPr>
                <w:rStyle w:val="CommentReference"/>
                <w:b/>
                <w:bCs/>
                <w:color w:val="009889" w:themeColor="accent2"/>
                <w:sz w:val="22"/>
                <w:szCs w:val="22"/>
              </w:rPr>
              <w:commentReference w:id="7"/>
            </w:r>
            <w:commentRangeEnd w:id="8"/>
            <w:r w:rsidRPr="00C462A0">
              <w:rPr>
                <w:rStyle w:val="CommentReference"/>
                <w:b/>
                <w:bCs/>
                <w:color w:val="009889" w:themeColor="accent2"/>
                <w:sz w:val="22"/>
                <w:szCs w:val="22"/>
              </w:rPr>
              <w:commentReference w:id="8"/>
            </w:r>
            <w:r w:rsidRPr="00C462A0">
              <w:rPr>
                <w:b/>
                <w:bCs/>
                <w:color w:val="009889" w:themeColor="accent2"/>
                <w:sz w:val="22"/>
                <w:szCs w:val="22"/>
              </w:rPr>
              <w:t>: protecting sensitive information</w:t>
            </w:r>
          </w:p>
          <w:p w14:paraId="048AAAD4" w14:textId="77777777" w:rsidR="001243BF" w:rsidRPr="00C462A0" w:rsidRDefault="001243BF" w:rsidP="001243BF">
            <w:pPr>
              <w:jc w:val="both"/>
              <w:rPr>
                <w:sz w:val="22"/>
                <w:szCs w:val="22"/>
              </w:rPr>
            </w:pPr>
            <w:r w:rsidRPr="00C462A0">
              <w:rPr>
                <w:sz w:val="22"/>
                <w:szCs w:val="22"/>
              </w:rPr>
              <w:t>Confidentiality concerns access. It asks who can see a piece of information and under what conditions, and ensures that everyone else cannot.</w:t>
            </w:r>
          </w:p>
          <w:p w14:paraId="56C83339" w14:textId="77777777" w:rsidR="001243BF" w:rsidRPr="00C462A0" w:rsidRDefault="001243BF" w:rsidP="001243BF">
            <w:pPr>
              <w:jc w:val="both"/>
              <w:rPr>
                <w:sz w:val="22"/>
                <w:szCs w:val="22"/>
              </w:rPr>
            </w:pPr>
            <w:r w:rsidRPr="00C462A0">
              <w:rPr>
                <w:sz w:val="22"/>
                <w:szCs w:val="22"/>
              </w:rPr>
              <w:t>In sustainable systems, the data at stake is often commercially delicate or legally protected. Think of an ESG reporting platform that stores emissions figures, supply chain data, and sustainability indicators. Those numbers influence investor decisions, public narratives, and regulatory scrutiny. If they are exposed too early or accessed without authorisation, the consequences extend from reputational damage to sanctions and competitive loss.</w:t>
            </w:r>
          </w:p>
          <w:p w14:paraId="5961F1FD" w14:textId="77777777" w:rsidR="001243BF" w:rsidRPr="00C462A0" w:rsidRDefault="001243BF" w:rsidP="001243BF">
            <w:pPr>
              <w:jc w:val="both"/>
              <w:rPr>
                <w:sz w:val="22"/>
                <w:szCs w:val="22"/>
              </w:rPr>
            </w:pPr>
            <w:r w:rsidRPr="00C462A0">
              <w:rPr>
                <w:sz w:val="22"/>
                <w:szCs w:val="22"/>
              </w:rPr>
              <w:t>The scope of confidentiality goes beyond personal data. In energy management systems, operational settings, consumption profiles, and infrastructure configurations can reveal weaknesses that a malicious actor might later exploit. Guarding that information narrows the attack surface.</w:t>
            </w:r>
          </w:p>
          <w:p w14:paraId="1D8D6069" w14:textId="77777777" w:rsidR="001243BF" w:rsidRPr="00C462A0" w:rsidRDefault="001243BF" w:rsidP="001243BF">
            <w:pPr>
              <w:jc w:val="both"/>
              <w:rPr>
                <w:sz w:val="22"/>
                <w:szCs w:val="22"/>
              </w:rPr>
            </w:pPr>
            <w:r w:rsidRPr="00C462A0">
              <w:rPr>
                <w:sz w:val="22"/>
                <w:szCs w:val="22"/>
              </w:rPr>
              <w:t xml:space="preserve">Technically, confidentiality relies on authentication, authorisation, symetric/asymetric </w:t>
            </w:r>
            <w:commentRangeStart w:id="9"/>
            <w:r w:rsidRPr="00C462A0">
              <w:rPr>
                <w:sz w:val="22"/>
                <w:szCs w:val="22"/>
              </w:rPr>
              <w:t>encryption</w:t>
            </w:r>
            <w:commentRangeEnd w:id="9"/>
            <w:r w:rsidR="00C462A0" w:rsidRPr="00C462A0">
              <w:rPr>
                <w:rStyle w:val="CommentReference"/>
                <w:sz w:val="22"/>
                <w:szCs w:val="22"/>
              </w:rPr>
              <w:commentReference w:id="9"/>
            </w:r>
            <w:r w:rsidRPr="00C462A0">
              <w:rPr>
                <w:sz w:val="22"/>
                <w:szCs w:val="22"/>
              </w:rPr>
              <w:t>, and network segmentation. Conceptually, the question is more direct: who should have access, and when? If that boundary is vague, breaches follow.</w:t>
            </w:r>
          </w:p>
          <w:p w14:paraId="09321728" w14:textId="77777777" w:rsidR="001243BF" w:rsidRPr="00C462A0" w:rsidRDefault="001243BF" w:rsidP="001243BF">
            <w:pPr>
              <w:jc w:val="both"/>
              <w:rPr>
                <w:sz w:val="22"/>
                <w:szCs w:val="22"/>
              </w:rPr>
            </w:pPr>
          </w:p>
          <w:p w14:paraId="53B86C64" w14:textId="77777777" w:rsidR="001243BF" w:rsidRPr="00C462A0" w:rsidRDefault="001243BF" w:rsidP="001243BF">
            <w:pPr>
              <w:pStyle w:val="ListParagraph"/>
              <w:numPr>
                <w:ilvl w:val="0"/>
                <w:numId w:val="180"/>
              </w:numPr>
              <w:jc w:val="both"/>
              <w:rPr>
                <w:b/>
                <w:bCs/>
                <w:color w:val="009889" w:themeColor="accent2"/>
                <w:sz w:val="22"/>
                <w:szCs w:val="22"/>
              </w:rPr>
            </w:pPr>
            <w:r w:rsidRPr="00C462A0">
              <w:rPr>
                <w:b/>
                <w:bCs/>
                <w:color w:val="009889" w:themeColor="accent2"/>
                <w:sz w:val="22"/>
                <w:szCs w:val="22"/>
              </w:rPr>
              <w:t>Integrity: ensuring accuracy and trustworthiness</w:t>
            </w:r>
          </w:p>
          <w:p w14:paraId="652326C5" w14:textId="77777777" w:rsidR="001243BF" w:rsidRPr="00C462A0" w:rsidRDefault="001243BF" w:rsidP="001243BF">
            <w:pPr>
              <w:jc w:val="both"/>
              <w:rPr>
                <w:sz w:val="22"/>
                <w:szCs w:val="22"/>
              </w:rPr>
            </w:pPr>
            <w:r w:rsidRPr="00C462A0">
              <w:rPr>
                <w:sz w:val="22"/>
                <w:szCs w:val="22"/>
              </w:rPr>
              <w:t>Integrity deals with correctness. Data must remain accurate, complete, and unchanged except through authorised processes.</w:t>
            </w:r>
          </w:p>
          <w:p w14:paraId="109349BB" w14:textId="77777777" w:rsidR="001243BF" w:rsidRPr="00C462A0" w:rsidRDefault="001243BF" w:rsidP="001243BF">
            <w:pPr>
              <w:jc w:val="both"/>
              <w:rPr>
                <w:sz w:val="22"/>
                <w:szCs w:val="22"/>
              </w:rPr>
            </w:pPr>
            <w:r w:rsidRPr="00C462A0">
              <w:rPr>
                <w:sz w:val="22"/>
                <w:szCs w:val="22"/>
              </w:rPr>
              <w:t>In many sustainable infrastructures, integrity carries particular weight. Smart grids depend on real-time measurements to balance supply and demand. Slight manipulation of those measurements can distort distribution, destabilise the system, or even damage physical assets.</w:t>
            </w:r>
          </w:p>
          <w:p w14:paraId="7D804F91" w14:textId="77777777" w:rsidR="001243BF" w:rsidRPr="00C462A0" w:rsidRDefault="001243BF" w:rsidP="001243BF">
            <w:pPr>
              <w:jc w:val="both"/>
              <w:rPr>
                <w:sz w:val="22"/>
                <w:szCs w:val="22"/>
              </w:rPr>
            </w:pPr>
            <w:r w:rsidRPr="00C462A0">
              <w:rPr>
                <w:sz w:val="22"/>
                <w:szCs w:val="22"/>
              </w:rPr>
              <w:t>The same applies to ESG disclosures. Investors and regulators assume that sustainability metrics correspond to reality. When figures are altered or corrupted, whether by malice or error, the credibility of the reporting framework erodes quickly.</w:t>
            </w:r>
          </w:p>
          <w:p w14:paraId="3E795634" w14:textId="77777777" w:rsidR="001243BF" w:rsidRDefault="001243BF" w:rsidP="001243BF">
            <w:pPr>
              <w:jc w:val="both"/>
              <w:rPr>
                <w:sz w:val="22"/>
                <w:szCs w:val="22"/>
              </w:rPr>
            </w:pPr>
            <w:r w:rsidRPr="00C462A0">
              <w:rPr>
                <w:sz w:val="22"/>
                <w:szCs w:val="22"/>
              </w:rPr>
              <w:t>Trust rests on integrity. Decisions drawn from compromised data are unreliable, and in environmental contexts, the effects spill into safety, compliance, and measurable outcomes. Hashing, digital signatures, logging, and disciplined change management help defend this property, yet the underlying test remains straightforward: can we rely on this information to be intact?</w:t>
            </w:r>
          </w:p>
          <w:p w14:paraId="3B6FDB6D" w14:textId="77777777" w:rsidR="00501D43" w:rsidRDefault="00501D43" w:rsidP="001243BF">
            <w:pPr>
              <w:jc w:val="both"/>
              <w:rPr>
                <w:sz w:val="22"/>
                <w:szCs w:val="22"/>
              </w:rPr>
            </w:pPr>
          </w:p>
          <w:p w14:paraId="6F4A73D0" w14:textId="77777777" w:rsidR="00501D43" w:rsidRPr="00C462A0" w:rsidRDefault="00501D43" w:rsidP="001243BF">
            <w:pPr>
              <w:jc w:val="both"/>
              <w:rPr>
                <w:sz w:val="22"/>
                <w:szCs w:val="22"/>
              </w:rPr>
            </w:pPr>
          </w:p>
          <w:p w14:paraId="2F0F8F46" w14:textId="77777777" w:rsidR="001243BF" w:rsidRPr="00C462A0" w:rsidRDefault="001243BF" w:rsidP="001243BF">
            <w:pPr>
              <w:jc w:val="both"/>
              <w:rPr>
                <w:sz w:val="22"/>
                <w:szCs w:val="22"/>
              </w:rPr>
            </w:pPr>
          </w:p>
          <w:p w14:paraId="4FECCB5A" w14:textId="77777777" w:rsidR="001243BF" w:rsidRPr="00C462A0" w:rsidRDefault="001243BF" w:rsidP="001243BF">
            <w:pPr>
              <w:pStyle w:val="ListParagraph"/>
              <w:numPr>
                <w:ilvl w:val="0"/>
                <w:numId w:val="180"/>
              </w:numPr>
              <w:jc w:val="both"/>
              <w:rPr>
                <w:b/>
                <w:bCs/>
                <w:color w:val="009889" w:themeColor="accent2"/>
                <w:sz w:val="22"/>
                <w:szCs w:val="22"/>
              </w:rPr>
            </w:pPr>
            <w:r w:rsidRPr="00C462A0">
              <w:rPr>
                <w:b/>
                <w:bCs/>
                <w:color w:val="009889" w:themeColor="accent2"/>
                <w:sz w:val="22"/>
                <w:szCs w:val="22"/>
              </w:rPr>
              <w:lastRenderedPageBreak/>
              <w:t>Availability: ensuring operational continuity</w:t>
            </w:r>
          </w:p>
          <w:p w14:paraId="4A4219F4" w14:textId="77777777" w:rsidR="001243BF" w:rsidRPr="00C462A0" w:rsidRDefault="001243BF" w:rsidP="001243BF">
            <w:pPr>
              <w:jc w:val="both"/>
              <w:rPr>
                <w:sz w:val="22"/>
                <w:szCs w:val="22"/>
              </w:rPr>
            </w:pPr>
            <w:r w:rsidRPr="00C462A0">
              <w:rPr>
                <w:sz w:val="22"/>
                <w:szCs w:val="22"/>
              </w:rPr>
              <w:t>Availability concerns timing. Authorised users must be able to access systems and data when needed.</w:t>
            </w:r>
          </w:p>
          <w:p w14:paraId="64EA92CF" w14:textId="77777777" w:rsidR="001243BF" w:rsidRPr="00C462A0" w:rsidRDefault="001243BF" w:rsidP="001243BF">
            <w:pPr>
              <w:jc w:val="both"/>
              <w:rPr>
                <w:sz w:val="22"/>
                <w:szCs w:val="22"/>
              </w:rPr>
            </w:pPr>
            <w:r w:rsidRPr="00C462A0">
              <w:rPr>
                <w:sz w:val="22"/>
                <w:szCs w:val="22"/>
              </w:rPr>
              <w:t>A system can preserve secrecy and accuracy perfectly and still fail if it goes offline at a critical moment. In sustainability-oriented infrastructures, availability aligns with operational resilience. An energy management dashboard that disappears during peak demand undermines optimisation efforts. A smart grid interface disrupted by a denial-of-service attack can interrupt essential services. An ESG portal that crashes near a disclosure deadline introduces compliance risk.</w:t>
            </w:r>
          </w:p>
          <w:p w14:paraId="160F01FE" w14:textId="77777777" w:rsidR="001243BF" w:rsidRPr="00C462A0" w:rsidRDefault="001243BF" w:rsidP="001243BF">
            <w:pPr>
              <w:jc w:val="both"/>
              <w:rPr>
                <w:sz w:val="22"/>
                <w:szCs w:val="22"/>
              </w:rPr>
            </w:pPr>
            <w:r w:rsidRPr="00C462A0">
              <w:rPr>
                <w:sz w:val="22"/>
                <w:szCs w:val="22"/>
              </w:rPr>
              <w:t>Threats to availability are not limited to deliberate attacks, such as distributed denial-of-service or ransomware. Misconfiguration, hardware failure, and insufficient capacity planning can produce the same result. In environments where sustainability depends on continuous monitoring and control, downtime rarely remains isolated; it cascades.</w:t>
            </w:r>
          </w:p>
          <w:p w14:paraId="58163E5B" w14:textId="77777777" w:rsidR="00121AFC" w:rsidRPr="00C462A0" w:rsidRDefault="00121AFC" w:rsidP="001243BF">
            <w:pPr>
              <w:jc w:val="both"/>
              <w:rPr>
                <w:sz w:val="22"/>
                <w:szCs w:val="22"/>
              </w:rPr>
            </w:pPr>
          </w:p>
          <w:p w14:paraId="58CC2B3D" w14:textId="77777777" w:rsidR="001243BF" w:rsidRPr="00C462A0" w:rsidRDefault="001243BF" w:rsidP="001243BF">
            <w:pPr>
              <w:jc w:val="both"/>
              <w:rPr>
                <w:sz w:val="22"/>
                <w:szCs w:val="22"/>
              </w:rPr>
            </w:pPr>
            <w:r w:rsidRPr="00C462A0">
              <w:rPr>
                <w:sz w:val="22"/>
                <w:szCs w:val="22"/>
              </w:rPr>
              <w:t>Redundancy, backups, failover architectures, and incident response planning all support availability. The core issue, however, is practical: will the system be there when it is required?</w:t>
            </w:r>
          </w:p>
          <w:p w14:paraId="2BA3A551" w14:textId="77777777" w:rsidR="001243BF" w:rsidRPr="00C462A0" w:rsidRDefault="001243BF" w:rsidP="001243BF">
            <w:pPr>
              <w:jc w:val="both"/>
              <w:rPr>
                <w:sz w:val="22"/>
                <w:szCs w:val="22"/>
              </w:rPr>
            </w:pPr>
            <w:r w:rsidRPr="00C462A0">
              <w:rPr>
                <w:sz w:val="22"/>
                <w:szCs w:val="22"/>
              </w:rPr>
              <w:t>In energy and infrastructure contexts, especially, that question often takes priority.</w:t>
            </w:r>
          </w:p>
          <w:p w14:paraId="4009EC51" w14:textId="77777777" w:rsidR="001243BF" w:rsidRPr="00C462A0" w:rsidRDefault="001243BF" w:rsidP="001243BF">
            <w:pPr>
              <w:jc w:val="both"/>
              <w:rPr>
                <w:sz w:val="22"/>
                <w:szCs w:val="22"/>
              </w:rPr>
            </w:pPr>
          </w:p>
          <w:p w14:paraId="0453EC9B" w14:textId="2C839663" w:rsidR="00121AFC" w:rsidRPr="00C462A0" w:rsidRDefault="00121AFC" w:rsidP="00121AFC">
            <w:pPr>
              <w:pStyle w:val="Caption"/>
              <w:keepNext/>
              <w:rPr>
                <w:b w:val="0"/>
                <w:bCs w:val="0"/>
              </w:rPr>
            </w:pPr>
            <w:bookmarkStart w:id="10" w:name="_Toc227624051"/>
            <w:r w:rsidRPr="00C462A0">
              <w:rPr>
                <w:b w:val="0"/>
                <w:bCs w:val="0"/>
              </w:rPr>
              <w:t xml:space="preserve">Table </w:t>
            </w:r>
            <w:r w:rsidRPr="00C462A0">
              <w:rPr>
                <w:b w:val="0"/>
                <w:bCs w:val="0"/>
              </w:rPr>
              <w:fldChar w:fldCharType="begin"/>
            </w:r>
            <w:r w:rsidRPr="00C462A0">
              <w:rPr>
                <w:b w:val="0"/>
                <w:bCs w:val="0"/>
              </w:rPr>
              <w:instrText xml:space="preserve"> SEQ Table \* ARABIC </w:instrText>
            </w:r>
            <w:r w:rsidRPr="00C462A0">
              <w:rPr>
                <w:b w:val="0"/>
                <w:bCs w:val="0"/>
              </w:rPr>
              <w:fldChar w:fldCharType="separate"/>
            </w:r>
            <w:r w:rsidRPr="00C462A0">
              <w:rPr>
                <w:b w:val="0"/>
                <w:bCs w:val="0"/>
                <w:noProof/>
              </w:rPr>
              <w:t>1</w:t>
            </w:r>
            <w:r w:rsidRPr="00C462A0">
              <w:rPr>
                <w:b w:val="0"/>
                <w:bCs w:val="0"/>
              </w:rPr>
              <w:fldChar w:fldCharType="end"/>
            </w:r>
            <w:r w:rsidRPr="00C462A0">
              <w:rPr>
                <w:b w:val="0"/>
                <w:bCs w:val="0"/>
              </w:rPr>
              <w:t>. CIA Triad (source: Author)</w:t>
            </w:r>
            <w:bookmarkEnd w:id="10"/>
          </w:p>
          <w:tbl>
            <w:tblPr>
              <w:tblStyle w:val="Bordered"/>
              <w:tblW w:w="0" w:type="auto"/>
              <w:tblLook w:val="04A0" w:firstRow="1" w:lastRow="0" w:firstColumn="1" w:lastColumn="0" w:noHBand="0" w:noVBand="1"/>
            </w:tblPr>
            <w:tblGrid>
              <w:gridCol w:w="1900"/>
              <w:gridCol w:w="2834"/>
              <w:gridCol w:w="2652"/>
              <w:gridCol w:w="2016"/>
            </w:tblGrid>
            <w:tr w:rsidR="001243BF" w:rsidRPr="00C462A0" w14:paraId="4D5CAE64" w14:textId="77777777" w:rsidTr="001243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7BBBBBC" w14:textId="77777777" w:rsidR="001243BF" w:rsidRPr="00C462A0" w:rsidRDefault="001243BF" w:rsidP="001243BF">
                  <w:pPr>
                    <w:jc w:val="both"/>
                    <w:rPr>
                      <w:rFonts w:asciiTheme="minorHAnsi" w:hAnsiTheme="minorHAnsi" w:cstheme="minorHAnsi"/>
                      <w:b/>
                      <w:bCs/>
                      <w:szCs w:val="20"/>
                    </w:rPr>
                  </w:pPr>
                  <w:r w:rsidRPr="00C462A0">
                    <w:rPr>
                      <w:rFonts w:asciiTheme="minorHAnsi" w:hAnsiTheme="minorHAnsi" w:cstheme="minorHAnsi"/>
                      <w:b/>
                      <w:bCs/>
                      <w:szCs w:val="20"/>
                    </w:rPr>
                    <w:t>Security Objective</w:t>
                  </w:r>
                </w:p>
              </w:tc>
              <w:tc>
                <w:tcPr>
                  <w:tcW w:w="0" w:type="auto"/>
                </w:tcPr>
                <w:p w14:paraId="581E131B" w14:textId="77777777" w:rsidR="001243BF" w:rsidRPr="00C462A0" w:rsidRDefault="001243BF" w:rsidP="001243BF">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C462A0">
                    <w:rPr>
                      <w:rFonts w:asciiTheme="minorHAnsi" w:hAnsiTheme="minorHAnsi" w:cstheme="minorHAnsi"/>
                      <w:b/>
                      <w:bCs/>
                      <w:szCs w:val="20"/>
                    </w:rPr>
                    <w:t>Primary Question</w:t>
                  </w:r>
                </w:p>
              </w:tc>
              <w:tc>
                <w:tcPr>
                  <w:tcW w:w="0" w:type="auto"/>
                </w:tcPr>
                <w:p w14:paraId="14CFDDA9" w14:textId="77777777" w:rsidR="001243BF" w:rsidRPr="00C462A0" w:rsidRDefault="001243BF" w:rsidP="001243BF">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C462A0">
                    <w:rPr>
                      <w:rFonts w:asciiTheme="minorHAnsi" w:hAnsiTheme="minorHAnsi" w:cstheme="minorHAnsi"/>
                      <w:b/>
                      <w:bCs/>
                      <w:szCs w:val="20"/>
                    </w:rPr>
                    <w:t>Example in Sustainable Systems</w:t>
                  </w:r>
                </w:p>
              </w:tc>
              <w:tc>
                <w:tcPr>
                  <w:tcW w:w="0" w:type="auto"/>
                </w:tcPr>
                <w:p w14:paraId="057750A0" w14:textId="77777777" w:rsidR="001243BF" w:rsidRPr="00C462A0" w:rsidRDefault="001243BF" w:rsidP="001243BF">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C462A0">
                    <w:rPr>
                      <w:rFonts w:asciiTheme="minorHAnsi" w:hAnsiTheme="minorHAnsi" w:cstheme="minorHAnsi"/>
                      <w:b/>
                      <w:bCs/>
                      <w:szCs w:val="20"/>
                    </w:rPr>
                    <w:t>Typical Controls</w:t>
                  </w:r>
                </w:p>
              </w:tc>
            </w:tr>
            <w:tr w:rsidR="001243BF" w:rsidRPr="00C462A0" w14:paraId="03965A5A" w14:textId="77777777" w:rsidTr="001243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79B08DE" w14:textId="77777777" w:rsidR="001243BF" w:rsidRPr="00C462A0" w:rsidRDefault="001243BF" w:rsidP="001243BF">
                  <w:pPr>
                    <w:jc w:val="both"/>
                    <w:rPr>
                      <w:rFonts w:asciiTheme="minorHAnsi" w:hAnsiTheme="minorHAnsi" w:cstheme="minorHAnsi"/>
                      <w:szCs w:val="20"/>
                    </w:rPr>
                  </w:pPr>
                  <w:r w:rsidRPr="00C462A0">
                    <w:rPr>
                      <w:rFonts w:asciiTheme="minorHAnsi" w:hAnsiTheme="minorHAnsi" w:cstheme="minorHAnsi"/>
                      <w:szCs w:val="20"/>
                    </w:rPr>
                    <w:t>Confidentiality</w:t>
                  </w:r>
                </w:p>
              </w:tc>
              <w:tc>
                <w:tcPr>
                  <w:tcW w:w="0" w:type="auto"/>
                </w:tcPr>
                <w:p w14:paraId="11B024FD" w14:textId="77777777" w:rsidR="001243BF" w:rsidRPr="00C462A0" w:rsidRDefault="001243BF" w:rsidP="001243BF">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C462A0">
                    <w:rPr>
                      <w:rFonts w:asciiTheme="minorHAnsi" w:hAnsiTheme="minorHAnsi" w:cstheme="minorHAnsi"/>
                      <w:szCs w:val="20"/>
                    </w:rPr>
                    <w:t>Who can see the data?</w:t>
                  </w:r>
                </w:p>
              </w:tc>
              <w:tc>
                <w:tcPr>
                  <w:tcW w:w="0" w:type="auto"/>
                </w:tcPr>
                <w:p w14:paraId="2D87A699" w14:textId="77777777" w:rsidR="001243BF" w:rsidRPr="00C462A0" w:rsidRDefault="001243BF" w:rsidP="001243BF">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C462A0">
                    <w:rPr>
                      <w:rFonts w:asciiTheme="minorHAnsi" w:hAnsiTheme="minorHAnsi" w:cstheme="minorHAnsi"/>
                      <w:szCs w:val="20"/>
                    </w:rPr>
                    <w:t>ESG emissions database</w:t>
                  </w:r>
                </w:p>
              </w:tc>
              <w:tc>
                <w:tcPr>
                  <w:tcW w:w="0" w:type="auto"/>
                </w:tcPr>
                <w:p w14:paraId="480F0742" w14:textId="77777777" w:rsidR="001243BF" w:rsidRPr="00C462A0" w:rsidRDefault="001243BF" w:rsidP="001243BF">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C462A0">
                    <w:rPr>
                      <w:rFonts w:asciiTheme="minorHAnsi" w:hAnsiTheme="minorHAnsi" w:cstheme="minorHAnsi"/>
                      <w:szCs w:val="20"/>
                    </w:rPr>
                    <w:t>Encryption, RBAC</w:t>
                  </w:r>
                </w:p>
              </w:tc>
            </w:tr>
            <w:tr w:rsidR="001243BF" w:rsidRPr="00C462A0" w14:paraId="497E029A" w14:textId="77777777" w:rsidTr="001243BF">
              <w:tc>
                <w:tcPr>
                  <w:cnfStyle w:val="001000000000" w:firstRow="0" w:lastRow="0" w:firstColumn="1" w:lastColumn="0" w:oddVBand="0" w:evenVBand="0" w:oddHBand="0" w:evenHBand="0" w:firstRowFirstColumn="0" w:firstRowLastColumn="0" w:lastRowFirstColumn="0" w:lastRowLastColumn="0"/>
                  <w:tcW w:w="0" w:type="auto"/>
                </w:tcPr>
                <w:p w14:paraId="3A14ED56" w14:textId="77777777" w:rsidR="001243BF" w:rsidRPr="00C462A0" w:rsidRDefault="001243BF" w:rsidP="001243BF">
                  <w:pPr>
                    <w:rPr>
                      <w:rFonts w:asciiTheme="minorHAnsi" w:hAnsiTheme="minorHAnsi" w:cstheme="minorHAnsi"/>
                      <w:szCs w:val="20"/>
                    </w:rPr>
                  </w:pPr>
                  <w:r w:rsidRPr="00C462A0">
                    <w:rPr>
                      <w:rFonts w:asciiTheme="minorHAnsi" w:hAnsiTheme="minorHAnsi" w:cstheme="minorHAnsi"/>
                      <w:szCs w:val="20"/>
                    </w:rPr>
                    <w:t>Integrity</w:t>
                  </w:r>
                </w:p>
              </w:tc>
              <w:tc>
                <w:tcPr>
                  <w:tcW w:w="0" w:type="auto"/>
                </w:tcPr>
                <w:p w14:paraId="4FE1D063" w14:textId="77777777" w:rsidR="001243BF" w:rsidRPr="00C462A0" w:rsidRDefault="001243BF" w:rsidP="001243BF">
                  <w:pPr>
                    <w:cnfStyle w:val="000000000000" w:firstRow="0" w:lastRow="0" w:firstColumn="0" w:lastColumn="0" w:oddVBand="0" w:evenVBand="0" w:oddHBand="0" w:evenHBand="0" w:firstRowFirstColumn="0" w:firstRowLastColumn="0" w:lastRowFirstColumn="0" w:lastRowLastColumn="0"/>
                    <w:rPr>
                      <w:rFonts w:cstheme="minorHAnsi"/>
                      <w:szCs w:val="20"/>
                    </w:rPr>
                  </w:pPr>
                  <w:r w:rsidRPr="00C462A0">
                    <w:rPr>
                      <w:rFonts w:cstheme="minorHAnsi"/>
                      <w:szCs w:val="20"/>
                    </w:rPr>
                    <w:t>Has the data been altered?</w:t>
                  </w:r>
                </w:p>
              </w:tc>
              <w:tc>
                <w:tcPr>
                  <w:tcW w:w="0" w:type="auto"/>
                </w:tcPr>
                <w:p w14:paraId="25043F22" w14:textId="77777777" w:rsidR="001243BF" w:rsidRPr="00C462A0" w:rsidRDefault="001243BF" w:rsidP="001243BF">
                  <w:pPr>
                    <w:cnfStyle w:val="000000000000" w:firstRow="0" w:lastRow="0" w:firstColumn="0" w:lastColumn="0" w:oddVBand="0" w:evenVBand="0" w:oddHBand="0" w:evenHBand="0" w:firstRowFirstColumn="0" w:firstRowLastColumn="0" w:lastRowFirstColumn="0" w:lastRowLastColumn="0"/>
                    <w:rPr>
                      <w:rFonts w:cstheme="minorHAnsi"/>
                      <w:szCs w:val="20"/>
                    </w:rPr>
                  </w:pPr>
                  <w:r w:rsidRPr="00C462A0">
                    <w:rPr>
                      <w:rFonts w:cstheme="minorHAnsi"/>
                      <w:szCs w:val="20"/>
                    </w:rPr>
                    <w:t>Smart grid telemetry</w:t>
                  </w:r>
                </w:p>
              </w:tc>
              <w:tc>
                <w:tcPr>
                  <w:tcW w:w="0" w:type="auto"/>
                </w:tcPr>
                <w:p w14:paraId="2EF6B4AC" w14:textId="77777777" w:rsidR="001243BF" w:rsidRPr="00C462A0" w:rsidRDefault="001243BF" w:rsidP="001243BF">
                  <w:pPr>
                    <w:cnfStyle w:val="000000000000" w:firstRow="0" w:lastRow="0" w:firstColumn="0" w:lastColumn="0" w:oddVBand="0" w:evenVBand="0" w:oddHBand="0" w:evenHBand="0" w:firstRowFirstColumn="0" w:firstRowLastColumn="0" w:lastRowFirstColumn="0" w:lastRowLastColumn="0"/>
                    <w:rPr>
                      <w:rFonts w:cstheme="minorHAnsi"/>
                      <w:szCs w:val="20"/>
                    </w:rPr>
                  </w:pPr>
                  <w:r w:rsidRPr="00C462A0">
                    <w:rPr>
                      <w:rFonts w:cstheme="minorHAnsi"/>
                      <w:szCs w:val="20"/>
                    </w:rPr>
                    <w:t>Hashing, logging</w:t>
                  </w:r>
                </w:p>
              </w:tc>
            </w:tr>
            <w:tr w:rsidR="001243BF" w:rsidRPr="00C462A0" w14:paraId="77DF0347" w14:textId="77777777" w:rsidTr="001243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23698CE" w14:textId="77777777" w:rsidR="001243BF" w:rsidRPr="00C462A0" w:rsidRDefault="001243BF" w:rsidP="001243BF">
                  <w:pPr>
                    <w:rPr>
                      <w:rFonts w:asciiTheme="minorHAnsi" w:hAnsiTheme="minorHAnsi" w:cstheme="minorHAnsi"/>
                      <w:szCs w:val="20"/>
                    </w:rPr>
                  </w:pPr>
                  <w:r w:rsidRPr="00C462A0">
                    <w:rPr>
                      <w:rFonts w:asciiTheme="minorHAnsi" w:hAnsiTheme="minorHAnsi" w:cstheme="minorHAnsi"/>
                      <w:szCs w:val="20"/>
                    </w:rPr>
                    <w:t>Availability</w:t>
                  </w:r>
                </w:p>
              </w:tc>
              <w:tc>
                <w:tcPr>
                  <w:tcW w:w="0" w:type="auto"/>
                </w:tcPr>
                <w:p w14:paraId="0390B590" w14:textId="77777777" w:rsidR="001243BF" w:rsidRPr="00C462A0" w:rsidRDefault="001243BF" w:rsidP="001243B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C462A0">
                    <w:rPr>
                      <w:rFonts w:asciiTheme="minorHAnsi" w:hAnsiTheme="minorHAnsi" w:cstheme="minorHAnsi"/>
                      <w:szCs w:val="20"/>
                    </w:rPr>
                    <w:t>Is the system accessible when needed?</w:t>
                  </w:r>
                </w:p>
              </w:tc>
              <w:tc>
                <w:tcPr>
                  <w:tcW w:w="0" w:type="auto"/>
                </w:tcPr>
                <w:p w14:paraId="6191F48F" w14:textId="77777777" w:rsidR="001243BF" w:rsidRPr="00C462A0" w:rsidRDefault="001243BF" w:rsidP="001243B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C462A0">
                    <w:rPr>
                      <w:rFonts w:asciiTheme="minorHAnsi" w:hAnsiTheme="minorHAnsi" w:cstheme="minorHAnsi"/>
                      <w:szCs w:val="20"/>
                    </w:rPr>
                    <w:t>Energy management dashboard</w:t>
                  </w:r>
                </w:p>
              </w:tc>
              <w:tc>
                <w:tcPr>
                  <w:tcW w:w="0" w:type="auto"/>
                </w:tcPr>
                <w:p w14:paraId="375FF8F8" w14:textId="77777777" w:rsidR="001243BF" w:rsidRPr="00C462A0" w:rsidRDefault="001243BF" w:rsidP="001243B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C462A0">
                    <w:rPr>
                      <w:rFonts w:asciiTheme="minorHAnsi" w:hAnsiTheme="minorHAnsi" w:cstheme="minorHAnsi"/>
                      <w:szCs w:val="20"/>
                    </w:rPr>
                    <w:t>Redundancy, backups</w:t>
                  </w:r>
                </w:p>
              </w:tc>
            </w:tr>
          </w:tbl>
          <w:p w14:paraId="418DBC0B" w14:textId="77777777" w:rsidR="001243BF" w:rsidRPr="00C462A0" w:rsidRDefault="001243BF" w:rsidP="001243BF">
            <w:pPr>
              <w:rPr>
                <w:sz w:val="22"/>
                <w:szCs w:val="22"/>
              </w:rPr>
            </w:pPr>
          </w:p>
          <w:p w14:paraId="6ED478D3" w14:textId="77777777" w:rsidR="00C462A0" w:rsidRPr="00C462A0" w:rsidRDefault="00C462A0" w:rsidP="001243BF">
            <w:pPr>
              <w:rPr>
                <w:sz w:val="22"/>
                <w:szCs w:val="22"/>
              </w:rPr>
            </w:pPr>
          </w:p>
          <w:p w14:paraId="1FE3A40C" w14:textId="09A0A98A" w:rsidR="001243BF" w:rsidRPr="00C462A0" w:rsidRDefault="001243BF" w:rsidP="001243BF">
            <w:pPr>
              <w:pStyle w:val="ListParagraph"/>
              <w:numPr>
                <w:ilvl w:val="0"/>
                <w:numId w:val="180"/>
              </w:numPr>
              <w:tabs>
                <w:tab w:val="num" w:pos="360"/>
              </w:tabs>
              <w:rPr>
                <w:b/>
                <w:bCs/>
                <w:color w:val="009889" w:themeColor="accent2"/>
                <w:sz w:val="22"/>
                <w:szCs w:val="22"/>
              </w:rPr>
            </w:pPr>
            <w:r w:rsidRPr="00C462A0">
              <w:rPr>
                <w:b/>
                <w:bCs/>
                <w:color w:val="009889" w:themeColor="accent2"/>
                <w:sz w:val="22"/>
                <w:szCs w:val="22"/>
              </w:rPr>
              <w:t>The CIA Triad as a Risk-Oriented Framework</w:t>
            </w:r>
          </w:p>
          <w:p w14:paraId="78484C6D" w14:textId="77777777" w:rsidR="001243BF" w:rsidRPr="00C462A0" w:rsidRDefault="001243BF" w:rsidP="001243BF">
            <w:pPr>
              <w:rPr>
                <w:sz w:val="22"/>
                <w:szCs w:val="22"/>
              </w:rPr>
            </w:pPr>
            <w:r w:rsidRPr="00C462A0">
              <w:rPr>
                <w:sz w:val="22"/>
                <w:szCs w:val="22"/>
              </w:rPr>
              <w:t>The CIA Triad is most useful as an analytical tool. It gives you a simple, repeatable way to assess assets and decide which security properties matter most in practice.</w:t>
            </w:r>
          </w:p>
          <w:p w14:paraId="08A8E750" w14:textId="77777777" w:rsidR="001243BF" w:rsidRPr="00C462A0" w:rsidRDefault="001243BF" w:rsidP="001243BF">
            <w:pPr>
              <w:rPr>
                <w:sz w:val="22"/>
                <w:szCs w:val="22"/>
              </w:rPr>
            </w:pPr>
            <w:r w:rsidRPr="00C462A0">
              <w:rPr>
                <w:sz w:val="22"/>
                <w:szCs w:val="22"/>
              </w:rPr>
              <w:t>When cybersecurity teams review a sustainable system, they usually start by mapping the assets: databases, control systems, sensor networks, reporting platforms, and communication channels. Then each asset is tested against the CIA lens:</w:t>
            </w:r>
          </w:p>
          <w:p w14:paraId="52BEA953" w14:textId="77777777" w:rsidR="001243BF" w:rsidRPr="00C462A0" w:rsidRDefault="001243BF" w:rsidP="001243BF">
            <w:pPr>
              <w:numPr>
                <w:ilvl w:val="0"/>
                <w:numId w:val="179"/>
              </w:numPr>
              <w:rPr>
                <w:sz w:val="22"/>
                <w:szCs w:val="22"/>
              </w:rPr>
            </w:pPr>
            <w:r w:rsidRPr="00C462A0">
              <w:rPr>
                <w:sz w:val="22"/>
                <w:szCs w:val="22"/>
              </w:rPr>
              <w:t>Which information must stay confidential?</w:t>
            </w:r>
          </w:p>
          <w:p w14:paraId="7772B701" w14:textId="77777777" w:rsidR="001243BF" w:rsidRPr="00C462A0" w:rsidRDefault="001243BF" w:rsidP="001243BF">
            <w:pPr>
              <w:numPr>
                <w:ilvl w:val="0"/>
                <w:numId w:val="179"/>
              </w:numPr>
              <w:rPr>
                <w:sz w:val="22"/>
                <w:szCs w:val="22"/>
              </w:rPr>
            </w:pPr>
            <w:r w:rsidRPr="00C462A0">
              <w:rPr>
                <w:sz w:val="22"/>
                <w:szCs w:val="22"/>
              </w:rPr>
              <w:t>Which data must remain accurate and protected from unauthorised change?</w:t>
            </w:r>
          </w:p>
          <w:p w14:paraId="06E3AA1C" w14:textId="77777777" w:rsidR="001243BF" w:rsidRDefault="001243BF" w:rsidP="001243BF">
            <w:pPr>
              <w:numPr>
                <w:ilvl w:val="0"/>
                <w:numId w:val="179"/>
              </w:numPr>
              <w:rPr>
                <w:sz w:val="22"/>
                <w:szCs w:val="22"/>
              </w:rPr>
            </w:pPr>
            <w:r w:rsidRPr="00C462A0">
              <w:rPr>
                <w:sz w:val="22"/>
                <w:szCs w:val="22"/>
              </w:rPr>
              <w:t>Which services need to be available without interruption?</w:t>
            </w:r>
          </w:p>
          <w:p w14:paraId="3F16A69D" w14:textId="77777777" w:rsidR="00C462A0" w:rsidRPr="00C462A0" w:rsidRDefault="00C462A0" w:rsidP="00C462A0">
            <w:pPr>
              <w:rPr>
                <w:sz w:val="22"/>
                <w:szCs w:val="22"/>
              </w:rPr>
            </w:pPr>
          </w:p>
          <w:p w14:paraId="1DB71FE1" w14:textId="1649E235" w:rsidR="00C462A0" w:rsidRPr="00C462A0" w:rsidRDefault="001243BF" w:rsidP="001243BF">
            <w:pPr>
              <w:rPr>
                <w:sz w:val="22"/>
                <w:szCs w:val="22"/>
              </w:rPr>
            </w:pPr>
            <w:r w:rsidRPr="00C462A0">
              <w:rPr>
                <w:sz w:val="22"/>
                <w:szCs w:val="22"/>
              </w:rPr>
              <w:t xml:space="preserve">Priorities differ by asset. A smart meter’s firmware often prioritises integrity. An ESG database usually needs confidentiality and integrity. A load-balancing control </w:t>
            </w:r>
            <w:r w:rsidRPr="00C462A0">
              <w:rPr>
                <w:sz w:val="22"/>
                <w:szCs w:val="22"/>
              </w:rPr>
              <w:lastRenderedPageBreak/>
              <w:t>system may prioritise availability. Those priorities shape risk assessment and, in turn, control selection. Controls are not deployed evenly across the board; they are chosen to protect the CIA property that would have the most significant impact if it failed. Used this way, the CIA Triad serves as a practical foundation for threat modelling and cyber risk management.</w:t>
            </w:r>
          </w:p>
          <w:p w14:paraId="18EA77FC" w14:textId="77777777" w:rsidR="00C462A0" w:rsidRPr="00C462A0" w:rsidRDefault="00C462A0" w:rsidP="001243BF">
            <w:pPr>
              <w:rPr>
                <w:sz w:val="22"/>
                <w:szCs w:val="22"/>
              </w:rPr>
            </w:pPr>
          </w:p>
          <w:p w14:paraId="6FF26A65" w14:textId="5EE72E80" w:rsidR="00121AFC" w:rsidRPr="00C462A0" w:rsidRDefault="00121AFC" w:rsidP="00121AFC">
            <w:pPr>
              <w:pStyle w:val="Caption"/>
              <w:keepNext/>
              <w:rPr>
                <w:b w:val="0"/>
                <w:bCs w:val="0"/>
              </w:rPr>
            </w:pPr>
            <w:bookmarkStart w:id="11" w:name="_Toc227624052"/>
            <w:r w:rsidRPr="00C462A0">
              <w:rPr>
                <w:b w:val="0"/>
                <w:bCs w:val="0"/>
              </w:rPr>
              <w:t xml:space="preserve">Table </w:t>
            </w:r>
            <w:r w:rsidRPr="00C462A0">
              <w:rPr>
                <w:b w:val="0"/>
                <w:bCs w:val="0"/>
              </w:rPr>
              <w:fldChar w:fldCharType="begin"/>
            </w:r>
            <w:r w:rsidRPr="00C462A0">
              <w:rPr>
                <w:b w:val="0"/>
                <w:bCs w:val="0"/>
              </w:rPr>
              <w:instrText xml:space="preserve"> SEQ Table \* ARABIC </w:instrText>
            </w:r>
            <w:r w:rsidRPr="00C462A0">
              <w:rPr>
                <w:b w:val="0"/>
                <w:bCs w:val="0"/>
              </w:rPr>
              <w:fldChar w:fldCharType="separate"/>
            </w:r>
            <w:r w:rsidRPr="00C462A0">
              <w:rPr>
                <w:b w:val="0"/>
                <w:bCs w:val="0"/>
                <w:noProof/>
              </w:rPr>
              <w:t>2</w:t>
            </w:r>
            <w:r w:rsidRPr="00C462A0">
              <w:rPr>
                <w:b w:val="0"/>
                <w:bCs w:val="0"/>
              </w:rPr>
              <w:fldChar w:fldCharType="end"/>
            </w:r>
            <w:r w:rsidRPr="00C462A0">
              <w:rPr>
                <w:b w:val="0"/>
                <w:bCs w:val="0"/>
              </w:rPr>
              <w:t>. Security priorities for specific technological assets based on the Confidentiality, Integrity, and Availability (CIA) triad framework (source: Author)</w:t>
            </w:r>
            <w:bookmarkEnd w:id="11"/>
          </w:p>
          <w:tbl>
            <w:tblPr>
              <w:tblStyle w:val="Bordered"/>
              <w:tblW w:w="0" w:type="auto"/>
              <w:tblLook w:val="04A0" w:firstRow="1" w:lastRow="0" w:firstColumn="1" w:lastColumn="0" w:noHBand="0" w:noVBand="1"/>
            </w:tblPr>
            <w:tblGrid>
              <w:gridCol w:w="2331"/>
              <w:gridCol w:w="2983"/>
              <w:gridCol w:w="3787"/>
            </w:tblGrid>
            <w:tr w:rsidR="001243BF" w:rsidRPr="00C462A0" w14:paraId="4E77A6F2" w14:textId="77777777" w:rsidTr="001243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8637C21" w14:textId="77777777" w:rsidR="001243BF" w:rsidRPr="00C462A0" w:rsidRDefault="001243BF" w:rsidP="001243BF">
                  <w:pPr>
                    <w:rPr>
                      <w:b/>
                      <w:bCs/>
                      <w:sz w:val="22"/>
                      <w:szCs w:val="22"/>
                    </w:rPr>
                  </w:pPr>
                  <w:r w:rsidRPr="00C462A0">
                    <w:rPr>
                      <w:b/>
                      <w:bCs/>
                      <w:sz w:val="22"/>
                      <w:szCs w:val="22"/>
                    </w:rPr>
                    <w:t>Asset</w:t>
                  </w:r>
                </w:p>
              </w:tc>
              <w:tc>
                <w:tcPr>
                  <w:tcW w:w="0" w:type="auto"/>
                </w:tcPr>
                <w:p w14:paraId="2B9DCC71" w14:textId="77777777" w:rsidR="001243BF" w:rsidRPr="00C462A0" w:rsidRDefault="001243BF" w:rsidP="001243BF">
                  <w:pPr>
                    <w:cnfStyle w:val="100000000000" w:firstRow="1" w:lastRow="0" w:firstColumn="0" w:lastColumn="0" w:oddVBand="0" w:evenVBand="0" w:oddHBand="0" w:evenHBand="0" w:firstRowFirstColumn="0" w:firstRowLastColumn="0" w:lastRowFirstColumn="0" w:lastRowLastColumn="0"/>
                    <w:rPr>
                      <w:b/>
                      <w:bCs/>
                      <w:sz w:val="22"/>
                      <w:szCs w:val="22"/>
                    </w:rPr>
                  </w:pPr>
                  <w:r w:rsidRPr="00C462A0">
                    <w:rPr>
                      <w:b/>
                      <w:bCs/>
                      <w:sz w:val="22"/>
                      <w:szCs w:val="22"/>
                    </w:rPr>
                    <w:t>CIA Priority</w:t>
                  </w:r>
                </w:p>
              </w:tc>
              <w:tc>
                <w:tcPr>
                  <w:tcW w:w="0" w:type="auto"/>
                </w:tcPr>
                <w:p w14:paraId="5FB8C558" w14:textId="77777777" w:rsidR="001243BF" w:rsidRPr="00C462A0" w:rsidRDefault="001243BF" w:rsidP="001243BF">
                  <w:pPr>
                    <w:cnfStyle w:val="100000000000" w:firstRow="1" w:lastRow="0" w:firstColumn="0" w:lastColumn="0" w:oddVBand="0" w:evenVBand="0" w:oddHBand="0" w:evenHBand="0" w:firstRowFirstColumn="0" w:firstRowLastColumn="0" w:lastRowFirstColumn="0" w:lastRowLastColumn="0"/>
                    <w:rPr>
                      <w:b/>
                      <w:bCs/>
                      <w:sz w:val="22"/>
                      <w:szCs w:val="22"/>
                    </w:rPr>
                  </w:pPr>
                  <w:r w:rsidRPr="00C462A0">
                    <w:rPr>
                      <w:b/>
                      <w:bCs/>
                      <w:sz w:val="22"/>
                      <w:szCs w:val="22"/>
                    </w:rPr>
                    <w:t>Reason</w:t>
                  </w:r>
                </w:p>
              </w:tc>
            </w:tr>
            <w:tr w:rsidR="001243BF" w:rsidRPr="00C462A0" w14:paraId="2A6B4479" w14:textId="77777777" w:rsidTr="001243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F4C73EB" w14:textId="77777777" w:rsidR="001243BF" w:rsidRPr="00C462A0" w:rsidRDefault="001243BF" w:rsidP="001243BF">
                  <w:pPr>
                    <w:rPr>
                      <w:sz w:val="22"/>
                      <w:szCs w:val="22"/>
                    </w:rPr>
                  </w:pPr>
                  <w:r w:rsidRPr="00C462A0">
                    <w:rPr>
                      <w:sz w:val="22"/>
                      <w:szCs w:val="22"/>
                    </w:rPr>
                    <w:t>Smart meter firmware</w:t>
                  </w:r>
                </w:p>
              </w:tc>
              <w:tc>
                <w:tcPr>
                  <w:tcW w:w="0" w:type="auto"/>
                </w:tcPr>
                <w:p w14:paraId="1307EEB1" w14:textId="77777777" w:rsidR="001243BF" w:rsidRPr="00C462A0" w:rsidRDefault="001243BF" w:rsidP="001243BF">
                  <w:pPr>
                    <w:cnfStyle w:val="000000100000" w:firstRow="0" w:lastRow="0" w:firstColumn="0" w:lastColumn="0" w:oddVBand="0" w:evenVBand="0" w:oddHBand="1" w:evenHBand="0" w:firstRowFirstColumn="0" w:firstRowLastColumn="0" w:lastRowFirstColumn="0" w:lastRowLastColumn="0"/>
                    <w:rPr>
                      <w:sz w:val="22"/>
                      <w:szCs w:val="22"/>
                    </w:rPr>
                  </w:pPr>
                  <w:r w:rsidRPr="00C462A0">
                    <w:rPr>
                      <w:sz w:val="22"/>
                      <w:szCs w:val="22"/>
                    </w:rPr>
                    <w:t>Integrity</w:t>
                  </w:r>
                </w:p>
              </w:tc>
              <w:tc>
                <w:tcPr>
                  <w:tcW w:w="0" w:type="auto"/>
                </w:tcPr>
                <w:p w14:paraId="325CBA7E" w14:textId="77777777" w:rsidR="001243BF" w:rsidRPr="00C462A0" w:rsidRDefault="001243BF" w:rsidP="001243BF">
                  <w:pPr>
                    <w:cnfStyle w:val="000000100000" w:firstRow="0" w:lastRow="0" w:firstColumn="0" w:lastColumn="0" w:oddVBand="0" w:evenVBand="0" w:oddHBand="1" w:evenHBand="0" w:firstRowFirstColumn="0" w:firstRowLastColumn="0" w:lastRowFirstColumn="0" w:lastRowLastColumn="0"/>
                    <w:rPr>
                      <w:sz w:val="22"/>
                      <w:szCs w:val="22"/>
                    </w:rPr>
                  </w:pPr>
                  <w:r w:rsidRPr="00C462A0">
                    <w:rPr>
                      <w:sz w:val="22"/>
                      <w:szCs w:val="22"/>
                    </w:rPr>
                    <w:t>Tampering may cause grid instability</w:t>
                  </w:r>
                </w:p>
              </w:tc>
            </w:tr>
            <w:tr w:rsidR="001243BF" w:rsidRPr="00C462A0" w14:paraId="7FA513B9" w14:textId="77777777" w:rsidTr="001243BF">
              <w:tc>
                <w:tcPr>
                  <w:cnfStyle w:val="001000000000" w:firstRow="0" w:lastRow="0" w:firstColumn="1" w:lastColumn="0" w:oddVBand="0" w:evenVBand="0" w:oddHBand="0" w:evenHBand="0" w:firstRowFirstColumn="0" w:firstRowLastColumn="0" w:lastRowFirstColumn="0" w:lastRowLastColumn="0"/>
                  <w:tcW w:w="0" w:type="auto"/>
                </w:tcPr>
                <w:p w14:paraId="702EA17B" w14:textId="77777777" w:rsidR="001243BF" w:rsidRPr="00C462A0" w:rsidRDefault="001243BF" w:rsidP="001243BF">
                  <w:pPr>
                    <w:rPr>
                      <w:sz w:val="22"/>
                      <w:szCs w:val="22"/>
                    </w:rPr>
                  </w:pPr>
                  <w:r w:rsidRPr="00C462A0">
                    <w:rPr>
                      <w:sz w:val="22"/>
                      <w:szCs w:val="22"/>
                    </w:rPr>
                    <w:t>ESG reporting portal</w:t>
                  </w:r>
                </w:p>
              </w:tc>
              <w:tc>
                <w:tcPr>
                  <w:tcW w:w="0" w:type="auto"/>
                </w:tcPr>
                <w:p w14:paraId="47F5EF7B" w14:textId="77777777" w:rsidR="001243BF" w:rsidRPr="00C462A0" w:rsidRDefault="001243BF" w:rsidP="001243BF">
                  <w:pPr>
                    <w:cnfStyle w:val="000000000000" w:firstRow="0" w:lastRow="0" w:firstColumn="0" w:lastColumn="0" w:oddVBand="0" w:evenVBand="0" w:oddHBand="0" w:evenHBand="0" w:firstRowFirstColumn="0" w:firstRowLastColumn="0" w:lastRowFirstColumn="0" w:lastRowLastColumn="0"/>
                    <w:rPr>
                      <w:sz w:val="22"/>
                      <w:szCs w:val="22"/>
                    </w:rPr>
                  </w:pPr>
                  <w:r w:rsidRPr="00C462A0">
                    <w:rPr>
                      <w:sz w:val="22"/>
                      <w:szCs w:val="22"/>
                    </w:rPr>
                    <w:t>Confidentiality + Integrity</w:t>
                  </w:r>
                </w:p>
              </w:tc>
              <w:tc>
                <w:tcPr>
                  <w:tcW w:w="0" w:type="auto"/>
                </w:tcPr>
                <w:p w14:paraId="40F12F01" w14:textId="77777777" w:rsidR="001243BF" w:rsidRPr="00C462A0" w:rsidRDefault="001243BF" w:rsidP="001243BF">
                  <w:pPr>
                    <w:cnfStyle w:val="000000000000" w:firstRow="0" w:lastRow="0" w:firstColumn="0" w:lastColumn="0" w:oddVBand="0" w:evenVBand="0" w:oddHBand="0" w:evenHBand="0" w:firstRowFirstColumn="0" w:firstRowLastColumn="0" w:lastRowFirstColumn="0" w:lastRowLastColumn="0"/>
                    <w:rPr>
                      <w:sz w:val="22"/>
                      <w:szCs w:val="22"/>
                    </w:rPr>
                  </w:pPr>
                  <w:r w:rsidRPr="00C462A0">
                    <w:rPr>
                      <w:sz w:val="22"/>
                      <w:szCs w:val="22"/>
                    </w:rPr>
                    <w:t>Sensitive disclosures</w:t>
                  </w:r>
                </w:p>
              </w:tc>
            </w:tr>
            <w:tr w:rsidR="001243BF" w:rsidRPr="00C462A0" w14:paraId="3E02157F" w14:textId="77777777" w:rsidTr="001243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AF2A2A7" w14:textId="77777777" w:rsidR="001243BF" w:rsidRPr="00C462A0" w:rsidRDefault="001243BF" w:rsidP="001243BF">
                  <w:pPr>
                    <w:rPr>
                      <w:sz w:val="22"/>
                      <w:szCs w:val="22"/>
                    </w:rPr>
                  </w:pPr>
                  <w:r w:rsidRPr="00C462A0">
                    <w:rPr>
                      <w:sz w:val="22"/>
                      <w:szCs w:val="22"/>
                    </w:rPr>
                    <w:t>Energy load balancer</w:t>
                  </w:r>
                </w:p>
              </w:tc>
              <w:tc>
                <w:tcPr>
                  <w:tcW w:w="0" w:type="auto"/>
                </w:tcPr>
                <w:p w14:paraId="4956EA03" w14:textId="77777777" w:rsidR="001243BF" w:rsidRPr="00C462A0" w:rsidRDefault="001243BF" w:rsidP="001243BF">
                  <w:pPr>
                    <w:cnfStyle w:val="000000100000" w:firstRow="0" w:lastRow="0" w:firstColumn="0" w:lastColumn="0" w:oddVBand="0" w:evenVBand="0" w:oddHBand="1" w:evenHBand="0" w:firstRowFirstColumn="0" w:firstRowLastColumn="0" w:lastRowFirstColumn="0" w:lastRowLastColumn="0"/>
                    <w:rPr>
                      <w:sz w:val="22"/>
                      <w:szCs w:val="22"/>
                    </w:rPr>
                  </w:pPr>
                  <w:r w:rsidRPr="00C462A0">
                    <w:rPr>
                      <w:sz w:val="22"/>
                      <w:szCs w:val="22"/>
                    </w:rPr>
                    <w:t>Availability</w:t>
                  </w:r>
                </w:p>
              </w:tc>
              <w:tc>
                <w:tcPr>
                  <w:tcW w:w="0" w:type="auto"/>
                </w:tcPr>
                <w:p w14:paraId="265C4CFC" w14:textId="77777777" w:rsidR="001243BF" w:rsidRPr="00C462A0" w:rsidRDefault="001243BF" w:rsidP="001243BF">
                  <w:pPr>
                    <w:cnfStyle w:val="000000100000" w:firstRow="0" w:lastRow="0" w:firstColumn="0" w:lastColumn="0" w:oddVBand="0" w:evenVBand="0" w:oddHBand="1" w:evenHBand="0" w:firstRowFirstColumn="0" w:firstRowLastColumn="0" w:lastRowFirstColumn="0" w:lastRowLastColumn="0"/>
                    <w:rPr>
                      <w:sz w:val="22"/>
                      <w:szCs w:val="22"/>
                    </w:rPr>
                  </w:pPr>
                  <w:r w:rsidRPr="00C462A0">
                    <w:rPr>
                      <w:sz w:val="22"/>
                      <w:szCs w:val="22"/>
                    </w:rPr>
                    <w:t>Real-time operational requirement</w:t>
                  </w:r>
                </w:p>
              </w:tc>
            </w:tr>
          </w:tbl>
          <w:p w14:paraId="70FF7A95" w14:textId="77777777" w:rsidR="001243BF" w:rsidRPr="00C462A0" w:rsidRDefault="001243BF" w:rsidP="001243BF">
            <w:pPr>
              <w:rPr>
                <w:sz w:val="22"/>
                <w:szCs w:val="22"/>
              </w:rPr>
            </w:pPr>
          </w:p>
          <w:p w14:paraId="7111E16A" w14:textId="77777777" w:rsidR="00C462A0" w:rsidRPr="00C462A0" w:rsidRDefault="00C462A0" w:rsidP="001243BF">
            <w:pPr>
              <w:rPr>
                <w:sz w:val="22"/>
                <w:szCs w:val="22"/>
              </w:rPr>
            </w:pPr>
          </w:p>
          <w:p w14:paraId="140E90FB" w14:textId="77777777" w:rsidR="001243BF" w:rsidRPr="00C462A0" w:rsidRDefault="001243BF" w:rsidP="001243BF">
            <w:pPr>
              <w:pStyle w:val="ListParagraph"/>
              <w:numPr>
                <w:ilvl w:val="0"/>
                <w:numId w:val="180"/>
              </w:numPr>
              <w:tabs>
                <w:tab w:val="num" w:pos="360"/>
              </w:tabs>
              <w:rPr>
                <w:b/>
                <w:bCs/>
                <w:color w:val="009889" w:themeColor="accent2"/>
                <w:sz w:val="22"/>
                <w:szCs w:val="22"/>
              </w:rPr>
            </w:pPr>
            <w:r w:rsidRPr="00C462A0">
              <w:rPr>
                <w:b/>
                <w:bCs/>
                <w:color w:val="009889" w:themeColor="accent2"/>
                <w:sz w:val="22"/>
                <w:szCs w:val="22"/>
              </w:rPr>
              <w:t>CIA in the Context of Sustainable Digital Transformation</w:t>
            </w:r>
          </w:p>
          <w:p w14:paraId="0DDCA190" w14:textId="3A6755F5" w:rsidR="001243BF" w:rsidRPr="00C462A0" w:rsidRDefault="001243BF" w:rsidP="001243BF">
            <w:pPr>
              <w:jc w:val="both"/>
              <w:rPr>
                <w:sz w:val="22"/>
                <w:szCs w:val="22"/>
              </w:rPr>
            </w:pPr>
            <w:r w:rsidRPr="00C462A0">
              <w:rPr>
                <w:sz w:val="22"/>
                <w:szCs w:val="22"/>
              </w:rPr>
              <w:t>As organizations digitize sustainability work by connecting IoT devices, cloud platforms, analytics, and AI optimisation, their dependence on digital infrastructure grows. As that dependence grows, clarity about security objectives becomes non-negotiable.</w:t>
            </w:r>
          </w:p>
          <w:p w14:paraId="642EC383" w14:textId="77777777" w:rsidR="001243BF" w:rsidRPr="00C462A0" w:rsidRDefault="001243BF" w:rsidP="001243BF">
            <w:pPr>
              <w:jc w:val="both"/>
              <w:rPr>
                <w:sz w:val="22"/>
                <w:szCs w:val="22"/>
              </w:rPr>
            </w:pPr>
            <w:r w:rsidRPr="00C462A0">
              <w:rPr>
                <w:sz w:val="22"/>
                <w:szCs w:val="22"/>
              </w:rPr>
              <w:t>The CIA Triad acts as a steady reference point even as the technology stack shifts. Whether the system is a smart grid, a renewable energy platform, an ESG analytics environment, or a carbon tracking tool, the same three objectives apply.</w:t>
            </w:r>
          </w:p>
          <w:p w14:paraId="710F6D40" w14:textId="77777777" w:rsidR="001243BF" w:rsidRPr="00C462A0" w:rsidRDefault="001243BF" w:rsidP="001243BF">
            <w:pPr>
              <w:jc w:val="both"/>
              <w:rPr>
                <w:sz w:val="22"/>
                <w:szCs w:val="22"/>
              </w:rPr>
            </w:pPr>
            <w:r w:rsidRPr="00C462A0">
              <w:rPr>
                <w:sz w:val="22"/>
                <w:szCs w:val="22"/>
              </w:rPr>
              <w:t>Cybersecurity sits inside this picture as a risk-driven discipline. It protects the confidentiality of sensitive sustainability data, the integrity of environmental measurements, and the availability of the systems that keep green operations running.</w:t>
            </w:r>
          </w:p>
          <w:p w14:paraId="77DF2955" w14:textId="500E23B2" w:rsidR="001243BF" w:rsidRPr="00C462A0" w:rsidRDefault="001243BF" w:rsidP="001243BF">
            <w:pPr>
              <w:jc w:val="both"/>
              <w:rPr>
                <w:sz w:val="22"/>
                <w:szCs w:val="22"/>
              </w:rPr>
            </w:pPr>
            <w:r w:rsidRPr="00C462A0">
              <w:rPr>
                <w:sz w:val="22"/>
                <w:szCs w:val="22"/>
              </w:rPr>
              <w:t xml:space="preserve">Understanding the CIA Triad is the first move away from reactive </w:t>
            </w:r>
            <w:r w:rsidR="00C462A0" w:rsidRPr="00C462A0">
              <w:rPr>
                <w:sz w:val="22"/>
                <w:szCs w:val="22"/>
              </w:rPr>
              <w:t>defence</w:t>
            </w:r>
            <w:r w:rsidRPr="00C462A0">
              <w:rPr>
                <w:sz w:val="22"/>
                <w:szCs w:val="22"/>
              </w:rPr>
              <w:t xml:space="preserve"> and toward structured, risk-based cybersecurity management.</w:t>
            </w:r>
          </w:p>
          <w:p w14:paraId="47419019" w14:textId="77777777" w:rsidR="001243BF" w:rsidRPr="00C462A0" w:rsidRDefault="001243BF" w:rsidP="001243BF">
            <w:pPr>
              <w:rPr>
                <w:sz w:val="22"/>
                <w:szCs w:val="22"/>
              </w:rPr>
            </w:pPr>
          </w:p>
          <w:p w14:paraId="19CC34A9" w14:textId="77777777" w:rsidR="001243BF" w:rsidRPr="00C462A0" w:rsidRDefault="001243BF" w:rsidP="001243BF">
            <w:pPr>
              <w:keepNext/>
              <w:jc w:val="center"/>
            </w:pPr>
            <w:r w:rsidRPr="00C462A0">
              <w:rPr>
                <w:noProof/>
                <w:sz w:val="22"/>
                <w:szCs w:val="22"/>
              </w:rPr>
              <w:lastRenderedPageBreak/>
              <w:drawing>
                <wp:inline distT="0" distB="0" distL="0" distR="0" wp14:anchorId="46C27C7C" wp14:editId="4A167FB9">
                  <wp:extent cx="5629926" cy="3253740"/>
                  <wp:effectExtent l="38100" t="38100" r="46990" b="41910"/>
                  <wp:docPr id="2819579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18"/>
                          <a:srcRect b="13307"/>
                          <a:stretch/>
                        </pic:blipFill>
                        <pic:spPr bwMode="auto">
                          <a:xfrm>
                            <a:off x="0" y="0"/>
                            <a:ext cx="5638676" cy="3258797"/>
                          </a:xfrm>
                          <a:prstGeom prst="rect">
                            <a:avLst/>
                          </a:prstGeom>
                          <a:noFill/>
                          <a:ln w="38100">
                            <a:solidFill>
                              <a:schemeClr val="bg1">
                                <a:lumMod val="85000"/>
                              </a:schemeClr>
                            </a:solidFill>
                          </a:ln>
                        </pic:spPr>
                      </pic:pic>
                    </a:graphicData>
                  </a:graphic>
                </wp:inline>
              </w:drawing>
            </w:r>
          </w:p>
          <w:p w14:paraId="3941F06A" w14:textId="2FF90141" w:rsidR="001243BF" w:rsidRPr="00C462A0" w:rsidRDefault="001243BF" w:rsidP="001243BF">
            <w:pPr>
              <w:pStyle w:val="Caption"/>
              <w:jc w:val="center"/>
              <w:rPr>
                <w:b w:val="0"/>
                <w:bCs w:val="0"/>
              </w:rPr>
            </w:pPr>
            <w:bookmarkStart w:id="12" w:name="_Toc227623439"/>
            <w:r w:rsidRPr="00C462A0">
              <w:rPr>
                <w:b w:val="0"/>
                <w:bCs w:val="0"/>
              </w:rPr>
              <w:t xml:space="preserve">Figure </w:t>
            </w:r>
            <w:r w:rsidRPr="00C462A0">
              <w:rPr>
                <w:b w:val="0"/>
                <w:bCs w:val="0"/>
              </w:rPr>
              <w:fldChar w:fldCharType="begin"/>
            </w:r>
            <w:r w:rsidRPr="00C462A0">
              <w:rPr>
                <w:b w:val="0"/>
                <w:bCs w:val="0"/>
              </w:rPr>
              <w:instrText xml:space="preserve"> SEQ Figure \* ARABIC </w:instrText>
            </w:r>
            <w:r w:rsidRPr="00C462A0">
              <w:rPr>
                <w:b w:val="0"/>
                <w:bCs w:val="0"/>
              </w:rPr>
              <w:fldChar w:fldCharType="separate"/>
            </w:r>
            <w:r w:rsidRPr="00C462A0">
              <w:rPr>
                <w:b w:val="0"/>
                <w:bCs w:val="0"/>
              </w:rPr>
              <w:t>2</w:t>
            </w:r>
            <w:r w:rsidRPr="00C462A0">
              <w:rPr>
                <w:b w:val="0"/>
                <w:bCs w:val="0"/>
              </w:rPr>
              <w:fldChar w:fldCharType="end"/>
            </w:r>
            <w:r w:rsidRPr="00C462A0">
              <w:rPr>
                <w:b w:val="0"/>
                <w:bCs w:val="0"/>
              </w:rPr>
              <w:t>. Examples of confidentiality, integrity, and availability risks in energy and ESG data systems, including data breaches, sensor tampering, and service disruptions (source: Author)</w:t>
            </w:r>
            <w:bookmarkEnd w:id="12"/>
          </w:p>
          <w:p w14:paraId="6DEC38A4" w14:textId="77777777" w:rsidR="001243BF" w:rsidRPr="00C462A0" w:rsidRDefault="001243BF" w:rsidP="00980D68">
            <w:pPr>
              <w:spacing w:after="160" w:line="276" w:lineRule="auto"/>
              <w:jc w:val="both"/>
              <w:rPr>
                <w:rFonts w:cstheme="minorHAnsi"/>
                <w:b/>
                <w:bCs/>
                <w:color w:val="00AC4E" w:themeColor="accent1"/>
                <w:szCs w:val="20"/>
                <w:u w:val="single"/>
              </w:rPr>
            </w:pPr>
          </w:p>
          <w:p w14:paraId="1D94E633" w14:textId="5CB2A0D2" w:rsidR="00501D43" w:rsidRPr="00501D43" w:rsidRDefault="00501D43" w:rsidP="00501D43">
            <w:pPr>
              <w:jc w:val="both"/>
              <w:rPr>
                <w:i/>
                <w:iCs/>
              </w:rPr>
            </w:pPr>
            <w:r w:rsidRPr="00501D43">
              <w:rPr>
                <w:i/>
                <w:iCs/>
              </w:rPr>
              <w:t>Th</w:t>
            </w:r>
            <w:r>
              <w:rPr>
                <w:i/>
                <w:iCs/>
              </w:rPr>
              <w:t xml:space="preserve">e </w:t>
            </w:r>
            <w:r w:rsidRPr="00501D43">
              <w:rPr>
                <w:i/>
                <w:iCs/>
              </w:rPr>
              <w:t>image</w:t>
            </w:r>
            <w:r>
              <w:rPr>
                <w:i/>
                <w:iCs/>
              </w:rPr>
              <w:t xml:space="preserve"> above</w:t>
            </w:r>
            <w:r w:rsidRPr="00501D43">
              <w:rPr>
                <w:i/>
                <w:iCs/>
              </w:rPr>
              <w:t xml:space="preserve"> illustrates the CIA triad of cybersecurity (Confidentiality, Integrity, and Availability) applied to energy sector risks.</w:t>
            </w:r>
          </w:p>
          <w:p w14:paraId="744FFC07" w14:textId="77777777" w:rsidR="00501D43" w:rsidRPr="00501D43" w:rsidRDefault="00501D43" w:rsidP="00501D43">
            <w:pPr>
              <w:pStyle w:val="ListParagraph"/>
              <w:numPr>
                <w:ilvl w:val="0"/>
                <w:numId w:val="424"/>
              </w:numPr>
              <w:jc w:val="both"/>
              <w:rPr>
                <w:i/>
                <w:iCs/>
              </w:rPr>
            </w:pPr>
            <w:r w:rsidRPr="00501D43">
              <w:rPr>
                <w:i/>
                <w:iCs/>
              </w:rPr>
              <w:t>Confidentiality: Risks include data breaches, leaked reports, and exposed supply chain secrets.</w:t>
            </w:r>
          </w:p>
          <w:p w14:paraId="3B84A004" w14:textId="77777777" w:rsidR="00501D43" w:rsidRPr="00501D43" w:rsidRDefault="00501D43" w:rsidP="00501D43">
            <w:pPr>
              <w:pStyle w:val="ListParagraph"/>
              <w:numPr>
                <w:ilvl w:val="0"/>
                <w:numId w:val="424"/>
              </w:numPr>
              <w:jc w:val="both"/>
              <w:rPr>
                <w:i/>
                <w:iCs/>
              </w:rPr>
            </w:pPr>
            <w:r w:rsidRPr="00501D43">
              <w:rPr>
                <w:i/>
                <w:iCs/>
              </w:rPr>
              <w:t>Integrity: Threats involve tampering with smart grids, altering sensors, and falsifying sustainability metrics.</w:t>
            </w:r>
          </w:p>
          <w:p w14:paraId="41A9B3F4" w14:textId="69FB7C83" w:rsidR="00C462A0" w:rsidRPr="00501D43" w:rsidRDefault="00501D43" w:rsidP="00501D43">
            <w:pPr>
              <w:pStyle w:val="ListParagraph"/>
              <w:numPr>
                <w:ilvl w:val="0"/>
                <w:numId w:val="424"/>
              </w:numPr>
              <w:jc w:val="both"/>
              <w:rPr>
                <w:i/>
                <w:iCs/>
              </w:rPr>
            </w:pPr>
            <w:r w:rsidRPr="00501D43">
              <w:rPr>
                <w:i/>
                <w:iCs/>
              </w:rPr>
              <w:t>Availability: Potential disruptions include DDoS attacks on dashboards and outages at solar or wind farms.</w:t>
            </w:r>
          </w:p>
          <w:p w14:paraId="34983FDA" w14:textId="77777777" w:rsidR="00C462A0" w:rsidRPr="00C462A0" w:rsidRDefault="00C462A0" w:rsidP="00980D68">
            <w:pPr>
              <w:spacing w:after="160" w:line="276" w:lineRule="auto"/>
              <w:jc w:val="both"/>
              <w:rPr>
                <w:rFonts w:cstheme="minorHAnsi"/>
                <w:b/>
                <w:bCs/>
                <w:color w:val="00AC4E" w:themeColor="accent1"/>
                <w:szCs w:val="20"/>
                <w:u w:val="single"/>
              </w:rPr>
            </w:pPr>
          </w:p>
          <w:p w14:paraId="13068807" w14:textId="27186520" w:rsidR="00736E55" w:rsidRPr="00C462A0" w:rsidRDefault="00531361" w:rsidP="00C462A0">
            <w:pPr>
              <w:spacing w:line="276" w:lineRule="auto"/>
              <w:jc w:val="both"/>
              <w:rPr>
                <w:rFonts w:cstheme="minorHAnsi"/>
                <w:b/>
                <w:color w:val="00AC4E" w:themeColor="accent1"/>
                <w:szCs w:val="20"/>
                <w:u w:val="single"/>
              </w:rPr>
            </w:pPr>
            <w:r w:rsidRPr="00C462A0">
              <w:rPr>
                <w:rFonts w:cstheme="minorHAnsi"/>
                <w:b/>
                <w:bCs/>
                <w:color w:val="00AC4E" w:themeColor="accent1"/>
                <w:szCs w:val="20"/>
                <w:u w:val="single"/>
              </w:rPr>
              <w:t>Micro-activity</w:t>
            </w:r>
            <w:r w:rsidRPr="00C462A0">
              <w:rPr>
                <w:rFonts w:cstheme="minorHAnsi"/>
                <w:b/>
                <w:color w:val="00AC4E" w:themeColor="accent1"/>
                <w:szCs w:val="20"/>
                <w:u w:val="single"/>
              </w:rPr>
              <w:t xml:space="preserve">: </w:t>
            </w:r>
          </w:p>
          <w:p w14:paraId="6B57CEDD" w14:textId="77777777" w:rsidR="001243BF" w:rsidRPr="00C462A0" w:rsidRDefault="001243BF" w:rsidP="001243BF">
            <w:pPr>
              <w:rPr>
                <w:rFonts w:ascii="Poppins" w:hAnsi="Poppins" w:cs="Poppins"/>
                <w:szCs w:val="20"/>
              </w:rPr>
            </w:pPr>
            <w:r w:rsidRPr="00C462A0">
              <w:rPr>
                <w:rFonts w:ascii="Poppins" w:hAnsi="Poppins" w:cs="Poppins"/>
                <w:b/>
                <w:bCs/>
                <w:szCs w:val="20"/>
              </w:rPr>
              <w:t>CIA Mapping Exercise</w:t>
            </w:r>
          </w:p>
          <w:p w14:paraId="22A7D52B" w14:textId="77777777" w:rsidR="001243BF" w:rsidRPr="00C462A0" w:rsidRDefault="001243BF" w:rsidP="001243BF">
            <w:pPr>
              <w:rPr>
                <w:rFonts w:ascii="Poppins" w:hAnsi="Poppins" w:cs="Poppins"/>
                <w:szCs w:val="20"/>
              </w:rPr>
            </w:pPr>
            <w:r w:rsidRPr="00C462A0">
              <w:rPr>
                <w:rFonts w:ascii="Poppins" w:hAnsi="Poppins" w:cs="Poppins"/>
                <w:szCs w:val="20"/>
              </w:rPr>
              <w:t>Choose one of the following sustainable systems:</w:t>
            </w:r>
          </w:p>
          <w:p w14:paraId="1BA9A738" w14:textId="77777777" w:rsidR="001243BF" w:rsidRPr="00C462A0" w:rsidRDefault="001243BF" w:rsidP="001243BF">
            <w:pPr>
              <w:numPr>
                <w:ilvl w:val="0"/>
                <w:numId w:val="181"/>
              </w:numPr>
              <w:rPr>
                <w:rFonts w:ascii="Poppins" w:hAnsi="Poppins" w:cs="Poppins"/>
                <w:szCs w:val="20"/>
              </w:rPr>
            </w:pPr>
            <w:r w:rsidRPr="00C462A0">
              <w:rPr>
                <w:rFonts w:ascii="Poppins" w:hAnsi="Poppins" w:cs="Poppins"/>
                <w:szCs w:val="20"/>
              </w:rPr>
              <w:t>Smart building energy management system</w:t>
            </w:r>
          </w:p>
          <w:p w14:paraId="5680C597" w14:textId="77777777" w:rsidR="001243BF" w:rsidRPr="00C462A0" w:rsidRDefault="001243BF" w:rsidP="001243BF">
            <w:pPr>
              <w:numPr>
                <w:ilvl w:val="0"/>
                <w:numId w:val="181"/>
              </w:numPr>
              <w:rPr>
                <w:rFonts w:ascii="Poppins" w:hAnsi="Poppins" w:cs="Poppins"/>
                <w:szCs w:val="20"/>
              </w:rPr>
            </w:pPr>
            <w:r w:rsidRPr="00C462A0">
              <w:rPr>
                <w:rFonts w:ascii="Poppins" w:hAnsi="Poppins" w:cs="Poppins"/>
                <w:szCs w:val="20"/>
              </w:rPr>
              <w:t>IoT-based environmental monitoring platform</w:t>
            </w:r>
          </w:p>
          <w:p w14:paraId="411DDC55" w14:textId="32E99525" w:rsidR="00C462A0" w:rsidRPr="00C462A0" w:rsidRDefault="001243BF" w:rsidP="00C462A0">
            <w:pPr>
              <w:numPr>
                <w:ilvl w:val="0"/>
                <w:numId w:val="181"/>
              </w:numPr>
              <w:rPr>
                <w:rFonts w:ascii="Poppins" w:hAnsi="Poppins" w:cs="Poppins"/>
                <w:szCs w:val="20"/>
              </w:rPr>
            </w:pPr>
            <w:r w:rsidRPr="00C462A0">
              <w:rPr>
                <w:rFonts w:ascii="Poppins" w:hAnsi="Poppins" w:cs="Poppins"/>
                <w:szCs w:val="20"/>
              </w:rPr>
              <w:t>ESG data reporting portal.</w:t>
            </w:r>
          </w:p>
          <w:p w14:paraId="2BC0DB25" w14:textId="5C3A5F37" w:rsidR="00531361" w:rsidRPr="00C462A0" w:rsidRDefault="009E2B70" w:rsidP="001243BF">
            <w:pPr>
              <w:spacing w:line="276" w:lineRule="auto"/>
              <w:jc w:val="both"/>
              <w:rPr>
                <w:rFonts w:cstheme="minorHAnsi"/>
                <w:b/>
                <w:bCs/>
                <w:szCs w:val="20"/>
              </w:rPr>
            </w:pPr>
            <w:r w:rsidRPr="00C462A0">
              <w:rPr>
                <w:rFonts w:cstheme="minorHAnsi"/>
                <w:b/>
                <w:bCs/>
                <w:szCs w:val="20"/>
              </w:rPr>
              <w:t>Learner</w:t>
            </w:r>
            <w:r w:rsidR="00531361" w:rsidRPr="00C462A0">
              <w:rPr>
                <w:rFonts w:cstheme="minorHAnsi"/>
                <w:b/>
                <w:bCs/>
                <w:szCs w:val="20"/>
              </w:rPr>
              <w:t xml:space="preserve"> task</w:t>
            </w:r>
            <w:r w:rsidR="00B84450" w:rsidRPr="00C462A0">
              <w:rPr>
                <w:rFonts w:cstheme="minorHAnsi"/>
                <w:b/>
                <w:bCs/>
                <w:szCs w:val="20"/>
              </w:rPr>
              <w:t>:</w:t>
            </w:r>
          </w:p>
          <w:p w14:paraId="18B9F181" w14:textId="77777777" w:rsidR="001243BF" w:rsidRPr="00C462A0" w:rsidRDefault="001243BF" w:rsidP="001243BF">
            <w:pPr>
              <w:numPr>
                <w:ilvl w:val="0"/>
                <w:numId w:val="182"/>
              </w:numPr>
              <w:rPr>
                <w:rFonts w:ascii="Poppins" w:hAnsi="Poppins" w:cs="Poppins"/>
                <w:szCs w:val="20"/>
              </w:rPr>
            </w:pPr>
            <w:r w:rsidRPr="00C462A0">
              <w:rPr>
                <w:rFonts w:ascii="Poppins" w:hAnsi="Poppins" w:cs="Poppins"/>
                <w:szCs w:val="20"/>
              </w:rPr>
              <w:t>Identify three key assets.</w:t>
            </w:r>
          </w:p>
          <w:p w14:paraId="30729C29" w14:textId="77777777" w:rsidR="001243BF" w:rsidRPr="00C462A0" w:rsidRDefault="001243BF" w:rsidP="001243BF">
            <w:pPr>
              <w:numPr>
                <w:ilvl w:val="0"/>
                <w:numId w:val="182"/>
              </w:numPr>
              <w:rPr>
                <w:rFonts w:ascii="Poppins" w:hAnsi="Poppins" w:cs="Poppins"/>
                <w:szCs w:val="20"/>
              </w:rPr>
            </w:pPr>
            <w:r w:rsidRPr="00C462A0">
              <w:rPr>
                <w:rFonts w:ascii="Poppins" w:hAnsi="Poppins" w:cs="Poppins"/>
                <w:szCs w:val="20"/>
              </w:rPr>
              <w:t>Assign a primary CIA objective to each asset.</w:t>
            </w:r>
          </w:p>
          <w:p w14:paraId="37DD9082" w14:textId="77777777" w:rsidR="001243BF" w:rsidRPr="00C462A0" w:rsidRDefault="001243BF" w:rsidP="001243BF">
            <w:pPr>
              <w:numPr>
                <w:ilvl w:val="0"/>
                <w:numId w:val="182"/>
              </w:numPr>
              <w:rPr>
                <w:rFonts w:ascii="Poppins" w:hAnsi="Poppins" w:cs="Poppins"/>
                <w:szCs w:val="20"/>
              </w:rPr>
            </w:pPr>
            <w:r w:rsidRPr="00C462A0">
              <w:rPr>
                <w:rFonts w:ascii="Poppins" w:hAnsi="Poppins" w:cs="Poppins"/>
                <w:szCs w:val="20"/>
              </w:rPr>
              <w:t>Justify your selection in 2–3 sentences.</w:t>
            </w:r>
          </w:p>
          <w:p w14:paraId="0E9378EF" w14:textId="4FD64F15" w:rsidR="00531361" w:rsidRPr="00C462A0" w:rsidRDefault="001243BF" w:rsidP="00C462A0">
            <w:pPr>
              <w:rPr>
                <w:rFonts w:ascii="Poppins" w:hAnsi="Poppins" w:cs="Poppins"/>
                <w:szCs w:val="20"/>
              </w:rPr>
            </w:pPr>
            <w:r w:rsidRPr="00C462A0">
              <w:rPr>
                <w:rFonts w:ascii="Poppins" w:hAnsi="Poppins" w:cs="Poppins"/>
                <w:szCs w:val="20"/>
              </w:rPr>
              <w:t>Reflect: Which objective appears most critical in your example and why?</w:t>
            </w:r>
          </w:p>
          <w:p w14:paraId="79E2EDE5" w14:textId="77777777" w:rsidR="00BB1CD7" w:rsidRDefault="00BB1CD7" w:rsidP="00BB1CD7">
            <w:pPr>
              <w:spacing w:line="276" w:lineRule="auto"/>
              <w:ind w:left="1069"/>
              <w:jc w:val="both"/>
              <w:rPr>
                <w:rFonts w:cstheme="minorHAnsi"/>
                <w:szCs w:val="20"/>
              </w:rPr>
            </w:pPr>
          </w:p>
          <w:p w14:paraId="322A0763" w14:textId="77777777" w:rsidR="00243017" w:rsidRDefault="00243017" w:rsidP="00BB1CD7">
            <w:pPr>
              <w:spacing w:line="276" w:lineRule="auto"/>
              <w:ind w:left="1069"/>
              <w:jc w:val="both"/>
              <w:rPr>
                <w:rFonts w:cstheme="minorHAnsi"/>
                <w:szCs w:val="20"/>
              </w:rPr>
            </w:pPr>
          </w:p>
          <w:p w14:paraId="346CF65A" w14:textId="77777777" w:rsidR="00243017" w:rsidRDefault="00243017" w:rsidP="00BB1CD7">
            <w:pPr>
              <w:spacing w:line="276" w:lineRule="auto"/>
              <w:ind w:left="1069"/>
              <w:jc w:val="both"/>
              <w:rPr>
                <w:rFonts w:cstheme="minorHAnsi"/>
                <w:szCs w:val="20"/>
              </w:rPr>
            </w:pPr>
          </w:p>
          <w:p w14:paraId="0100C4B0" w14:textId="77777777" w:rsidR="00243017" w:rsidRPr="00C462A0" w:rsidRDefault="00243017" w:rsidP="00BB1CD7">
            <w:pPr>
              <w:spacing w:line="276" w:lineRule="auto"/>
              <w:ind w:left="1069"/>
              <w:jc w:val="both"/>
              <w:rPr>
                <w:rFonts w:cstheme="minorHAnsi"/>
                <w:szCs w:val="20"/>
              </w:rPr>
            </w:pPr>
          </w:p>
          <w:p w14:paraId="4A932597" w14:textId="2BABB827" w:rsidR="00531361" w:rsidRPr="00C462A0" w:rsidRDefault="00531361" w:rsidP="00C462A0">
            <w:pPr>
              <w:spacing w:line="276" w:lineRule="auto"/>
              <w:jc w:val="both"/>
              <w:rPr>
                <w:rFonts w:cstheme="minorHAnsi"/>
                <w:color w:val="00AC4E" w:themeColor="accent1"/>
                <w:szCs w:val="20"/>
              </w:rPr>
            </w:pPr>
            <w:r w:rsidRPr="00C462A0">
              <w:rPr>
                <w:rFonts w:cstheme="minorHAnsi"/>
                <w:b/>
                <w:color w:val="00AC4E" w:themeColor="accent1"/>
                <w:szCs w:val="20"/>
              </w:rPr>
              <w:lastRenderedPageBreak/>
              <w:t xml:space="preserve">Additional </w:t>
            </w:r>
            <w:r w:rsidR="00B84450" w:rsidRPr="00C462A0">
              <w:rPr>
                <w:rFonts w:cstheme="minorHAnsi"/>
                <w:b/>
                <w:color w:val="00AC4E" w:themeColor="accent1"/>
                <w:szCs w:val="20"/>
              </w:rPr>
              <w:t>resources</w:t>
            </w:r>
            <w:r w:rsidRPr="00C462A0">
              <w:rPr>
                <w:rFonts w:cstheme="minorHAnsi"/>
                <w:b/>
                <w:color w:val="00AC4E" w:themeColor="accent1"/>
                <w:szCs w:val="20"/>
              </w:rPr>
              <w:t xml:space="preserve">: </w:t>
            </w:r>
          </w:p>
          <w:p w14:paraId="54A41DDF" w14:textId="2550FC64" w:rsidR="00B436EA" w:rsidRPr="00C462A0" w:rsidRDefault="00B436EA" w:rsidP="00B436EA">
            <w:pPr>
              <w:pStyle w:val="ListParagraph"/>
              <w:numPr>
                <w:ilvl w:val="0"/>
                <w:numId w:val="183"/>
              </w:numPr>
              <w:rPr>
                <w:color w:val="00AC4E" w:themeColor="accent1"/>
                <w:sz w:val="22"/>
                <w:szCs w:val="22"/>
              </w:rPr>
            </w:pPr>
            <w:hyperlink r:id="rId19" w:history="1">
              <w:r w:rsidRPr="00C462A0">
                <w:rPr>
                  <w:rStyle w:val="Hyperlink"/>
                  <w:color w:val="00AC4E" w:themeColor="accent1"/>
                  <w:sz w:val="22"/>
                  <w:szCs w:val="22"/>
                </w:rPr>
                <w:t>ENISA – Information Security Principles and Good Practices</w:t>
              </w:r>
            </w:hyperlink>
            <w:r w:rsidRPr="00C462A0">
              <w:rPr>
                <w:color w:val="00AC4E" w:themeColor="accent1"/>
                <w:sz w:val="22"/>
                <w:szCs w:val="22"/>
              </w:rPr>
              <w:t xml:space="preserve"> </w:t>
            </w:r>
          </w:p>
          <w:p w14:paraId="1288FCC4" w14:textId="77777777" w:rsidR="00B436EA" w:rsidRPr="00C462A0" w:rsidRDefault="00B436EA" w:rsidP="00B436EA">
            <w:pPr>
              <w:pStyle w:val="ListParagraph"/>
              <w:numPr>
                <w:ilvl w:val="0"/>
                <w:numId w:val="183"/>
              </w:numPr>
              <w:rPr>
                <w:color w:val="00AC4E" w:themeColor="accent1"/>
                <w:sz w:val="22"/>
                <w:szCs w:val="22"/>
              </w:rPr>
            </w:pPr>
            <w:hyperlink r:id="rId20" w:history="1">
              <w:r w:rsidRPr="00C462A0">
                <w:rPr>
                  <w:rStyle w:val="Hyperlink"/>
                  <w:color w:val="00AC4E" w:themeColor="accent1"/>
                  <w:sz w:val="22"/>
                  <w:szCs w:val="22"/>
                </w:rPr>
                <w:t>NIST FIPS 199 – Standards for Security Categorisation of Federal Information and Information Systems</w:t>
              </w:r>
            </w:hyperlink>
          </w:p>
          <w:p w14:paraId="3B554AB3" w14:textId="5D28299E" w:rsidR="00B436EA" w:rsidRPr="00C462A0" w:rsidRDefault="00B436EA" w:rsidP="00B436EA">
            <w:pPr>
              <w:pStyle w:val="ListParagraph"/>
              <w:numPr>
                <w:ilvl w:val="0"/>
                <w:numId w:val="183"/>
              </w:numPr>
              <w:rPr>
                <w:color w:val="00AC4E" w:themeColor="accent1"/>
                <w:sz w:val="22"/>
                <w:szCs w:val="22"/>
              </w:rPr>
            </w:pPr>
            <w:hyperlink r:id="rId21" w:history="1">
              <w:r w:rsidRPr="00C462A0">
                <w:rPr>
                  <w:rStyle w:val="Hyperlink"/>
                  <w:color w:val="00AC4E" w:themeColor="accent1"/>
                  <w:sz w:val="22"/>
                  <w:szCs w:val="22"/>
                </w:rPr>
                <w:t>Confidentiality Integrity Availability (CIA Triad) in Sustainability Context</w:t>
              </w:r>
            </w:hyperlink>
            <w:r w:rsidRPr="00C462A0">
              <w:rPr>
                <w:color w:val="00AC4E" w:themeColor="accent1"/>
                <w:sz w:val="22"/>
                <w:szCs w:val="22"/>
              </w:rPr>
              <w:t xml:space="preserve"> </w:t>
            </w:r>
            <w:hyperlink r:id="rId22" w:tooltip="https://pollution.sustainability-directory.com/term/confidentiality-integrity-availability/" w:history="1"/>
            <w:r w:rsidRPr="00C462A0">
              <w:rPr>
                <w:color w:val="00AC4E" w:themeColor="accent1"/>
              </w:rPr>
              <w:t xml:space="preserve"> .</w:t>
            </w:r>
          </w:p>
          <w:p w14:paraId="44E1B574" w14:textId="77777777" w:rsidR="00B436EA" w:rsidRPr="00C462A0" w:rsidRDefault="00B436EA" w:rsidP="00B436EA">
            <w:pPr>
              <w:pStyle w:val="ListParagraph"/>
              <w:rPr>
                <w:sz w:val="22"/>
                <w:szCs w:val="22"/>
              </w:rPr>
            </w:pPr>
          </w:p>
          <w:p w14:paraId="50D9B651" w14:textId="1A1539C0" w:rsidR="00531361" w:rsidRPr="00C462A0" w:rsidRDefault="00531361" w:rsidP="00C462A0">
            <w:pPr>
              <w:spacing w:line="276" w:lineRule="auto"/>
              <w:jc w:val="both"/>
              <w:rPr>
                <w:rFonts w:cstheme="minorHAnsi"/>
                <w:b/>
                <w:color w:val="00AC4E" w:themeColor="accent1"/>
                <w:szCs w:val="20"/>
              </w:rPr>
            </w:pPr>
            <w:r w:rsidRPr="00C462A0">
              <w:rPr>
                <w:rFonts w:cstheme="minorHAnsi"/>
                <w:b/>
                <w:color w:val="00AC4E" w:themeColor="accent1"/>
                <w:szCs w:val="20"/>
              </w:rPr>
              <w:t>Key Takeaways</w:t>
            </w:r>
            <w:r w:rsidR="009E2B70" w:rsidRPr="00C462A0">
              <w:rPr>
                <w:rFonts w:cstheme="minorHAnsi"/>
                <w:b/>
                <w:color w:val="00AC4E" w:themeColor="accent1"/>
                <w:szCs w:val="20"/>
              </w:rPr>
              <w:t>:</w:t>
            </w:r>
          </w:p>
          <w:p w14:paraId="08666E78" w14:textId="77777777" w:rsidR="00B436EA" w:rsidRPr="00C462A0" w:rsidRDefault="00B436EA" w:rsidP="00B436EA">
            <w:pPr>
              <w:pStyle w:val="ListParagraph"/>
              <w:numPr>
                <w:ilvl w:val="0"/>
                <w:numId w:val="184"/>
              </w:numPr>
              <w:jc w:val="both"/>
              <w:rPr>
                <w:szCs w:val="20"/>
              </w:rPr>
            </w:pPr>
            <w:r w:rsidRPr="00C462A0">
              <w:rPr>
                <w:szCs w:val="20"/>
              </w:rPr>
              <w:t>The CIA Triad defines the three core objectives of cybersecurity: Confidentiality, Integrity, and Availability.</w:t>
            </w:r>
          </w:p>
          <w:p w14:paraId="5CA8B840" w14:textId="77777777" w:rsidR="00B436EA" w:rsidRPr="00C462A0" w:rsidRDefault="00B436EA" w:rsidP="00B436EA">
            <w:pPr>
              <w:pStyle w:val="ListParagraph"/>
              <w:numPr>
                <w:ilvl w:val="0"/>
                <w:numId w:val="184"/>
              </w:numPr>
              <w:jc w:val="both"/>
              <w:rPr>
                <w:szCs w:val="20"/>
              </w:rPr>
            </w:pPr>
            <w:r w:rsidRPr="00C462A0">
              <w:rPr>
                <w:szCs w:val="20"/>
              </w:rPr>
              <w:t>Sustainable digital infrastructures rely on all three to maintain operational stability and meet compliance requirements.</w:t>
            </w:r>
          </w:p>
          <w:p w14:paraId="4FB1541A" w14:textId="77777777" w:rsidR="00B436EA" w:rsidRPr="00C462A0" w:rsidRDefault="00B436EA" w:rsidP="00B436EA">
            <w:pPr>
              <w:pStyle w:val="ListParagraph"/>
              <w:numPr>
                <w:ilvl w:val="0"/>
                <w:numId w:val="184"/>
              </w:numPr>
              <w:jc w:val="both"/>
              <w:rPr>
                <w:szCs w:val="20"/>
              </w:rPr>
            </w:pPr>
            <w:r w:rsidRPr="00C462A0">
              <w:rPr>
                <w:szCs w:val="20"/>
              </w:rPr>
              <w:t>Mapping systems against the CIA framework is the starting point for structured cyber risk analysis.</w:t>
            </w:r>
          </w:p>
          <w:p w14:paraId="60F45604" w14:textId="77777777" w:rsidR="00B436EA" w:rsidRPr="00C462A0" w:rsidRDefault="00B436EA" w:rsidP="00B436EA">
            <w:pPr>
              <w:pStyle w:val="ListParagraph"/>
              <w:numPr>
                <w:ilvl w:val="0"/>
                <w:numId w:val="184"/>
              </w:numPr>
              <w:jc w:val="both"/>
              <w:rPr>
                <w:szCs w:val="20"/>
              </w:rPr>
            </w:pPr>
            <w:r w:rsidRPr="00C462A0">
              <w:rPr>
                <w:szCs w:val="20"/>
              </w:rPr>
              <w:t>Each asset carries its own priority within the triad.</w:t>
            </w:r>
          </w:p>
          <w:p w14:paraId="4E41F0CD" w14:textId="13CA7CC6" w:rsidR="00B84450" w:rsidRPr="00C462A0" w:rsidRDefault="00B436EA" w:rsidP="00B436EA">
            <w:pPr>
              <w:spacing w:line="276" w:lineRule="auto"/>
              <w:ind w:left="720"/>
              <w:jc w:val="both"/>
              <w:rPr>
                <w:rFonts w:cstheme="minorHAnsi"/>
                <w:sz w:val="18"/>
                <w:szCs w:val="18"/>
              </w:rPr>
            </w:pPr>
            <w:r w:rsidRPr="00C462A0">
              <w:rPr>
                <w:szCs w:val="20"/>
              </w:rPr>
              <w:t>Threat modelling and control selection ultimately rest on this foundation.</w:t>
            </w:r>
          </w:p>
          <w:p w14:paraId="109A7FB9" w14:textId="77777777" w:rsidR="00B436EA" w:rsidRPr="00C462A0" w:rsidRDefault="00B436EA" w:rsidP="00980D68">
            <w:pPr>
              <w:spacing w:line="276" w:lineRule="auto"/>
              <w:jc w:val="both"/>
              <w:rPr>
                <w:rFonts w:cstheme="minorHAnsi"/>
                <w:b/>
                <w:color w:val="00AC4E" w:themeColor="accent1"/>
                <w:szCs w:val="20"/>
              </w:rPr>
            </w:pPr>
          </w:p>
          <w:p w14:paraId="0DB33A23" w14:textId="7E1BEE86" w:rsidR="00B84450" w:rsidRPr="00C462A0" w:rsidRDefault="00531361" w:rsidP="00980D68">
            <w:pPr>
              <w:spacing w:line="276" w:lineRule="auto"/>
              <w:jc w:val="both"/>
              <w:rPr>
                <w:rFonts w:cstheme="minorHAnsi"/>
                <w:b/>
                <w:bCs/>
                <w:color w:val="00AC4E" w:themeColor="accent1"/>
                <w:szCs w:val="20"/>
              </w:rPr>
            </w:pPr>
            <w:r w:rsidRPr="00C462A0">
              <w:rPr>
                <w:rFonts w:cstheme="minorHAnsi"/>
                <w:b/>
                <w:color w:val="00AC4E" w:themeColor="accent1"/>
                <w:szCs w:val="20"/>
              </w:rPr>
              <w:t xml:space="preserve">Quick Check: </w:t>
            </w:r>
          </w:p>
          <w:p w14:paraId="2075C141" w14:textId="0A9B46C3" w:rsidR="00B436EA" w:rsidRPr="00C462A0" w:rsidRDefault="00B436EA" w:rsidP="00C462A0">
            <w:pPr>
              <w:pStyle w:val="ListParagraph"/>
              <w:numPr>
                <w:ilvl w:val="1"/>
                <w:numId w:val="182"/>
              </w:numPr>
              <w:spacing w:line="276" w:lineRule="auto"/>
              <w:ind w:left="360"/>
              <w:rPr>
                <w:rFonts w:cstheme="minorHAnsi"/>
                <w:color w:val="009889" w:themeColor="accent2"/>
                <w:szCs w:val="20"/>
              </w:rPr>
            </w:pPr>
            <w:r w:rsidRPr="00C462A0">
              <w:rPr>
                <w:rFonts w:cstheme="minorHAnsi"/>
                <w:color w:val="009889" w:themeColor="accent2"/>
                <w:szCs w:val="20"/>
              </w:rPr>
              <w:t>True or False: The CIA Triad focuses only on preventing external cyberattacks</w:t>
            </w:r>
            <w:r w:rsidR="00C462A0" w:rsidRPr="00C462A0">
              <w:rPr>
                <w:rFonts w:cstheme="minorHAnsi"/>
                <w:color w:val="009889" w:themeColor="accent2"/>
                <w:szCs w:val="20"/>
              </w:rPr>
              <w:t>.</w:t>
            </w:r>
          </w:p>
          <w:p w14:paraId="4DA5A28F" w14:textId="77777777" w:rsidR="00C462A0" w:rsidRPr="00C462A0" w:rsidRDefault="00C462A0" w:rsidP="00C462A0">
            <w:pPr>
              <w:pStyle w:val="ListParagraph"/>
              <w:spacing w:line="276" w:lineRule="auto"/>
              <w:ind w:left="360"/>
              <w:rPr>
                <w:rFonts w:cstheme="minorHAnsi"/>
                <w:color w:val="009889" w:themeColor="accent2"/>
                <w:szCs w:val="20"/>
              </w:rPr>
            </w:pPr>
          </w:p>
          <w:p w14:paraId="19E016BC" w14:textId="77777777" w:rsidR="00B436EA" w:rsidRPr="00C462A0" w:rsidRDefault="00B436EA" w:rsidP="00C462A0">
            <w:pPr>
              <w:pStyle w:val="ListParagraph"/>
              <w:numPr>
                <w:ilvl w:val="1"/>
                <w:numId w:val="182"/>
              </w:numPr>
              <w:spacing w:before="240" w:line="276" w:lineRule="auto"/>
              <w:ind w:left="360"/>
              <w:rPr>
                <w:rFonts w:cstheme="minorHAnsi"/>
                <w:color w:val="009889" w:themeColor="accent2"/>
                <w:szCs w:val="20"/>
              </w:rPr>
            </w:pPr>
            <w:r w:rsidRPr="00C462A0">
              <w:rPr>
                <w:color w:val="009889" w:themeColor="accent2"/>
                <w:sz w:val="22"/>
                <w:szCs w:val="22"/>
              </w:rPr>
              <w:t xml:space="preserve">Which objective ensures that smart grid measurement data cannot be modified without authorisation? </w:t>
            </w:r>
          </w:p>
          <w:p w14:paraId="3065EC25" w14:textId="77777777" w:rsidR="00B436EA" w:rsidRPr="00C462A0" w:rsidRDefault="00B436EA" w:rsidP="00B436EA">
            <w:pPr>
              <w:pStyle w:val="ListParagraph"/>
              <w:spacing w:line="276" w:lineRule="auto"/>
              <w:ind w:left="360"/>
              <w:rPr>
                <w:rFonts w:cstheme="minorHAnsi"/>
                <w:szCs w:val="20"/>
              </w:rPr>
            </w:pPr>
            <w:r w:rsidRPr="00C462A0">
              <w:rPr>
                <w:rFonts w:cstheme="minorHAnsi"/>
                <w:szCs w:val="20"/>
              </w:rPr>
              <w:t>a) Confidentiality</w:t>
            </w:r>
          </w:p>
          <w:p w14:paraId="51211A89" w14:textId="77777777" w:rsidR="00B436EA" w:rsidRPr="00C462A0" w:rsidRDefault="00B436EA" w:rsidP="00B436EA">
            <w:pPr>
              <w:pStyle w:val="ListParagraph"/>
              <w:spacing w:line="276" w:lineRule="auto"/>
              <w:ind w:left="360"/>
              <w:rPr>
                <w:rFonts w:cstheme="minorHAnsi"/>
                <w:szCs w:val="20"/>
              </w:rPr>
            </w:pPr>
            <w:r w:rsidRPr="00C462A0">
              <w:rPr>
                <w:rFonts w:cstheme="minorHAnsi"/>
                <w:szCs w:val="20"/>
              </w:rPr>
              <w:t>b) Integrity</w:t>
            </w:r>
          </w:p>
          <w:p w14:paraId="48313AE2" w14:textId="60839C66" w:rsidR="00B436EA" w:rsidRPr="00C462A0" w:rsidRDefault="00B436EA" w:rsidP="00B436EA">
            <w:pPr>
              <w:pStyle w:val="ListParagraph"/>
              <w:spacing w:line="276" w:lineRule="auto"/>
              <w:ind w:left="360"/>
              <w:rPr>
                <w:rFonts w:cstheme="minorHAnsi"/>
                <w:szCs w:val="20"/>
              </w:rPr>
            </w:pPr>
            <w:r w:rsidRPr="00C462A0">
              <w:rPr>
                <w:rFonts w:cstheme="minorHAnsi"/>
                <w:szCs w:val="20"/>
              </w:rPr>
              <w:t>c) Availability.</w:t>
            </w:r>
          </w:p>
          <w:p w14:paraId="79B8190C" w14:textId="77777777" w:rsidR="00B436EA" w:rsidRPr="00C462A0" w:rsidRDefault="00B436EA" w:rsidP="00B436EA">
            <w:pPr>
              <w:pStyle w:val="ListParagraph"/>
              <w:spacing w:line="276" w:lineRule="auto"/>
              <w:ind w:left="360"/>
              <w:rPr>
                <w:rFonts w:cstheme="minorHAnsi"/>
                <w:szCs w:val="20"/>
              </w:rPr>
            </w:pPr>
          </w:p>
          <w:p w14:paraId="19F07D03" w14:textId="77777777" w:rsidR="00B436EA" w:rsidRPr="00C462A0" w:rsidRDefault="00B436EA" w:rsidP="00B436EA">
            <w:pPr>
              <w:pStyle w:val="ListParagraph"/>
              <w:numPr>
                <w:ilvl w:val="1"/>
                <w:numId w:val="182"/>
              </w:numPr>
              <w:spacing w:line="276" w:lineRule="auto"/>
              <w:ind w:left="360"/>
              <w:rPr>
                <w:rFonts w:cstheme="minorHAnsi"/>
                <w:color w:val="009889" w:themeColor="accent2"/>
                <w:szCs w:val="20"/>
              </w:rPr>
            </w:pPr>
            <w:r w:rsidRPr="00C462A0">
              <w:rPr>
                <w:color w:val="009889" w:themeColor="accent2"/>
                <w:sz w:val="22"/>
                <w:szCs w:val="22"/>
              </w:rPr>
              <w:t xml:space="preserve">Which of the following primarily supports Availability? </w:t>
            </w:r>
          </w:p>
          <w:p w14:paraId="00146A6B" w14:textId="298407C3" w:rsidR="00531361" w:rsidRPr="00C462A0" w:rsidRDefault="00B436EA" w:rsidP="00C462A0">
            <w:pPr>
              <w:spacing w:line="276" w:lineRule="auto"/>
              <w:ind w:left="360"/>
              <w:rPr>
                <w:rFonts w:cstheme="minorHAnsi"/>
                <w:szCs w:val="20"/>
              </w:rPr>
            </w:pPr>
            <w:r w:rsidRPr="00C462A0">
              <w:rPr>
                <w:sz w:val="22"/>
                <w:szCs w:val="22"/>
              </w:rPr>
              <w:t>a) Encryption</w:t>
            </w:r>
            <w:r w:rsidRPr="00C462A0">
              <w:rPr>
                <w:sz w:val="22"/>
                <w:szCs w:val="22"/>
              </w:rPr>
              <w:br/>
              <w:t>b) Redundancy</w:t>
            </w:r>
            <w:r w:rsidRPr="00C462A0">
              <w:rPr>
                <w:sz w:val="22"/>
                <w:szCs w:val="22"/>
              </w:rPr>
              <w:br/>
              <w:t>c) Hashing.</w:t>
            </w:r>
          </w:p>
          <w:p w14:paraId="0161505C" w14:textId="0496BE47" w:rsidR="00B436EA" w:rsidRPr="00C462A0" w:rsidRDefault="00B436EA" w:rsidP="00B436EA">
            <w:pPr>
              <w:spacing w:line="276" w:lineRule="auto"/>
              <w:jc w:val="both"/>
              <w:rPr>
                <w:rFonts w:cstheme="minorHAnsi"/>
                <w:i/>
                <w:iCs/>
                <w:szCs w:val="20"/>
              </w:rPr>
            </w:pPr>
            <w:r w:rsidRPr="00C462A0">
              <w:rPr>
                <w:rFonts w:cstheme="minorHAnsi"/>
                <w:i/>
                <w:iCs/>
                <w:szCs w:val="20"/>
              </w:rPr>
              <w:t>Answer key: 1. False, 2. b), 2. b).</w:t>
            </w:r>
          </w:p>
        </w:tc>
      </w:tr>
    </w:tbl>
    <w:p w14:paraId="4C3EFC3E" w14:textId="77777777" w:rsidR="00501D43" w:rsidRDefault="00501D43">
      <w:r>
        <w:rPr>
          <w:iCs/>
        </w:rPr>
        <w:lastRenderedPageBreak/>
        <w:br w:type="page"/>
      </w:r>
    </w:p>
    <w:tbl>
      <w:tblPr>
        <w:tblStyle w:val="TableGrid"/>
        <w:tblW w:w="0" w:type="auto"/>
        <w:tblLook w:val="04A0" w:firstRow="1" w:lastRow="0" w:firstColumn="1" w:lastColumn="0" w:noHBand="0" w:noVBand="1"/>
      </w:tblPr>
      <w:tblGrid>
        <w:gridCol w:w="9628"/>
      </w:tblGrid>
      <w:tr w:rsidR="00B436EA" w:rsidRPr="00C462A0" w14:paraId="7325EE4C" w14:textId="77777777" w:rsidTr="00210B7E">
        <w:tc>
          <w:tcPr>
            <w:tcW w:w="9628" w:type="dxa"/>
          </w:tcPr>
          <w:p w14:paraId="52070A60" w14:textId="796C8ADB" w:rsidR="00B436EA" w:rsidRPr="00C462A0" w:rsidRDefault="00B436EA" w:rsidP="00210B7E">
            <w:pPr>
              <w:pStyle w:val="Heading2"/>
              <w:numPr>
                <w:ilvl w:val="0"/>
                <w:numId w:val="0"/>
              </w:numPr>
              <w:spacing w:before="0" w:line="276" w:lineRule="auto"/>
              <w:rPr>
                <w:rFonts w:cstheme="minorHAnsi"/>
                <w:b/>
                <w:bCs/>
                <w:szCs w:val="40"/>
              </w:rPr>
            </w:pPr>
            <w:bookmarkStart w:id="13" w:name="_Toc227623401"/>
            <w:r w:rsidRPr="00C462A0">
              <w:rPr>
                <w:rFonts w:cstheme="minorHAnsi"/>
                <w:b/>
                <w:bCs/>
                <w:szCs w:val="40"/>
              </w:rPr>
              <w:lastRenderedPageBreak/>
              <w:t>Topic 1.2: Modern and up-to-date Threat Landscape</w:t>
            </w:r>
            <w:bookmarkEnd w:id="13"/>
          </w:p>
        </w:tc>
      </w:tr>
      <w:tr w:rsidR="00B436EA" w:rsidRPr="00C462A0" w14:paraId="0ABC8EF8" w14:textId="77777777" w:rsidTr="00210B7E">
        <w:tc>
          <w:tcPr>
            <w:tcW w:w="9628" w:type="dxa"/>
            <w:shd w:val="clear" w:color="auto" w:fill="D9D9D9" w:themeFill="background1" w:themeFillShade="D9"/>
          </w:tcPr>
          <w:p w14:paraId="1133C941" w14:textId="77777777" w:rsidR="00B436EA" w:rsidRPr="00C462A0" w:rsidRDefault="00B436EA" w:rsidP="00210B7E">
            <w:pPr>
              <w:spacing w:line="276" w:lineRule="auto"/>
              <w:rPr>
                <w:rFonts w:cstheme="minorHAnsi"/>
                <w:b/>
                <w:szCs w:val="20"/>
              </w:rPr>
            </w:pPr>
            <w:r w:rsidRPr="00C462A0">
              <w:rPr>
                <w:rFonts w:cstheme="minorHAnsi"/>
                <w:b/>
                <w:szCs w:val="20"/>
              </w:rPr>
              <w:t>Short introduction:</w:t>
            </w:r>
          </w:p>
        </w:tc>
      </w:tr>
      <w:tr w:rsidR="00B436EA" w:rsidRPr="00C462A0" w14:paraId="09FF090A" w14:textId="77777777" w:rsidTr="00B436EA">
        <w:tc>
          <w:tcPr>
            <w:tcW w:w="9628" w:type="dxa"/>
          </w:tcPr>
          <w:p w14:paraId="4528B7C3" w14:textId="77777777" w:rsidR="00B436EA" w:rsidRPr="00C462A0" w:rsidRDefault="00B436EA" w:rsidP="00B436EA">
            <w:pPr>
              <w:jc w:val="both"/>
              <w:rPr>
                <w:sz w:val="22"/>
                <w:szCs w:val="22"/>
              </w:rPr>
            </w:pPr>
            <w:r w:rsidRPr="00C462A0">
              <w:rPr>
                <w:sz w:val="22"/>
                <w:szCs w:val="22"/>
              </w:rPr>
              <w:t>The modern threat landscape is dynamic, complex, and highly organised. Understanding current threat actors, Tactics, Techniques, and Procedures (TTPs) is essential for protecting sustainable digital infrastructures such as energy management systems, IoT deployments, smart grids, and ESG platforms.</w:t>
            </w:r>
          </w:p>
          <w:p w14:paraId="34FDDC73" w14:textId="77777777" w:rsidR="00B436EA" w:rsidRPr="00C462A0" w:rsidRDefault="00B436EA" w:rsidP="00B436EA">
            <w:pPr>
              <w:spacing w:line="276" w:lineRule="auto"/>
              <w:jc w:val="both"/>
              <w:rPr>
                <w:rFonts w:cstheme="minorHAnsi"/>
                <w:b/>
                <w:szCs w:val="20"/>
              </w:rPr>
            </w:pPr>
          </w:p>
        </w:tc>
      </w:tr>
      <w:tr w:rsidR="00B436EA" w:rsidRPr="00C462A0" w14:paraId="46AE26ED" w14:textId="77777777" w:rsidTr="00210B7E">
        <w:tc>
          <w:tcPr>
            <w:tcW w:w="9628" w:type="dxa"/>
            <w:shd w:val="clear" w:color="auto" w:fill="D9D9D9" w:themeFill="background1" w:themeFillShade="D9"/>
          </w:tcPr>
          <w:p w14:paraId="780A8571" w14:textId="77777777" w:rsidR="00B436EA" w:rsidRPr="00C462A0" w:rsidRDefault="00B436EA" w:rsidP="00210B7E">
            <w:pPr>
              <w:spacing w:line="276" w:lineRule="auto"/>
              <w:rPr>
                <w:rFonts w:cstheme="minorHAnsi"/>
                <w:b/>
                <w:szCs w:val="20"/>
              </w:rPr>
            </w:pPr>
            <w:r w:rsidRPr="00C462A0">
              <w:rPr>
                <w:rFonts w:cstheme="minorHAnsi"/>
                <w:b/>
                <w:szCs w:val="20"/>
              </w:rPr>
              <w:t xml:space="preserve">Theory &amp; Knowledge: </w:t>
            </w:r>
          </w:p>
        </w:tc>
      </w:tr>
      <w:tr w:rsidR="00B436EA" w:rsidRPr="00C462A0" w14:paraId="2CDAAA89" w14:textId="77777777" w:rsidTr="00B436EA">
        <w:tc>
          <w:tcPr>
            <w:tcW w:w="9628" w:type="dxa"/>
          </w:tcPr>
          <w:p w14:paraId="744EF29D" w14:textId="673B9441" w:rsidR="00B436EA" w:rsidRPr="00C462A0" w:rsidRDefault="00B436EA" w:rsidP="00B436EA">
            <w:pPr>
              <w:jc w:val="both"/>
              <w:rPr>
                <w:rFonts w:cstheme="minorHAnsi"/>
                <w:szCs w:val="20"/>
              </w:rPr>
            </w:pPr>
            <w:r w:rsidRPr="00C462A0">
              <w:rPr>
                <w:rFonts w:cstheme="minorHAnsi"/>
                <w:szCs w:val="20"/>
              </w:rPr>
              <w:t>The term “threat landscape” describes the environment in which cyber threats take shape, adapt, and affect organisations. It includes the actors involved, what drives them, the tools and techniques they rely on, and the weaknesses they exploit. In sustainable systems, that environment extends well beyond traditional IT to operational technology, smart grids, IoT sensors, and ESG data infrastructures.</w:t>
            </w:r>
          </w:p>
          <w:p w14:paraId="13BE7729" w14:textId="77777777" w:rsidR="00B436EA" w:rsidRPr="00C462A0" w:rsidRDefault="00B436EA" w:rsidP="00B436EA">
            <w:pPr>
              <w:jc w:val="both"/>
              <w:rPr>
                <w:rFonts w:cstheme="minorHAnsi"/>
                <w:szCs w:val="20"/>
              </w:rPr>
            </w:pPr>
            <w:r w:rsidRPr="00C462A0">
              <w:rPr>
                <w:rFonts w:cstheme="minorHAnsi"/>
                <w:szCs w:val="20"/>
              </w:rPr>
              <w:t>Today’s threat landscape has three visible traits: professionalisation, automation, and a focus on critical infrastructure. Cybercrime no longer looks like an isolated activity. It operates as an organised ecosystem, often labelled Cybercrime-as-a-Service, where ransomware kits, phishing frameworks, and exploit tools are rented on underground markets. This model lowers the barrier to entry and increases both the frequency and scale of attacks.</w:t>
            </w:r>
          </w:p>
          <w:p w14:paraId="0CEE18C5" w14:textId="77777777" w:rsidR="00B436EA" w:rsidRPr="00C462A0" w:rsidRDefault="00B436EA" w:rsidP="00B436EA">
            <w:pPr>
              <w:jc w:val="both"/>
              <w:rPr>
                <w:rFonts w:cstheme="minorHAnsi"/>
                <w:szCs w:val="20"/>
              </w:rPr>
            </w:pPr>
          </w:p>
          <w:p w14:paraId="2538EBE0" w14:textId="77777777" w:rsidR="00B436EA" w:rsidRPr="00C462A0" w:rsidRDefault="00B436EA" w:rsidP="00B436EA">
            <w:pPr>
              <w:keepNext/>
              <w:jc w:val="both"/>
              <w:rPr>
                <w:rFonts w:cstheme="minorHAnsi"/>
                <w:szCs w:val="20"/>
              </w:rPr>
            </w:pPr>
            <w:r w:rsidRPr="00C462A0">
              <w:rPr>
                <w:rFonts w:cstheme="minorHAnsi"/>
                <w:noProof/>
                <w:szCs w:val="20"/>
              </w:rPr>
              <w:drawing>
                <wp:inline distT="0" distB="0" distL="0" distR="0" wp14:anchorId="2C80480E" wp14:editId="5C29C02F">
                  <wp:extent cx="5996963" cy="2971800"/>
                  <wp:effectExtent l="0" t="0" r="3810" b="0"/>
                  <wp:docPr id="14345744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23"/>
                          <a:srcRect t="5571" b="20096"/>
                          <a:stretch/>
                        </pic:blipFill>
                        <pic:spPr bwMode="auto">
                          <a:xfrm>
                            <a:off x="0" y="0"/>
                            <a:ext cx="6012037" cy="2979270"/>
                          </a:xfrm>
                          <a:prstGeom prst="rect">
                            <a:avLst/>
                          </a:prstGeom>
                          <a:noFill/>
                          <a:ln>
                            <a:noFill/>
                          </a:ln>
                        </pic:spPr>
                      </pic:pic>
                    </a:graphicData>
                  </a:graphic>
                </wp:inline>
              </w:drawing>
            </w:r>
          </w:p>
          <w:p w14:paraId="13BDAD98" w14:textId="606AE892" w:rsidR="00B436EA" w:rsidRPr="00C462A0" w:rsidRDefault="00B436EA" w:rsidP="00B436EA">
            <w:pPr>
              <w:pStyle w:val="Caption"/>
              <w:jc w:val="center"/>
              <w:rPr>
                <w:rFonts w:cstheme="minorHAnsi"/>
                <w:b w:val="0"/>
                <w:bCs w:val="0"/>
                <w:sz w:val="18"/>
                <w:szCs w:val="18"/>
              </w:rPr>
            </w:pPr>
            <w:bookmarkStart w:id="14" w:name="_Toc227623440"/>
            <w:r w:rsidRPr="00C462A0">
              <w:rPr>
                <w:rFonts w:cstheme="minorHAnsi"/>
                <w:b w:val="0"/>
                <w:bCs w:val="0"/>
                <w:sz w:val="18"/>
                <w:szCs w:val="18"/>
              </w:rPr>
              <w:t xml:space="preserve">Figure </w:t>
            </w:r>
            <w:r w:rsidRPr="00C462A0">
              <w:rPr>
                <w:rFonts w:cstheme="minorHAnsi"/>
                <w:b w:val="0"/>
                <w:bCs w:val="0"/>
                <w:sz w:val="18"/>
                <w:szCs w:val="18"/>
              </w:rPr>
              <w:fldChar w:fldCharType="begin"/>
            </w:r>
            <w:r w:rsidRPr="00C462A0">
              <w:rPr>
                <w:rFonts w:cstheme="minorHAnsi"/>
                <w:b w:val="0"/>
                <w:bCs w:val="0"/>
                <w:sz w:val="18"/>
                <w:szCs w:val="18"/>
              </w:rPr>
              <w:instrText xml:space="preserve"> SEQ Figure \* ARABIC </w:instrText>
            </w:r>
            <w:r w:rsidRPr="00C462A0">
              <w:rPr>
                <w:rFonts w:cstheme="minorHAnsi"/>
                <w:b w:val="0"/>
                <w:bCs w:val="0"/>
                <w:sz w:val="18"/>
                <w:szCs w:val="18"/>
              </w:rPr>
              <w:fldChar w:fldCharType="separate"/>
            </w:r>
            <w:r w:rsidRPr="00C462A0">
              <w:rPr>
                <w:rFonts w:cstheme="minorHAnsi"/>
                <w:b w:val="0"/>
                <w:bCs w:val="0"/>
                <w:sz w:val="18"/>
                <w:szCs w:val="18"/>
              </w:rPr>
              <w:t>3</w:t>
            </w:r>
            <w:r w:rsidRPr="00C462A0">
              <w:rPr>
                <w:rFonts w:cstheme="minorHAnsi"/>
                <w:b w:val="0"/>
                <w:bCs w:val="0"/>
                <w:sz w:val="18"/>
                <w:szCs w:val="18"/>
              </w:rPr>
              <w:fldChar w:fldCharType="end"/>
            </w:r>
            <w:r w:rsidRPr="00C462A0">
              <w:rPr>
                <w:rFonts w:cstheme="minorHAnsi"/>
                <w:b w:val="0"/>
                <w:bCs w:val="0"/>
                <w:sz w:val="18"/>
                <w:szCs w:val="18"/>
              </w:rPr>
              <w:t>. Overview of the modern cyber threat landscape. It links threat actors, attack vectors, and MITRE ATT&amp;CK tactics to impacts on sustainable and energy systems (source: Author)</w:t>
            </w:r>
            <w:bookmarkEnd w:id="14"/>
          </w:p>
          <w:p w14:paraId="56FFBD34" w14:textId="77777777" w:rsidR="00B436EA" w:rsidRDefault="00B436EA" w:rsidP="00B436EA"/>
          <w:p w14:paraId="491CC328" w14:textId="77777777" w:rsidR="00243017" w:rsidRPr="00243017" w:rsidRDefault="00243017" w:rsidP="00243017">
            <w:pPr>
              <w:jc w:val="both"/>
              <w:rPr>
                <w:i/>
                <w:iCs/>
                <w:sz w:val="18"/>
                <w:szCs w:val="20"/>
              </w:rPr>
            </w:pPr>
            <w:r w:rsidRPr="00243017">
              <w:rPr>
                <w:i/>
                <w:iCs/>
                <w:sz w:val="18"/>
                <w:szCs w:val="20"/>
              </w:rPr>
              <w:t>This image illustrates a "Modern Threat Landscape Map," highlighting the flow from threat actors to the potential impact on sustainable systems.</w:t>
            </w:r>
          </w:p>
          <w:p w14:paraId="6F77A8B3" w14:textId="77777777" w:rsidR="00243017" w:rsidRPr="00243017" w:rsidRDefault="00243017" w:rsidP="00243017">
            <w:pPr>
              <w:jc w:val="both"/>
              <w:rPr>
                <w:i/>
                <w:iCs/>
                <w:sz w:val="18"/>
                <w:szCs w:val="20"/>
              </w:rPr>
            </w:pPr>
            <w:r w:rsidRPr="00243017">
              <w:rPr>
                <w:i/>
                <w:iCs/>
                <w:sz w:val="18"/>
                <w:szCs w:val="20"/>
              </w:rPr>
              <w:t>Threat Actors: Identifies who is responsible for attacks, including nation-state groups, cybercriminals, hacktivists, and insider threats.</w:t>
            </w:r>
          </w:p>
          <w:p w14:paraId="5C8FCCB1" w14:textId="77777777" w:rsidR="00243017" w:rsidRPr="00243017" w:rsidRDefault="00243017" w:rsidP="00243017">
            <w:pPr>
              <w:pStyle w:val="ListParagraph"/>
              <w:numPr>
                <w:ilvl w:val="0"/>
                <w:numId w:val="425"/>
              </w:numPr>
              <w:jc w:val="both"/>
              <w:rPr>
                <w:i/>
                <w:iCs/>
                <w:sz w:val="18"/>
                <w:szCs w:val="20"/>
              </w:rPr>
            </w:pPr>
            <w:r w:rsidRPr="00243017">
              <w:rPr>
                <w:i/>
                <w:iCs/>
                <w:sz w:val="18"/>
                <w:szCs w:val="20"/>
              </w:rPr>
              <w:t>Attack Vectors: Lists methods used to initiate attacks, such as phishing, malware, ransomware, and supply chain attacks.</w:t>
            </w:r>
          </w:p>
          <w:p w14:paraId="13AC9146" w14:textId="77777777" w:rsidR="00243017" w:rsidRPr="00243017" w:rsidRDefault="00243017" w:rsidP="00243017">
            <w:pPr>
              <w:pStyle w:val="ListParagraph"/>
              <w:numPr>
                <w:ilvl w:val="0"/>
                <w:numId w:val="425"/>
              </w:numPr>
              <w:jc w:val="both"/>
              <w:rPr>
                <w:i/>
                <w:iCs/>
                <w:sz w:val="18"/>
                <w:szCs w:val="20"/>
              </w:rPr>
            </w:pPr>
            <w:r w:rsidRPr="00243017">
              <w:rPr>
                <w:i/>
                <w:iCs/>
                <w:sz w:val="18"/>
                <w:szCs w:val="20"/>
              </w:rPr>
              <w:t>ATT&amp;CK Tactics: Outlines steps in a cyberattack, from initial access and execution to privilege escalation and data exfiltration based on the MITRE framework.</w:t>
            </w:r>
          </w:p>
          <w:p w14:paraId="5B743EEC" w14:textId="5E4DDE47" w:rsidR="00243017" w:rsidRPr="00243017" w:rsidRDefault="00243017" w:rsidP="00243017">
            <w:pPr>
              <w:pStyle w:val="ListParagraph"/>
              <w:numPr>
                <w:ilvl w:val="0"/>
                <w:numId w:val="425"/>
              </w:numPr>
              <w:jc w:val="both"/>
              <w:rPr>
                <w:i/>
                <w:iCs/>
                <w:sz w:val="18"/>
                <w:szCs w:val="20"/>
              </w:rPr>
            </w:pPr>
            <w:r w:rsidRPr="00243017">
              <w:rPr>
                <w:i/>
                <w:iCs/>
                <w:sz w:val="18"/>
                <w:szCs w:val="20"/>
              </w:rPr>
              <w:lastRenderedPageBreak/>
              <w:t>Impact on Sustainable Systems: Details the consequences of these attacks, including energy disruptions, data breaches, environmental damage, and economic/social instability.</w:t>
            </w:r>
          </w:p>
          <w:p w14:paraId="1D44217C" w14:textId="77777777" w:rsidR="00243017" w:rsidRPr="00243017" w:rsidRDefault="00243017" w:rsidP="00243017">
            <w:pPr>
              <w:jc w:val="both"/>
              <w:rPr>
                <w:i/>
                <w:iCs/>
                <w:sz w:val="18"/>
                <w:szCs w:val="20"/>
              </w:rPr>
            </w:pPr>
          </w:p>
          <w:p w14:paraId="6EB9630D" w14:textId="77777777" w:rsidR="00B436EA" w:rsidRPr="00C462A0" w:rsidRDefault="00B436EA" w:rsidP="00B436EA">
            <w:pPr>
              <w:jc w:val="both"/>
              <w:rPr>
                <w:rFonts w:cstheme="minorHAnsi"/>
                <w:szCs w:val="20"/>
              </w:rPr>
            </w:pPr>
            <w:r w:rsidRPr="00C462A0">
              <w:rPr>
                <w:rFonts w:cstheme="minorHAnsi"/>
                <w:szCs w:val="20"/>
              </w:rPr>
              <w:t>Threat actors typically fall into four broad groups:</w:t>
            </w:r>
          </w:p>
          <w:p w14:paraId="5919EAD3" w14:textId="77777777" w:rsidR="00B436EA" w:rsidRPr="00C462A0" w:rsidRDefault="00B436EA" w:rsidP="00B436EA">
            <w:pPr>
              <w:numPr>
                <w:ilvl w:val="0"/>
                <w:numId w:val="185"/>
              </w:numPr>
              <w:jc w:val="both"/>
              <w:rPr>
                <w:rFonts w:cstheme="minorHAnsi"/>
                <w:szCs w:val="20"/>
              </w:rPr>
            </w:pPr>
            <w:r w:rsidRPr="00C462A0">
              <w:rPr>
                <w:rFonts w:cstheme="minorHAnsi"/>
                <w:szCs w:val="20"/>
              </w:rPr>
              <w:t>Cybercriminal organisations driven by financial gain, including ransomware and fraud.</w:t>
            </w:r>
          </w:p>
          <w:p w14:paraId="5252794B" w14:textId="77777777" w:rsidR="00B436EA" w:rsidRPr="00C462A0" w:rsidRDefault="00B436EA" w:rsidP="00B436EA">
            <w:pPr>
              <w:numPr>
                <w:ilvl w:val="0"/>
                <w:numId w:val="185"/>
              </w:numPr>
              <w:jc w:val="both"/>
              <w:rPr>
                <w:rFonts w:cstheme="minorHAnsi"/>
                <w:szCs w:val="20"/>
              </w:rPr>
            </w:pPr>
            <w:r w:rsidRPr="00C462A0">
              <w:rPr>
                <w:rFonts w:cstheme="minorHAnsi"/>
                <w:szCs w:val="20"/>
              </w:rPr>
              <w:t>State-sponsored actors pursuing geopolitical or strategic objectives.</w:t>
            </w:r>
          </w:p>
          <w:p w14:paraId="41040784" w14:textId="77777777" w:rsidR="00B436EA" w:rsidRPr="00C462A0" w:rsidRDefault="00B436EA" w:rsidP="00B436EA">
            <w:pPr>
              <w:numPr>
                <w:ilvl w:val="0"/>
                <w:numId w:val="185"/>
              </w:numPr>
              <w:jc w:val="both"/>
              <w:rPr>
                <w:rFonts w:cstheme="minorHAnsi"/>
                <w:szCs w:val="20"/>
              </w:rPr>
            </w:pPr>
            <w:r w:rsidRPr="00C462A0">
              <w:rPr>
                <w:rFonts w:cstheme="minorHAnsi"/>
                <w:szCs w:val="20"/>
              </w:rPr>
              <w:t>Hacktivists acting on ideological motives.</w:t>
            </w:r>
          </w:p>
          <w:p w14:paraId="52A1218D" w14:textId="77777777" w:rsidR="00B436EA" w:rsidRPr="00C462A0" w:rsidRDefault="00B436EA" w:rsidP="00B436EA">
            <w:pPr>
              <w:numPr>
                <w:ilvl w:val="0"/>
                <w:numId w:val="185"/>
              </w:numPr>
              <w:jc w:val="both"/>
              <w:rPr>
                <w:rFonts w:cstheme="minorHAnsi"/>
                <w:szCs w:val="20"/>
              </w:rPr>
            </w:pPr>
            <w:r w:rsidRPr="00C462A0">
              <w:rPr>
                <w:rFonts w:cstheme="minorHAnsi"/>
                <w:szCs w:val="20"/>
              </w:rPr>
              <w:t>Insiders, whether malicious or simply negligent.</w:t>
            </w:r>
          </w:p>
          <w:p w14:paraId="79A58BA8" w14:textId="492A8F5E" w:rsidR="00B436EA" w:rsidRPr="00C462A0" w:rsidRDefault="00B436EA" w:rsidP="00B436EA">
            <w:pPr>
              <w:jc w:val="both"/>
              <w:rPr>
                <w:rFonts w:cstheme="minorHAnsi"/>
                <w:szCs w:val="20"/>
              </w:rPr>
            </w:pPr>
            <w:r w:rsidRPr="00C462A0">
              <w:rPr>
                <w:rFonts w:cstheme="minorHAnsi"/>
                <w:szCs w:val="20"/>
              </w:rPr>
              <w:t>The boundaries between these groups are less rigid than they once were. Motivations overlap, and hybrid operations are becoming more common.</w:t>
            </w:r>
          </w:p>
          <w:p w14:paraId="4F80876D" w14:textId="6EFAEF72" w:rsidR="00121AFC" w:rsidRPr="00C462A0" w:rsidRDefault="00121AFC" w:rsidP="00121AFC">
            <w:pPr>
              <w:pStyle w:val="Caption"/>
              <w:keepNext/>
              <w:rPr>
                <w:b w:val="0"/>
                <w:bCs w:val="0"/>
              </w:rPr>
            </w:pPr>
            <w:bookmarkStart w:id="15" w:name="_Toc227624053"/>
            <w:r w:rsidRPr="00C462A0">
              <w:rPr>
                <w:b w:val="0"/>
                <w:bCs w:val="0"/>
              </w:rPr>
              <w:t xml:space="preserve">Table </w:t>
            </w:r>
            <w:r w:rsidRPr="00C462A0">
              <w:rPr>
                <w:b w:val="0"/>
                <w:bCs w:val="0"/>
              </w:rPr>
              <w:fldChar w:fldCharType="begin"/>
            </w:r>
            <w:r w:rsidRPr="00C462A0">
              <w:rPr>
                <w:b w:val="0"/>
                <w:bCs w:val="0"/>
              </w:rPr>
              <w:instrText xml:space="preserve"> SEQ Table \* ARABIC </w:instrText>
            </w:r>
            <w:r w:rsidRPr="00C462A0">
              <w:rPr>
                <w:b w:val="0"/>
                <w:bCs w:val="0"/>
              </w:rPr>
              <w:fldChar w:fldCharType="separate"/>
            </w:r>
            <w:r w:rsidRPr="00C462A0">
              <w:rPr>
                <w:b w:val="0"/>
                <w:bCs w:val="0"/>
                <w:noProof/>
              </w:rPr>
              <w:t>3</w:t>
            </w:r>
            <w:r w:rsidRPr="00C462A0">
              <w:rPr>
                <w:b w:val="0"/>
                <w:bCs w:val="0"/>
              </w:rPr>
              <w:fldChar w:fldCharType="end"/>
            </w:r>
            <w:r w:rsidRPr="00C462A0">
              <w:rPr>
                <w:b w:val="0"/>
                <w:bCs w:val="0"/>
              </w:rPr>
              <w:t>. Various types of cybersecurity threats specifically targeted at sustainable systems and organizations (source: Author)</w:t>
            </w:r>
            <w:bookmarkEnd w:id="15"/>
          </w:p>
          <w:tbl>
            <w:tblPr>
              <w:tblStyle w:val="Bordered"/>
              <w:tblW w:w="0" w:type="auto"/>
              <w:tblLook w:val="04A0" w:firstRow="1" w:lastRow="0" w:firstColumn="1" w:lastColumn="0" w:noHBand="0" w:noVBand="1"/>
            </w:tblPr>
            <w:tblGrid>
              <w:gridCol w:w="2019"/>
              <w:gridCol w:w="2391"/>
              <w:gridCol w:w="2547"/>
              <w:gridCol w:w="2445"/>
            </w:tblGrid>
            <w:tr w:rsidR="00B436EA" w:rsidRPr="00C462A0" w14:paraId="51E4CCFF" w14:textId="77777777" w:rsidTr="00B436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EEBB526" w14:textId="77777777" w:rsidR="00B436EA" w:rsidRPr="00C462A0" w:rsidRDefault="00B436EA" w:rsidP="00B436EA">
                  <w:pPr>
                    <w:rPr>
                      <w:rFonts w:asciiTheme="minorHAnsi" w:hAnsiTheme="minorHAnsi" w:cstheme="minorHAnsi"/>
                      <w:b/>
                      <w:bCs/>
                      <w:szCs w:val="20"/>
                    </w:rPr>
                  </w:pPr>
                  <w:r w:rsidRPr="00C462A0">
                    <w:rPr>
                      <w:rFonts w:asciiTheme="minorHAnsi" w:hAnsiTheme="minorHAnsi" w:cstheme="minorHAnsi"/>
                      <w:b/>
                      <w:bCs/>
                      <w:szCs w:val="20"/>
                    </w:rPr>
                    <w:t>Threat Actor Type</w:t>
                  </w:r>
                </w:p>
              </w:tc>
              <w:tc>
                <w:tcPr>
                  <w:tcW w:w="0" w:type="auto"/>
                </w:tcPr>
                <w:p w14:paraId="13915C3B" w14:textId="77777777" w:rsidR="00B436EA" w:rsidRPr="00C462A0" w:rsidRDefault="00B436EA" w:rsidP="00B436EA">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C462A0">
                    <w:rPr>
                      <w:rFonts w:asciiTheme="minorHAnsi" w:hAnsiTheme="minorHAnsi" w:cstheme="minorHAnsi"/>
                      <w:b/>
                      <w:bCs/>
                      <w:szCs w:val="20"/>
                    </w:rPr>
                    <w:t>Primary Motivation</w:t>
                  </w:r>
                </w:p>
              </w:tc>
              <w:tc>
                <w:tcPr>
                  <w:tcW w:w="0" w:type="auto"/>
                </w:tcPr>
                <w:p w14:paraId="4A8C0CB7" w14:textId="77777777" w:rsidR="00B436EA" w:rsidRPr="00C462A0" w:rsidRDefault="00B436EA" w:rsidP="00B436E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C462A0">
                    <w:rPr>
                      <w:rFonts w:asciiTheme="minorHAnsi" w:hAnsiTheme="minorHAnsi" w:cstheme="minorHAnsi"/>
                      <w:b/>
                      <w:bCs/>
                      <w:szCs w:val="20"/>
                    </w:rPr>
                    <w:t>Typical Techniques</w:t>
                  </w:r>
                </w:p>
              </w:tc>
              <w:tc>
                <w:tcPr>
                  <w:tcW w:w="0" w:type="auto"/>
                </w:tcPr>
                <w:p w14:paraId="79D094AE" w14:textId="77777777" w:rsidR="00B436EA" w:rsidRPr="00C462A0" w:rsidRDefault="00B436EA" w:rsidP="00B436E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szCs w:val="20"/>
                    </w:rPr>
                  </w:pPr>
                  <w:r w:rsidRPr="00C462A0">
                    <w:rPr>
                      <w:rFonts w:asciiTheme="minorHAnsi" w:hAnsiTheme="minorHAnsi" w:cstheme="minorHAnsi"/>
                      <w:b/>
                      <w:bCs/>
                      <w:szCs w:val="20"/>
                    </w:rPr>
                    <w:t>Relevance to Sustainable Systems</w:t>
                  </w:r>
                </w:p>
              </w:tc>
            </w:tr>
            <w:tr w:rsidR="00B436EA" w:rsidRPr="00C462A0" w14:paraId="40F1C617" w14:textId="77777777" w:rsidTr="00B436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1994128" w14:textId="77777777" w:rsidR="00B436EA" w:rsidRPr="00C462A0" w:rsidRDefault="00B436EA" w:rsidP="00B436EA">
                  <w:pPr>
                    <w:rPr>
                      <w:rFonts w:asciiTheme="minorHAnsi" w:hAnsiTheme="minorHAnsi" w:cstheme="minorHAnsi"/>
                      <w:szCs w:val="20"/>
                    </w:rPr>
                  </w:pPr>
                  <w:r w:rsidRPr="00C462A0">
                    <w:rPr>
                      <w:rFonts w:asciiTheme="minorHAnsi" w:hAnsiTheme="minorHAnsi" w:cstheme="minorHAnsi"/>
                      <w:szCs w:val="20"/>
                    </w:rPr>
                    <w:t>Cybercriminal groups</w:t>
                  </w:r>
                </w:p>
              </w:tc>
              <w:tc>
                <w:tcPr>
                  <w:tcW w:w="0" w:type="auto"/>
                </w:tcPr>
                <w:p w14:paraId="7F65724B" w14:textId="77777777" w:rsidR="00B436EA" w:rsidRPr="00C462A0" w:rsidRDefault="00B436EA" w:rsidP="00B436EA">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C462A0">
                    <w:rPr>
                      <w:rFonts w:asciiTheme="minorHAnsi" w:hAnsiTheme="minorHAnsi" w:cstheme="minorHAnsi"/>
                      <w:szCs w:val="20"/>
                    </w:rPr>
                    <w:t>Financial gain</w:t>
                  </w:r>
                </w:p>
              </w:tc>
              <w:tc>
                <w:tcPr>
                  <w:tcW w:w="0" w:type="auto"/>
                </w:tcPr>
                <w:p w14:paraId="71DEB47C" w14:textId="77777777" w:rsidR="00B436EA" w:rsidRPr="00C462A0" w:rsidRDefault="00B436EA" w:rsidP="00B436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C462A0">
                    <w:rPr>
                      <w:rFonts w:asciiTheme="minorHAnsi" w:hAnsiTheme="minorHAnsi" w:cstheme="minorHAnsi"/>
                      <w:szCs w:val="20"/>
                    </w:rPr>
                    <w:t>Ransomware, phishing, extortion</w:t>
                  </w:r>
                </w:p>
              </w:tc>
              <w:tc>
                <w:tcPr>
                  <w:tcW w:w="0" w:type="auto"/>
                </w:tcPr>
                <w:p w14:paraId="07BEE206" w14:textId="77777777" w:rsidR="00B436EA" w:rsidRPr="00C462A0" w:rsidRDefault="00B436EA" w:rsidP="00B436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C462A0">
                    <w:rPr>
                      <w:rFonts w:asciiTheme="minorHAnsi" w:hAnsiTheme="minorHAnsi" w:cstheme="minorHAnsi"/>
                      <w:szCs w:val="20"/>
                    </w:rPr>
                    <w:t>Target energy/ESG data platforms</w:t>
                  </w:r>
                </w:p>
              </w:tc>
            </w:tr>
            <w:tr w:rsidR="00B436EA" w:rsidRPr="00C462A0" w14:paraId="5382F285" w14:textId="77777777" w:rsidTr="00B436EA">
              <w:tc>
                <w:tcPr>
                  <w:cnfStyle w:val="001000000000" w:firstRow="0" w:lastRow="0" w:firstColumn="1" w:lastColumn="0" w:oddVBand="0" w:evenVBand="0" w:oddHBand="0" w:evenHBand="0" w:firstRowFirstColumn="0" w:firstRowLastColumn="0" w:lastRowFirstColumn="0" w:lastRowLastColumn="0"/>
                  <w:tcW w:w="0" w:type="auto"/>
                </w:tcPr>
                <w:p w14:paraId="164925E4" w14:textId="77777777" w:rsidR="00B436EA" w:rsidRPr="00C462A0" w:rsidRDefault="00B436EA" w:rsidP="00B436EA">
                  <w:pPr>
                    <w:rPr>
                      <w:rFonts w:asciiTheme="minorHAnsi" w:hAnsiTheme="minorHAnsi" w:cstheme="minorHAnsi"/>
                      <w:szCs w:val="20"/>
                    </w:rPr>
                  </w:pPr>
                  <w:r w:rsidRPr="00C462A0">
                    <w:rPr>
                      <w:rFonts w:asciiTheme="minorHAnsi" w:hAnsiTheme="minorHAnsi" w:cstheme="minorHAnsi"/>
                      <w:szCs w:val="20"/>
                    </w:rPr>
                    <w:t>State-sponsored actors</w:t>
                  </w:r>
                </w:p>
              </w:tc>
              <w:tc>
                <w:tcPr>
                  <w:tcW w:w="0" w:type="auto"/>
                </w:tcPr>
                <w:p w14:paraId="0F3F64E3" w14:textId="77777777" w:rsidR="00B436EA" w:rsidRPr="00C462A0" w:rsidRDefault="00B436EA" w:rsidP="00B436EA">
                  <w:pPr>
                    <w:jc w:val="both"/>
                    <w:cnfStyle w:val="000000000000" w:firstRow="0" w:lastRow="0" w:firstColumn="0" w:lastColumn="0" w:oddVBand="0" w:evenVBand="0" w:oddHBand="0" w:evenHBand="0" w:firstRowFirstColumn="0" w:firstRowLastColumn="0" w:lastRowFirstColumn="0" w:lastRowLastColumn="0"/>
                    <w:rPr>
                      <w:rFonts w:cstheme="minorHAnsi"/>
                      <w:szCs w:val="20"/>
                    </w:rPr>
                  </w:pPr>
                  <w:r w:rsidRPr="00C462A0">
                    <w:rPr>
                      <w:rFonts w:cstheme="minorHAnsi"/>
                      <w:szCs w:val="20"/>
                    </w:rPr>
                    <w:t>Strategic/geopolitical</w:t>
                  </w:r>
                </w:p>
              </w:tc>
              <w:tc>
                <w:tcPr>
                  <w:tcW w:w="0" w:type="auto"/>
                </w:tcPr>
                <w:p w14:paraId="0E0E0FC4" w14:textId="77777777" w:rsidR="00B436EA" w:rsidRPr="00C462A0" w:rsidRDefault="00B436EA" w:rsidP="00B436EA">
                  <w:pPr>
                    <w:cnfStyle w:val="000000000000" w:firstRow="0" w:lastRow="0" w:firstColumn="0" w:lastColumn="0" w:oddVBand="0" w:evenVBand="0" w:oddHBand="0" w:evenHBand="0" w:firstRowFirstColumn="0" w:firstRowLastColumn="0" w:lastRowFirstColumn="0" w:lastRowLastColumn="0"/>
                    <w:rPr>
                      <w:rFonts w:cstheme="minorHAnsi"/>
                      <w:szCs w:val="20"/>
                    </w:rPr>
                  </w:pPr>
                  <w:r w:rsidRPr="00C462A0">
                    <w:rPr>
                      <w:rFonts w:cstheme="minorHAnsi"/>
                      <w:szCs w:val="20"/>
                    </w:rPr>
                    <w:t>Supply chain compromise, espionage</w:t>
                  </w:r>
                </w:p>
              </w:tc>
              <w:tc>
                <w:tcPr>
                  <w:tcW w:w="0" w:type="auto"/>
                </w:tcPr>
                <w:p w14:paraId="4C7F87A0" w14:textId="77777777" w:rsidR="00B436EA" w:rsidRPr="00C462A0" w:rsidRDefault="00B436EA" w:rsidP="00B436EA">
                  <w:pPr>
                    <w:cnfStyle w:val="000000000000" w:firstRow="0" w:lastRow="0" w:firstColumn="0" w:lastColumn="0" w:oddVBand="0" w:evenVBand="0" w:oddHBand="0" w:evenHBand="0" w:firstRowFirstColumn="0" w:firstRowLastColumn="0" w:lastRowFirstColumn="0" w:lastRowLastColumn="0"/>
                    <w:rPr>
                      <w:rFonts w:cstheme="minorHAnsi"/>
                      <w:szCs w:val="20"/>
                    </w:rPr>
                  </w:pPr>
                  <w:r w:rsidRPr="00C462A0">
                    <w:rPr>
                      <w:rFonts w:cstheme="minorHAnsi"/>
                      <w:szCs w:val="20"/>
                    </w:rPr>
                    <w:t>Target critical infrastructure</w:t>
                  </w:r>
                </w:p>
              </w:tc>
            </w:tr>
            <w:tr w:rsidR="00B436EA" w:rsidRPr="00C462A0" w14:paraId="5C65FA41" w14:textId="77777777" w:rsidTr="00B436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19EB9A6" w14:textId="77777777" w:rsidR="00B436EA" w:rsidRPr="00C462A0" w:rsidRDefault="00B436EA" w:rsidP="00B436EA">
                  <w:pPr>
                    <w:rPr>
                      <w:rFonts w:asciiTheme="minorHAnsi" w:hAnsiTheme="minorHAnsi" w:cstheme="minorHAnsi"/>
                      <w:szCs w:val="20"/>
                    </w:rPr>
                  </w:pPr>
                  <w:r w:rsidRPr="00C462A0">
                    <w:rPr>
                      <w:rFonts w:asciiTheme="minorHAnsi" w:hAnsiTheme="minorHAnsi" w:cstheme="minorHAnsi"/>
                      <w:szCs w:val="20"/>
                    </w:rPr>
                    <w:t>Hacktivists</w:t>
                  </w:r>
                </w:p>
              </w:tc>
              <w:tc>
                <w:tcPr>
                  <w:tcW w:w="0" w:type="auto"/>
                </w:tcPr>
                <w:p w14:paraId="2144ED46" w14:textId="77777777" w:rsidR="00B436EA" w:rsidRPr="00C462A0" w:rsidRDefault="00B436EA" w:rsidP="00B436EA">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C462A0">
                    <w:rPr>
                      <w:rFonts w:asciiTheme="minorHAnsi" w:hAnsiTheme="minorHAnsi" w:cstheme="minorHAnsi"/>
                      <w:szCs w:val="20"/>
                    </w:rPr>
                    <w:t>Ideological</w:t>
                  </w:r>
                </w:p>
              </w:tc>
              <w:tc>
                <w:tcPr>
                  <w:tcW w:w="0" w:type="auto"/>
                </w:tcPr>
                <w:p w14:paraId="6C4F5358" w14:textId="77777777" w:rsidR="00B436EA" w:rsidRPr="00C462A0" w:rsidRDefault="00B436EA" w:rsidP="00B436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C462A0">
                    <w:rPr>
                      <w:rFonts w:asciiTheme="minorHAnsi" w:hAnsiTheme="minorHAnsi" w:cstheme="minorHAnsi"/>
                      <w:szCs w:val="20"/>
                    </w:rPr>
                    <w:t>DDoS, defacement</w:t>
                  </w:r>
                </w:p>
              </w:tc>
              <w:tc>
                <w:tcPr>
                  <w:tcW w:w="0" w:type="auto"/>
                </w:tcPr>
                <w:p w14:paraId="3A3D4AA9" w14:textId="77777777" w:rsidR="00B436EA" w:rsidRPr="00C462A0" w:rsidRDefault="00B436EA" w:rsidP="00B436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C462A0">
                    <w:rPr>
                      <w:rFonts w:asciiTheme="minorHAnsi" w:hAnsiTheme="minorHAnsi" w:cstheme="minorHAnsi"/>
                      <w:szCs w:val="20"/>
                    </w:rPr>
                    <w:t>Target sustainability narratives</w:t>
                  </w:r>
                </w:p>
              </w:tc>
            </w:tr>
            <w:tr w:rsidR="00B436EA" w:rsidRPr="00C462A0" w14:paraId="41F6F1C0" w14:textId="77777777" w:rsidTr="00B436EA">
              <w:trPr>
                <w:trHeight w:val="58"/>
              </w:trPr>
              <w:tc>
                <w:tcPr>
                  <w:cnfStyle w:val="001000000000" w:firstRow="0" w:lastRow="0" w:firstColumn="1" w:lastColumn="0" w:oddVBand="0" w:evenVBand="0" w:oddHBand="0" w:evenHBand="0" w:firstRowFirstColumn="0" w:firstRowLastColumn="0" w:lastRowFirstColumn="0" w:lastRowLastColumn="0"/>
                  <w:tcW w:w="0" w:type="auto"/>
                </w:tcPr>
                <w:p w14:paraId="4F3E66AE" w14:textId="77777777" w:rsidR="00B436EA" w:rsidRPr="00C462A0" w:rsidRDefault="00B436EA" w:rsidP="00B436EA">
                  <w:pPr>
                    <w:rPr>
                      <w:rFonts w:asciiTheme="minorHAnsi" w:hAnsiTheme="minorHAnsi" w:cstheme="minorHAnsi"/>
                      <w:szCs w:val="20"/>
                    </w:rPr>
                  </w:pPr>
                  <w:r w:rsidRPr="00C462A0">
                    <w:rPr>
                      <w:rFonts w:asciiTheme="minorHAnsi" w:hAnsiTheme="minorHAnsi" w:cstheme="minorHAnsi"/>
                      <w:szCs w:val="20"/>
                    </w:rPr>
                    <w:t>Insiders</w:t>
                  </w:r>
                </w:p>
              </w:tc>
              <w:tc>
                <w:tcPr>
                  <w:tcW w:w="0" w:type="auto"/>
                </w:tcPr>
                <w:p w14:paraId="27F5FD99" w14:textId="77777777" w:rsidR="00B436EA" w:rsidRPr="00C462A0" w:rsidRDefault="00B436EA" w:rsidP="00B436EA">
                  <w:pPr>
                    <w:jc w:val="both"/>
                    <w:cnfStyle w:val="000000000000" w:firstRow="0" w:lastRow="0" w:firstColumn="0" w:lastColumn="0" w:oddVBand="0" w:evenVBand="0" w:oddHBand="0" w:evenHBand="0" w:firstRowFirstColumn="0" w:firstRowLastColumn="0" w:lastRowFirstColumn="0" w:lastRowLastColumn="0"/>
                    <w:rPr>
                      <w:rFonts w:cstheme="minorHAnsi"/>
                      <w:szCs w:val="20"/>
                    </w:rPr>
                  </w:pPr>
                  <w:r w:rsidRPr="00C462A0">
                    <w:rPr>
                      <w:rFonts w:cstheme="minorHAnsi"/>
                      <w:szCs w:val="20"/>
                    </w:rPr>
                    <w:t>Personal/financial</w:t>
                  </w:r>
                </w:p>
              </w:tc>
              <w:tc>
                <w:tcPr>
                  <w:tcW w:w="0" w:type="auto"/>
                </w:tcPr>
                <w:p w14:paraId="230EAF00" w14:textId="77777777" w:rsidR="00B436EA" w:rsidRPr="00C462A0" w:rsidRDefault="00B436EA" w:rsidP="00B436EA">
                  <w:pPr>
                    <w:cnfStyle w:val="000000000000" w:firstRow="0" w:lastRow="0" w:firstColumn="0" w:lastColumn="0" w:oddVBand="0" w:evenVBand="0" w:oddHBand="0" w:evenHBand="0" w:firstRowFirstColumn="0" w:firstRowLastColumn="0" w:lastRowFirstColumn="0" w:lastRowLastColumn="0"/>
                    <w:rPr>
                      <w:rFonts w:cstheme="minorHAnsi"/>
                      <w:szCs w:val="20"/>
                    </w:rPr>
                  </w:pPr>
                  <w:r w:rsidRPr="00C462A0">
                    <w:rPr>
                      <w:rFonts w:cstheme="minorHAnsi"/>
                      <w:szCs w:val="20"/>
                    </w:rPr>
                    <w:t>Data theft, sabotage</w:t>
                  </w:r>
                </w:p>
              </w:tc>
              <w:tc>
                <w:tcPr>
                  <w:tcW w:w="0" w:type="auto"/>
                </w:tcPr>
                <w:p w14:paraId="055C535E" w14:textId="77777777" w:rsidR="00B436EA" w:rsidRPr="00C462A0" w:rsidRDefault="00B436EA" w:rsidP="00B436EA">
                  <w:pPr>
                    <w:cnfStyle w:val="000000000000" w:firstRow="0" w:lastRow="0" w:firstColumn="0" w:lastColumn="0" w:oddVBand="0" w:evenVBand="0" w:oddHBand="0" w:evenHBand="0" w:firstRowFirstColumn="0" w:firstRowLastColumn="0" w:lastRowFirstColumn="0" w:lastRowLastColumn="0"/>
                    <w:rPr>
                      <w:rFonts w:cstheme="minorHAnsi"/>
                      <w:szCs w:val="20"/>
                    </w:rPr>
                  </w:pPr>
                  <w:r w:rsidRPr="00C462A0">
                    <w:rPr>
                      <w:rFonts w:cstheme="minorHAnsi"/>
                      <w:szCs w:val="20"/>
                    </w:rPr>
                    <w:t>Access to sensitive ESG data</w:t>
                  </w:r>
                </w:p>
              </w:tc>
            </w:tr>
          </w:tbl>
          <w:p w14:paraId="39A519DC" w14:textId="77777777" w:rsidR="00B436EA" w:rsidRPr="00C462A0" w:rsidRDefault="00B436EA" w:rsidP="00B436EA">
            <w:pPr>
              <w:jc w:val="both"/>
              <w:rPr>
                <w:rFonts w:cstheme="minorHAnsi"/>
                <w:szCs w:val="20"/>
              </w:rPr>
            </w:pPr>
          </w:p>
          <w:p w14:paraId="0DDDCEDD" w14:textId="77777777" w:rsidR="00B436EA" w:rsidRPr="00C462A0" w:rsidRDefault="00B436EA" w:rsidP="00B436EA">
            <w:pPr>
              <w:jc w:val="both"/>
              <w:rPr>
                <w:rFonts w:cstheme="minorHAnsi"/>
                <w:szCs w:val="20"/>
              </w:rPr>
            </w:pPr>
            <w:r w:rsidRPr="00C462A0">
              <w:rPr>
                <w:rFonts w:cstheme="minorHAnsi"/>
                <w:szCs w:val="20"/>
              </w:rPr>
              <w:t>Ransomware remains one of the most visible features of this landscape. What began as opportunistic campaigns has evolved into carefully targeted operations aimed at organisations that provide essential services, including energy providers and sustainability reporting platforms. Double extortion has become standard practice: attackers encrypt data and extract copies, increasing pressure on victims to pay.</w:t>
            </w:r>
          </w:p>
          <w:p w14:paraId="1155A1C5" w14:textId="77777777" w:rsidR="00B436EA" w:rsidRPr="00C462A0" w:rsidRDefault="00B436EA" w:rsidP="00B436EA">
            <w:pPr>
              <w:jc w:val="both"/>
              <w:rPr>
                <w:rFonts w:cstheme="minorHAnsi"/>
                <w:szCs w:val="20"/>
              </w:rPr>
            </w:pPr>
          </w:p>
          <w:p w14:paraId="1D2BBFDC" w14:textId="77777777" w:rsidR="00B436EA" w:rsidRPr="00C462A0" w:rsidRDefault="00B436EA" w:rsidP="00B436EA">
            <w:pPr>
              <w:jc w:val="both"/>
              <w:rPr>
                <w:rFonts w:cstheme="minorHAnsi"/>
                <w:szCs w:val="20"/>
              </w:rPr>
            </w:pPr>
            <w:r w:rsidRPr="00C462A0">
              <w:rPr>
                <w:rFonts w:cstheme="minorHAnsi"/>
                <w:szCs w:val="20"/>
              </w:rPr>
              <w:t>Phishing and social engineering form another dominant attack path. Rather than relying solely on technical flaws, attackers focus on human behaviour. Spear-phishing campaigns now incorporate detailed personalisation, enabling credential theft and movement across internal networks.</w:t>
            </w:r>
          </w:p>
          <w:p w14:paraId="326C24BA" w14:textId="77777777" w:rsidR="00B436EA" w:rsidRPr="00C462A0" w:rsidRDefault="00B436EA" w:rsidP="00B436EA">
            <w:pPr>
              <w:jc w:val="both"/>
              <w:rPr>
                <w:rFonts w:cstheme="minorHAnsi"/>
                <w:szCs w:val="20"/>
              </w:rPr>
            </w:pPr>
          </w:p>
          <w:p w14:paraId="79C9CA2F" w14:textId="77777777" w:rsidR="00B436EA" w:rsidRPr="00C462A0" w:rsidRDefault="00B436EA" w:rsidP="00B436EA">
            <w:pPr>
              <w:jc w:val="both"/>
              <w:rPr>
                <w:rFonts w:cstheme="minorHAnsi"/>
                <w:szCs w:val="20"/>
              </w:rPr>
            </w:pPr>
            <w:r w:rsidRPr="00C462A0">
              <w:rPr>
                <w:rFonts w:cstheme="minorHAnsi"/>
                <w:szCs w:val="20"/>
              </w:rPr>
              <w:t>Supply chain attacks add further complexity. Instead of targeting a specific system, adversaries compromise a trusted supplier, a software update channel, or a third-party provider. In sustainable digital ecosystems, where IoT devices, cloud services, and ESG platforms depend on layered vendor relationships, this indirect route creates systemic exposure.</w:t>
            </w:r>
          </w:p>
          <w:p w14:paraId="4D5E6C60" w14:textId="77777777" w:rsidR="00B436EA" w:rsidRPr="00C462A0" w:rsidRDefault="00B436EA" w:rsidP="00B436EA">
            <w:pPr>
              <w:jc w:val="both"/>
              <w:rPr>
                <w:rFonts w:cstheme="minorHAnsi"/>
                <w:szCs w:val="20"/>
              </w:rPr>
            </w:pPr>
            <w:r w:rsidRPr="00C462A0">
              <w:rPr>
                <w:rFonts w:cstheme="minorHAnsi"/>
                <w:szCs w:val="20"/>
              </w:rPr>
              <w:t>To analyse attacker behaviour more systematically, security teams often use the MITRE ATT&amp;CK framework. It offers a shared knowledge base of adversary tactics and techniques, structured around the stages of the attack lifecycle: initial access, privilege escalation, lateral movement, and exfiltration. The framework supports a shift from general awareness to structured threat modelling and detection planning.</w:t>
            </w:r>
          </w:p>
          <w:p w14:paraId="3A709018" w14:textId="77777777" w:rsidR="00B436EA" w:rsidRPr="00C462A0" w:rsidRDefault="00B436EA" w:rsidP="00B436EA">
            <w:pPr>
              <w:jc w:val="both"/>
              <w:rPr>
                <w:rFonts w:cstheme="minorHAnsi"/>
                <w:szCs w:val="20"/>
              </w:rPr>
            </w:pPr>
          </w:p>
          <w:p w14:paraId="0B54ADCE" w14:textId="77777777" w:rsidR="00B436EA" w:rsidRPr="00C462A0" w:rsidRDefault="00B436EA" w:rsidP="00B436EA">
            <w:pPr>
              <w:jc w:val="both"/>
              <w:rPr>
                <w:rFonts w:cstheme="minorHAnsi"/>
                <w:szCs w:val="20"/>
              </w:rPr>
            </w:pPr>
            <w:r w:rsidRPr="00C462A0">
              <w:rPr>
                <w:rFonts w:cstheme="minorHAnsi"/>
                <w:szCs w:val="20"/>
              </w:rPr>
              <w:t xml:space="preserve">Sustainable infrastructures also face sector-specific risks. Energy management systems and smart grids combine IT and OT components. OT environments frequently prioritise availability </w:t>
            </w:r>
            <w:r w:rsidRPr="00C462A0">
              <w:rPr>
                <w:rFonts w:cstheme="minorHAnsi"/>
                <w:szCs w:val="20"/>
              </w:rPr>
              <w:lastRenderedPageBreak/>
              <w:t>and safety over rapid patching cycles, which leaves legacy vulnerabilities in place. In these contexts, an attack may disrupt operations both physically and digitally.</w:t>
            </w:r>
          </w:p>
          <w:p w14:paraId="4A9C7D72" w14:textId="77777777" w:rsidR="00B436EA" w:rsidRPr="00C462A0" w:rsidRDefault="00B436EA" w:rsidP="00B436EA">
            <w:pPr>
              <w:jc w:val="both"/>
              <w:rPr>
                <w:rFonts w:cstheme="minorHAnsi"/>
                <w:szCs w:val="20"/>
              </w:rPr>
            </w:pPr>
            <w:r w:rsidRPr="00C462A0">
              <w:rPr>
                <w:rFonts w:cstheme="minorHAnsi"/>
                <w:szCs w:val="20"/>
              </w:rPr>
              <w:t>Cloud adoption reshapes exposure in its own way. Misconfigured storage, weak identity controls, and excessive permissions remain common drivers of breaches. ESG platforms that consolidate sustainability metrics often contain sensitive operational and financial data, making them attractive targets.</w:t>
            </w:r>
          </w:p>
          <w:p w14:paraId="70854E6F" w14:textId="77777777" w:rsidR="00B436EA" w:rsidRPr="00C462A0" w:rsidRDefault="00B436EA" w:rsidP="00B436EA">
            <w:pPr>
              <w:jc w:val="both"/>
              <w:rPr>
                <w:rFonts w:cstheme="minorHAnsi"/>
                <w:szCs w:val="20"/>
              </w:rPr>
            </w:pPr>
          </w:p>
          <w:p w14:paraId="451EF83A" w14:textId="77777777" w:rsidR="00B436EA" w:rsidRPr="00C462A0" w:rsidRDefault="00B436EA" w:rsidP="00B436EA">
            <w:pPr>
              <w:jc w:val="both"/>
              <w:rPr>
                <w:rFonts w:cstheme="minorHAnsi"/>
                <w:szCs w:val="20"/>
              </w:rPr>
            </w:pPr>
            <w:r w:rsidRPr="00C462A0">
              <w:rPr>
                <w:rFonts w:cstheme="minorHAnsi"/>
                <w:szCs w:val="20"/>
              </w:rPr>
              <w:t>The expansion of IoT devices introduces additional surface area. Sensors used in energy and environmental monitoring often lack robust built-in security. Weak authentication, unencrypted communication, and infrequent updates widen potential entry points.</w:t>
            </w:r>
          </w:p>
          <w:p w14:paraId="5025A54E" w14:textId="77777777" w:rsidR="00B436EA" w:rsidRPr="00C462A0" w:rsidRDefault="00B436EA" w:rsidP="00B436EA">
            <w:pPr>
              <w:jc w:val="both"/>
              <w:rPr>
                <w:rFonts w:cstheme="minorHAnsi"/>
                <w:szCs w:val="20"/>
              </w:rPr>
            </w:pPr>
            <w:r w:rsidRPr="00C462A0">
              <w:rPr>
                <w:rFonts w:cstheme="minorHAnsi"/>
                <w:szCs w:val="20"/>
              </w:rPr>
              <w:t>Artificial intelligence and automation now influence both sides. Attackers use AI to craft convincing phishing content and accelerate vulnerability discovery. Defenders rely on behavioural analytics and anomaly detection to spot suspicious activity. The result is a faster, more adaptive threat environment.</w:t>
            </w:r>
          </w:p>
          <w:p w14:paraId="4F43922D" w14:textId="77777777" w:rsidR="00B436EA" w:rsidRPr="00C462A0" w:rsidRDefault="00B436EA" w:rsidP="00B436EA">
            <w:pPr>
              <w:jc w:val="both"/>
              <w:rPr>
                <w:rFonts w:cstheme="minorHAnsi"/>
                <w:szCs w:val="20"/>
              </w:rPr>
            </w:pPr>
          </w:p>
          <w:p w14:paraId="6E4BB750" w14:textId="77777777" w:rsidR="00B436EA" w:rsidRPr="00C462A0" w:rsidRDefault="00B436EA" w:rsidP="00B436EA">
            <w:pPr>
              <w:jc w:val="both"/>
              <w:rPr>
                <w:rFonts w:cstheme="minorHAnsi"/>
                <w:szCs w:val="20"/>
              </w:rPr>
            </w:pPr>
            <w:r w:rsidRPr="00C462A0">
              <w:rPr>
                <w:rFonts w:cstheme="minorHAnsi"/>
                <w:szCs w:val="20"/>
              </w:rPr>
              <w:t>Understanding this landscape involves more than compiling a list of threats. It requires asking who the actors are, what drives them, which techniques they deploy, and how sector characteristics such as energy systems, IoT deployments, and ESG infrastructures reshape risk exposure.</w:t>
            </w:r>
          </w:p>
          <w:p w14:paraId="69C478A3" w14:textId="77777777" w:rsidR="00B436EA" w:rsidRPr="00C462A0" w:rsidRDefault="00B436EA" w:rsidP="00B436EA">
            <w:pPr>
              <w:jc w:val="both"/>
              <w:rPr>
                <w:rFonts w:cstheme="minorHAnsi"/>
                <w:szCs w:val="20"/>
              </w:rPr>
            </w:pPr>
          </w:p>
          <w:p w14:paraId="3154F9BB" w14:textId="77777777" w:rsidR="00B436EA" w:rsidRPr="00C462A0" w:rsidRDefault="00B436EA" w:rsidP="00B436EA">
            <w:pPr>
              <w:jc w:val="both"/>
              <w:rPr>
                <w:rFonts w:cstheme="minorHAnsi"/>
                <w:szCs w:val="20"/>
              </w:rPr>
            </w:pPr>
            <w:r w:rsidRPr="00C462A0">
              <w:rPr>
                <w:rFonts w:cstheme="minorHAnsi"/>
                <w:szCs w:val="20"/>
              </w:rPr>
              <w:t>That analytical lens underpins effective threat modelling and cyber risk management in the sections that follow.</w:t>
            </w:r>
          </w:p>
          <w:p w14:paraId="23FD3FB8" w14:textId="77777777" w:rsidR="00B436EA" w:rsidRPr="00C462A0" w:rsidRDefault="00B436EA" w:rsidP="00B436EA">
            <w:pPr>
              <w:jc w:val="both"/>
              <w:rPr>
                <w:rFonts w:cstheme="minorHAnsi"/>
                <w:szCs w:val="20"/>
              </w:rPr>
            </w:pPr>
          </w:p>
          <w:p w14:paraId="458245F1" w14:textId="7771580E" w:rsidR="00B436EA" w:rsidRPr="00C462A0" w:rsidRDefault="00B436EA" w:rsidP="00B436EA">
            <w:pPr>
              <w:jc w:val="both"/>
              <w:rPr>
                <w:rFonts w:cstheme="minorHAnsi"/>
                <w:b/>
                <w:color w:val="00AC4E" w:themeColor="accent1"/>
                <w:szCs w:val="20"/>
                <w:u w:val="single"/>
              </w:rPr>
            </w:pPr>
            <w:r w:rsidRPr="00C462A0">
              <w:rPr>
                <w:rFonts w:cstheme="minorHAnsi"/>
                <w:b/>
                <w:color w:val="00AC4E" w:themeColor="accent1"/>
                <w:szCs w:val="20"/>
                <w:u w:val="single"/>
              </w:rPr>
              <w:t>Micro activity:</w:t>
            </w:r>
          </w:p>
          <w:p w14:paraId="31C20F0F" w14:textId="77777777" w:rsidR="00B436EA" w:rsidRPr="00C462A0" w:rsidRDefault="00B436EA" w:rsidP="00B436EA">
            <w:pPr>
              <w:jc w:val="both"/>
              <w:rPr>
                <w:rFonts w:cstheme="minorHAnsi"/>
                <w:szCs w:val="20"/>
              </w:rPr>
            </w:pPr>
            <w:r w:rsidRPr="00C462A0">
              <w:rPr>
                <w:rFonts w:cstheme="minorHAnsi"/>
                <w:szCs w:val="20"/>
              </w:rPr>
              <w:t>Select one sustainable system example (e.g., smart grid, ESG reporting platform, IoT-based environmental monitoring).</w:t>
            </w:r>
          </w:p>
          <w:p w14:paraId="7CC88A7D" w14:textId="77777777" w:rsidR="00B436EA" w:rsidRPr="00C462A0" w:rsidRDefault="00B436EA" w:rsidP="00B436EA">
            <w:pPr>
              <w:numPr>
                <w:ilvl w:val="0"/>
                <w:numId w:val="186"/>
              </w:numPr>
              <w:jc w:val="both"/>
              <w:rPr>
                <w:rFonts w:cstheme="minorHAnsi"/>
                <w:szCs w:val="20"/>
              </w:rPr>
            </w:pPr>
            <w:r w:rsidRPr="00C462A0">
              <w:rPr>
                <w:rFonts w:cstheme="minorHAnsi"/>
                <w:szCs w:val="20"/>
              </w:rPr>
              <w:t>Identify one likely threat actor.</w:t>
            </w:r>
          </w:p>
          <w:p w14:paraId="3475C7A9" w14:textId="77777777" w:rsidR="00B436EA" w:rsidRPr="00C462A0" w:rsidRDefault="00B436EA" w:rsidP="00B436EA">
            <w:pPr>
              <w:numPr>
                <w:ilvl w:val="0"/>
                <w:numId w:val="186"/>
              </w:numPr>
              <w:jc w:val="both"/>
              <w:rPr>
                <w:rFonts w:cstheme="minorHAnsi"/>
                <w:szCs w:val="20"/>
              </w:rPr>
            </w:pPr>
            <w:r w:rsidRPr="00C462A0">
              <w:rPr>
                <w:rFonts w:cstheme="minorHAnsi"/>
                <w:szCs w:val="20"/>
              </w:rPr>
              <w:t>Identify one likely attack vector.</w:t>
            </w:r>
          </w:p>
          <w:p w14:paraId="257967C0" w14:textId="77777777" w:rsidR="00B436EA" w:rsidRPr="00C462A0" w:rsidRDefault="00B436EA" w:rsidP="00B436EA">
            <w:pPr>
              <w:numPr>
                <w:ilvl w:val="0"/>
                <w:numId w:val="186"/>
              </w:numPr>
              <w:jc w:val="both"/>
              <w:rPr>
                <w:rFonts w:cstheme="minorHAnsi"/>
                <w:szCs w:val="20"/>
              </w:rPr>
            </w:pPr>
            <w:r w:rsidRPr="00C462A0">
              <w:rPr>
                <w:rFonts w:cstheme="minorHAnsi"/>
                <w:szCs w:val="20"/>
              </w:rPr>
              <w:t>Map the attack to one stage of the MITRE ATT&amp;CK lifecycle (e.g., initial access, lateral movement, exfiltration).</w:t>
            </w:r>
          </w:p>
          <w:p w14:paraId="3D8E03EC" w14:textId="77777777" w:rsidR="00B436EA" w:rsidRPr="00C462A0" w:rsidRDefault="00B436EA" w:rsidP="00B436EA">
            <w:pPr>
              <w:numPr>
                <w:ilvl w:val="0"/>
                <w:numId w:val="186"/>
              </w:numPr>
              <w:jc w:val="both"/>
              <w:rPr>
                <w:rFonts w:cstheme="minorHAnsi"/>
                <w:szCs w:val="20"/>
              </w:rPr>
            </w:pPr>
            <w:r w:rsidRPr="00C462A0">
              <w:rPr>
                <w:rFonts w:cstheme="minorHAnsi"/>
                <w:szCs w:val="20"/>
              </w:rPr>
              <w:t>Briefly describe the potential impact.</w:t>
            </w:r>
          </w:p>
          <w:p w14:paraId="0C39400A" w14:textId="77777777" w:rsidR="00B436EA" w:rsidRPr="00C462A0" w:rsidRDefault="00B436EA" w:rsidP="00B436EA">
            <w:pPr>
              <w:jc w:val="both"/>
              <w:rPr>
                <w:rFonts w:cstheme="minorHAnsi"/>
                <w:szCs w:val="20"/>
              </w:rPr>
            </w:pPr>
            <w:r w:rsidRPr="00C462A0">
              <w:rPr>
                <w:rFonts w:cstheme="minorHAnsi"/>
                <w:szCs w:val="20"/>
              </w:rPr>
              <w:t>Write your answers in 5–6 sentences.</w:t>
            </w:r>
          </w:p>
          <w:p w14:paraId="0B5A882B" w14:textId="77777777" w:rsidR="00B436EA" w:rsidRPr="00C462A0" w:rsidRDefault="00B436EA" w:rsidP="00B436EA">
            <w:pPr>
              <w:jc w:val="both"/>
              <w:rPr>
                <w:rFonts w:cstheme="minorHAnsi"/>
                <w:szCs w:val="20"/>
              </w:rPr>
            </w:pPr>
          </w:p>
          <w:p w14:paraId="2B268681" w14:textId="77777777" w:rsidR="00B436EA" w:rsidRPr="00C462A0" w:rsidRDefault="00B436EA" w:rsidP="00B436EA">
            <w:pPr>
              <w:jc w:val="both"/>
              <w:rPr>
                <w:rFonts w:cstheme="minorHAnsi"/>
                <w:b/>
                <w:color w:val="00AC4E" w:themeColor="accent1"/>
                <w:szCs w:val="20"/>
              </w:rPr>
            </w:pPr>
            <w:r w:rsidRPr="00C462A0">
              <w:rPr>
                <w:rFonts w:cstheme="minorHAnsi"/>
                <w:b/>
                <w:color w:val="00AC4E" w:themeColor="accent1"/>
                <w:szCs w:val="20"/>
              </w:rPr>
              <w:t>Additional readings:</w:t>
            </w:r>
          </w:p>
          <w:p w14:paraId="0002D524" w14:textId="0548BF7D" w:rsidR="00B436EA" w:rsidRPr="00C462A0" w:rsidRDefault="00B436EA" w:rsidP="00B436EA">
            <w:pPr>
              <w:pStyle w:val="ListParagraph"/>
              <w:numPr>
                <w:ilvl w:val="0"/>
                <w:numId w:val="185"/>
              </w:numPr>
              <w:rPr>
                <w:rFonts w:cstheme="minorHAnsi"/>
                <w:color w:val="00AC4E" w:themeColor="accent1"/>
                <w:szCs w:val="20"/>
              </w:rPr>
            </w:pPr>
            <w:hyperlink r:id="rId24" w:history="1">
              <w:r w:rsidRPr="00C462A0">
                <w:rPr>
                  <w:rStyle w:val="Hyperlink"/>
                  <w:rFonts w:cstheme="minorHAnsi"/>
                  <w:color w:val="00AC4E" w:themeColor="accent1"/>
                  <w:szCs w:val="20"/>
                </w:rPr>
                <w:t>MITRE ATT&amp;CK Framework</w:t>
              </w:r>
            </w:hyperlink>
          </w:p>
          <w:p w14:paraId="07B76421" w14:textId="6E113B4A" w:rsidR="00B436EA" w:rsidRPr="00C462A0" w:rsidRDefault="00B436EA" w:rsidP="00B436EA">
            <w:pPr>
              <w:pStyle w:val="ListParagraph"/>
              <w:numPr>
                <w:ilvl w:val="0"/>
                <w:numId w:val="185"/>
              </w:numPr>
              <w:rPr>
                <w:rFonts w:cstheme="minorHAnsi"/>
                <w:color w:val="00AC4E" w:themeColor="accent1"/>
                <w:szCs w:val="20"/>
              </w:rPr>
            </w:pPr>
            <w:hyperlink r:id="rId25" w:history="1">
              <w:r w:rsidRPr="00C462A0">
                <w:rPr>
                  <w:rStyle w:val="Hyperlink"/>
                  <w:rFonts w:cstheme="minorHAnsi"/>
                  <w:color w:val="00AC4E" w:themeColor="accent1"/>
                  <w:szCs w:val="20"/>
                </w:rPr>
                <w:t>CISA Secure-by-Design Guidance</w:t>
              </w:r>
            </w:hyperlink>
          </w:p>
          <w:p w14:paraId="2188F340" w14:textId="08CC7333" w:rsidR="00B436EA" w:rsidRPr="00C462A0" w:rsidRDefault="00B436EA" w:rsidP="00B436EA">
            <w:pPr>
              <w:pStyle w:val="ListParagraph"/>
              <w:numPr>
                <w:ilvl w:val="0"/>
                <w:numId w:val="185"/>
              </w:numPr>
              <w:rPr>
                <w:rFonts w:cstheme="minorHAnsi"/>
                <w:color w:val="00AC4E" w:themeColor="accent1"/>
                <w:szCs w:val="20"/>
              </w:rPr>
            </w:pPr>
            <w:hyperlink r:id="rId26" w:history="1">
              <w:r w:rsidRPr="00C462A0">
                <w:rPr>
                  <w:rStyle w:val="Hyperlink"/>
                  <w:rFonts w:cstheme="minorHAnsi"/>
                  <w:color w:val="00AC4E" w:themeColor="accent1"/>
                  <w:szCs w:val="20"/>
                </w:rPr>
                <w:t>Zscaler ThreatLabz 2026 Predictions: AI-powered attacks, ransomware supply-chain, IoT/OT/5G come battleground. Up-to-date as of 2026</w:t>
              </w:r>
            </w:hyperlink>
            <w:r w:rsidRPr="00C462A0">
              <w:rPr>
                <w:rFonts w:cstheme="minorHAnsi"/>
                <w:color w:val="00AC4E" w:themeColor="accent1"/>
                <w:szCs w:val="20"/>
              </w:rPr>
              <w:t xml:space="preserve"> </w:t>
            </w:r>
          </w:p>
          <w:p w14:paraId="1DE89479" w14:textId="46225D63" w:rsidR="00B436EA" w:rsidRPr="00C462A0" w:rsidRDefault="00B436EA" w:rsidP="00B436EA">
            <w:pPr>
              <w:pStyle w:val="ListParagraph"/>
              <w:numPr>
                <w:ilvl w:val="0"/>
                <w:numId w:val="185"/>
              </w:numPr>
              <w:rPr>
                <w:rFonts w:cstheme="minorHAnsi"/>
                <w:color w:val="00AC4E" w:themeColor="accent1"/>
                <w:szCs w:val="20"/>
              </w:rPr>
            </w:pPr>
            <w:hyperlink r:id="rId27" w:history="1">
              <w:r w:rsidRPr="00C462A0">
                <w:rPr>
                  <w:rStyle w:val="Hyperlink"/>
                  <w:rFonts w:cstheme="minorHAnsi"/>
                  <w:color w:val="00AC4E" w:themeColor="accent1"/>
                  <w:szCs w:val="20"/>
                </w:rPr>
                <w:t>Sustainability Directory - Cyber Threat Landscape: Evoluzione rischi cyber nel contesto sostenibilità (ESG pillar),</w:t>
              </w:r>
            </w:hyperlink>
          </w:p>
          <w:p w14:paraId="7E94A57E" w14:textId="14BFC026" w:rsidR="00B436EA" w:rsidRPr="00C462A0" w:rsidRDefault="00B436EA" w:rsidP="00B436EA">
            <w:pPr>
              <w:pStyle w:val="ListParagraph"/>
              <w:numPr>
                <w:ilvl w:val="0"/>
                <w:numId w:val="185"/>
              </w:numPr>
              <w:rPr>
                <w:rFonts w:cstheme="minorHAnsi"/>
                <w:color w:val="00AC4E" w:themeColor="accent1"/>
                <w:szCs w:val="20"/>
              </w:rPr>
            </w:pPr>
            <w:hyperlink r:id="rId28" w:history="1">
              <w:r w:rsidRPr="00C462A0">
                <w:rPr>
                  <w:rStyle w:val="Hyperlink"/>
                  <w:rFonts w:cstheme="minorHAnsi"/>
                  <w:color w:val="00AC4E" w:themeColor="accent1"/>
                  <w:szCs w:val="20"/>
                </w:rPr>
                <w:t>MITRE ATT&amp;CK in ESG Context: Applicazioni per threat-informed defence in sustainability tech</w:t>
              </w:r>
            </w:hyperlink>
            <w:r w:rsidRPr="00C462A0">
              <w:rPr>
                <w:rFonts w:cstheme="minorHAnsi"/>
                <w:color w:val="00AC4E" w:themeColor="accent1"/>
                <w:szCs w:val="20"/>
              </w:rPr>
              <w:t xml:space="preserve"> </w:t>
            </w:r>
            <w:hyperlink r:id="rId29" w:history="1"/>
            <w:r w:rsidRPr="00C462A0">
              <w:rPr>
                <w:rFonts w:cstheme="minorHAnsi"/>
                <w:color w:val="00AC4E" w:themeColor="accent1"/>
                <w:szCs w:val="20"/>
              </w:rPr>
              <w:t xml:space="preserve"> </w:t>
            </w:r>
          </w:p>
          <w:p w14:paraId="279DD42D" w14:textId="77777777" w:rsidR="00B436EA" w:rsidRPr="00C462A0" w:rsidRDefault="00B436EA" w:rsidP="00B436EA">
            <w:pPr>
              <w:pStyle w:val="ListParagraph"/>
              <w:jc w:val="both"/>
              <w:rPr>
                <w:rFonts w:cstheme="minorHAnsi"/>
                <w:szCs w:val="20"/>
              </w:rPr>
            </w:pPr>
          </w:p>
          <w:p w14:paraId="6CE1907F" w14:textId="77777777" w:rsidR="00B436EA" w:rsidRPr="00C462A0" w:rsidRDefault="00B436EA" w:rsidP="00B436EA">
            <w:pPr>
              <w:jc w:val="both"/>
              <w:rPr>
                <w:rFonts w:cstheme="minorHAnsi"/>
                <w:b/>
                <w:color w:val="00AC4E" w:themeColor="accent1"/>
                <w:szCs w:val="20"/>
              </w:rPr>
            </w:pPr>
            <w:r w:rsidRPr="00C462A0">
              <w:rPr>
                <w:rFonts w:cstheme="minorHAnsi"/>
                <w:b/>
                <w:color w:val="00AC4E" w:themeColor="accent1"/>
                <w:szCs w:val="20"/>
              </w:rPr>
              <w:t>Key takeaways:</w:t>
            </w:r>
          </w:p>
          <w:p w14:paraId="24714349" w14:textId="77777777" w:rsidR="00B436EA" w:rsidRPr="00C462A0" w:rsidRDefault="00B436EA" w:rsidP="00B436EA">
            <w:pPr>
              <w:pStyle w:val="ListParagraph"/>
              <w:numPr>
                <w:ilvl w:val="0"/>
                <w:numId w:val="185"/>
              </w:numPr>
              <w:jc w:val="both"/>
              <w:rPr>
                <w:rFonts w:cstheme="minorHAnsi"/>
                <w:szCs w:val="20"/>
              </w:rPr>
            </w:pPr>
            <w:r w:rsidRPr="00C462A0">
              <w:rPr>
                <w:rFonts w:cstheme="minorHAnsi"/>
                <w:szCs w:val="20"/>
              </w:rPr>
              <w:t>The modern threat landscape is dynamic, professionalised, and increasingly targeted at critical infrastructures.</w:t>
            </w:r>
          </w:p>
          <w:p w14:paraId="282F17C5" w14:textId="77777777" w:rsidR="00B436EA" w:rsidRPr="00C462A0" w:rsidRDefault="00B436EA" w:rsidP="00B436EA">
            <w:pPr>
              <w:pStyle w:val="ListParagraph"/>
              <w:numPr>
                <w:ilvl w:val="0"/>
                <w:numId w:val="185"/>
              </w:numPr>
              <w:jc w:val="both"/>
              <w:rPr>
                <w:rFonts w:cstheme="minorHAnsi"/>
                <w:szCs w:val="20"/>
              </w:rPr>
            </w:pPr>
            <w:r w:rsidRPr="00C462A0">
              <w:rPr>
                <w:rFonts w:cstheme="minorHAnsi"/>
                <w:szCs w:val="20"/>
              </w:rPr>
              <w:lastRenderedPageBreak/>
              <w:t>Threat actors include cybercriminals, state actors, hacktivists, and insiders, each with distinct motivations.</w:t>
            </w:r>
          </w:p>
          <w:p w14:paraId="31AFA8A6" w14:textId="77777777" w:rsidR="00B436EA" w:rsidRPr="00C462A0" w:rsidRDefault="00B436EA" w:rsidP="00B436EA">
            <w:pPr>
              <w:pStyle w:val="ListParagraph"/>
              <w:numPr>
                <w:ilvl w:val="0"/>
                <w:numId w:val="185"/>
              </w:numPr>
              <w:jc w:val="both"/>
              <w:rPr>
                <w:rFonts w:cstheme="minorHAnsi"/>
                <w:szCs w:val="20"/>
              </w:rPr>
            </w:pPr>
            <w:r w:rsidRPr="00C462A0">
              <w:rPr>
                <w:rFonts w:cstheme="minorHAnsi"/>
                <w:szCs w:val="20"/>
              </w:rPr>
              <w:t>Ransomware, phishing, and supply chain attacks are dominant contemporary threats.</w:t>
            </w:r>
          </w:p>
          <w:p w14:paraId="3AE5B81B" w14:textId="77777777" w:rsidR="00B436EA" w:rsidRPr="00C462A0" w:rsidRDefault="00B436EA" w:rsidP="00B436EA">
            <w:pPr>
              <w:pStyle w:val="ListParagraph"/>
              <w:numPr>
                <w:ilvl w:val="0"/>
                <w:numId w:val="185"/>
              </w:numPr>
              <w:jc w:val="both"/>
              <w:rPr>
                <w:rFonts w:cstheme="minorHAnsi"/>
                <w:szCs w:val="20"/>
              </w:rPr>
            </w:pPr>
            <w:r w:rsidRPr="00C462A0">
              <w:rPr>
                <w:rFonts w:cstheme="minorHAnsi"/>
                <w:szCs w:val="20"/>
              </w:rPr>
              <w:t>Sustainable digital systems (energy, IoT, ESG platforms) expand the attack surface due to IT/OT integration and cloud dependencies.</w:t>
            </w:r>
          </w:p>
          <w:p w14:paraId="19D4A872" w14:textId="77777777" w:rsidR="00B436EA" w:rsidRPr="00C462A0" w:rsidRDefault="00B436EA" w:rsidP="00B436EA">
            <w:pPr>
              <w:pStyle w:val="ListParagraph"/>
              <w:numPr>
                <w:ilvl w:val="0"/>
                <w:numId w:val="185"/>
              </w:numPr>
              <w:jc w:val="both"/>
              <w:rPr>
                <w:rFonts w:cstheme="minorHAnsi"/>
                <w:szCs w:val="20"/>
              </w:rPr>
            </w:pPr>
            <w:r w:rsidRPr="00C462A0">
              <w:rPr>
                <w:rFonts w:cstheme="minorHAnsi"/>
                <w:szCs w:val="20"/>
              </w:rPr>
              <w:t>Structured frameworks such as MITRE ATT&amp;CK support systematic threat analysis and defence planning.</w:t>
            </w:r>
          </w:p>
          <w:p w14:paraId="0E4EDF94" w14:textId="77777777" w:rsidR="00B436EA" w:rsidRPr="00C462A0" w:rsidRDefault="00B436EA" w:rsidP="00B436EA">
            <w:pPr>
              <w:jc w:val="both"/>
              <w:rPr>
                <w:rFonts w:cstheme="minorHAnsi"/>
                <w:szCs w:val="20"/>
              </w:rPr>
            </w:pPr>
          </w:p>
          <w:p w14:paraId="02E3F328" w14:textId="77777777" w:rsidR="00B436EA" w:rsidRPr="00C462A0" w:rsidRDefault="00B436EA" w:rsidP="00B436EA">
            <w:pPr>
              <w:jc w:val="both"/>
              <w:rPr>
                <w:rFonts w:cstheme="minorHAnsi"/>
                <w:b/>
                <w:color w:val="00AC4E" w:themeColor="accent1"/>
                <w:szCs w:val="20"/>
              </w:rPr>
            </w:pPr>
            <w:r w:rsidRPr="00C462A0">
              <w:rPr>
                <w:rFonts w:cstheme="minorHAnsi"/>
                <w:b/>
                <w:color w:val="00AC4E" w:themeColor="accent1"/>
                <w:szCs w:val="20"/>
              </w:rPr>
              <w:t>Quick Check:</w:t>
            </w:r>
          </w:p>
          <w:p w14:paraId="00CA552B" w14:textId="386A06A2" w:rsidR="00B436EA" w:rsidRPr="00C462A0" w:rsidRDefault="00B436EA" w:rsidP="00B436EA">
            <w:pPr>
              <w:pStyle w:val="ListParagraph"/>
              <w:numPr>
                <w:ilvl w:val="1"/>
                <w:numId w:val="186"/>
              </w:numPr>
              <w:ind w:left="360"/>
              <w:jc w:val="both"/>
              <w:rPr>
                <w:rFonts w:cstheme="minorHAnsi"/>
                <w:color w:val="009889" w:themeColor="accent2"/>
                <w:szCs w:val="20"/>
              </w:rPr>
            </w:pPr>
            <w:r w:rsidRPr="00C462A0">
              <w:rPr>
                <w:rFonts w:cstheme="minorHAnsi"/>
                <w:b/>
                <w:bCs/>
                <w:color w:val="009889" w:themeColor="accent2"/>
                <w:szCs w:val="20"/>
              </w:rPr>
              <w:t>True or False:</w:t>
            </w:r>
            <w:r w:rsidRPr="00C462A0">
              <w:rPr>
                <w:rFonts w:cstheme="minorHAnsi"/>
                <w:color w:val="009889" w:themeColor="accent2"/>
                <w:szCs w:val="20"/>
              </w:rPr>
              <w:t xml:space="preserve"> Modern ransomware attacks often include both data encryption and data exfiltration. </w:t>
            </w:r>
          </w:p>
          <w:p w14:paraId="5AC612D6" w14:textId="77777777" w:rsidR="00B436EA" w:rsidRPr="00C462A0" w:rsidRDefault="00B436EA" w:rsidP="00B436EA">
            <w:pPr>
              <w:pStyle w:val="ListParagraph"/>
              <w:ind w:left="360"/>
              <w:jc w:val="both"/>
              <w:rPr>
                <w:rFonts w:cstheme="minorHAnsi"/>
                <w:color w:val="009889" w:themeColor="accent2"/>
                <w:szCs w:val="20"/>
              </w:rPr>
            </w:pPr>
          </w:p>
          <w:p w14:paraId="4E7359EA" w14:textId="5542DAA2" w:rsidR="00B436EA" w:rsidRPr="00C462A0" w:rsidRDefault="00B436EA" w:rsidP="00B436EA">
            <w:pPr>
              <w:pStyle w:val="ListParagraph"/>
              <w:numPr>
                <w:ilvl w:val="1"/>
                <w:numId w:val="186"/>
              </w:numPr>
              <w:ind w:left="360"/>
              <w:jc w:val="both"/>
              <w:rPr>
                <w:rFonts w:cstheme="minorHAnsi"/>
                <w:color w:val="009889" w:themeColor="accent2"/>
                <w:szCs w:val="20"/>
              </w:rPr>
            </w:pPr>
            <w:r w:rsidRPr="00C462A0">
              <w:rPr>
                <w:rFonts w:cstheme="minorHAnsi"/>
                <w:color w:val="009889" w:themeColor="accent2"/>
                <w:szCs w:val="20"/>
              </w:rPr>
              <w:t>Which of the following best describes a supply chain attack? [b]</w:t>
            </w:r>
          </w:p>
          <w:p w14:paraId="3A4D331C" w14:textId="77777777" w:rsidR="00B436EA" w:rsidRPr="00C462A0" w:rsidRDefault="00B436EA" w:rsidP="00B436EA">
            <w:pPr>
              <w:pStyle w:val="ListParagraph"/>
              <w:numPr>
                <w:ilvl w:val="0"/>
                <w:numId w:val="190"/>
              </w:numPr>
              <w:jc w:val="both"/>
              <w:rPr>
                <w:rFonts w:cstheme="minorHAnsi"/>
                <w:szCs w:val="20"/>
              </w:rPr>
            </w:pPr>
            <w:r w:rsidRPr="00C462A0">
              <w:rPr>
                <w:rFonts w:cstheme="minorHAnsi"/>
                <w:szCs w:val="20"/>
              </w:rPr>
              <w:t>An attack targeting only internal employees</w:t>
            </w:r>
          </w:p>
          <w:p w14:paraId="3EAE8F7D" w14:textId="77777777" w:rsidR="00B436EA" w:rsidRPr="00C462A0" w:rsidRDefault="00B436EA" w:rsidP="00B436EA">
            <w:pPr>
              <w:pStyle w:val="ListParagraph"/>
              <w:numPr>
                <w:ilvl w:val="0"/>
                <w:numId w:val="190"/>
              </w:numPr>
              <w:jc w:val="both"/>
              <w:rPr>
                <w:rFonts w:cstheme="minorHAnsi"/>
                <w:szCs w:val="20"/>
              </w:rPr>
            </w:pPr>
            <w:r w:rsidRPr="00C462A0">
              <w:rPr>
                <w:rFonts w:cstheme="minorHAnsi"/>
                <w:szCs w:val="20"/>
              </w:rPr>
              <w:t>An attack exploiting a trusted third-party supplier or software provider</w:t>
            </w:r>
          </w:p>
          <w:p w14:paraId="49C391D7" w14:textId="77777777" w:rsidR="00B436EA" w:rsidRPr="00C462A0" w:rsidRDefault="00B436EA" w:rsidP="00B436EA">
            <w:pPr>
              <w:pStyle w:val="ListParagraph"/>
              <w:numPr>
                <w:ilvl w:val="0"/>
                <w:numId w:val="190"/>
              </w:numPr>
              <w:jc w:val="both"/>
              <w:rPr>
                <w:rFonts w:cstheme="minorHAnsi"/>
                <w:szCs w:val="20"/>
              </w:rPr>
            </w:pPr>
            <w:r w:rsidRPr="00C462A0">
              <w:rPr>
                <w:rFonts w:cstheme="minorHAnsi"/>
                <w:szCs w:val="20"/>
              </w:rPr>
              <w:t>An attack limited to phishing emails</w:t>
            </w:r>
          </w:p>
          <w:p w14:paraId="2F7135E4" w14:textId="7BCD8636" w:rsidR="00B436EA" w:rsidRPr="00C462A0" w:rsidRDefault="00B436EA" w:rsidP="00B436EA">
            <w:pPr>
              <w:pStyle w:val="ListParagraph"/>
              <w:numPr>
                <w:ilvl w:val="0"/>
                <w:numId w:val="190"/>
              </w:numPr>
              <w:jc w:val="both"/>
              <w:rPr>
                <w:rFonts w:cstheme="minorHAnsi"/>
                <w:szCs w:val="20"/>
              </w:rPr>
            </w:pPr>
            <w:r w:rsidRPr="00C462A0">
              <w:rPr>
                <w:rFonts w:cstheme="minorHAnsi"/>
                <w:szCs w:val="20"/>
              </w:rPr>
              <w:t>An attack that affects only physical hardware.</w:t>
            </w:r>
          </w:p>
          <w:p w14:paraId="7E2FB396" w14:textId="77777777" w:rsidR="00B436EA" w:rsidRPr="00C462A0" w:rsidRDefault="00B436EA" w:rsidP="00B436EA">
            <w:pPr>
              <w:pStyle w:val="ListParagraph"/>
              <w:ind w:left="360"/>
              <w:jc w:val="both"/>
              <w:rPr>
                <w:rFonts w:cstheme="minorHAnsi"/>
                <w:szCs w:val="20"/>
              </w:rPr>
            </w:pPr>
          </w:p>
          <w:p w14:paraId="26E6B921" w14:textId="3C360E5F" w:rsidR="00B436EA" w:rsidRPr="00C462A0" w:rsidRDefault="00B436EA" w:rsidP="00B436EA">
            <w:pPr>
              <w:pStyle w:val="ListParagraph"/>
              <w:numPr>
                <w:ilvl w:val="1"/>
                <w:numId w:val="186"/>
              </w:numPr>
              <w:ind w:left="360"/>
              <w:jc w:val="both"/>
              <w:rPr>
                <w:rFonts w:cstheme="minorHAnsi"/>
                <w:color w:val="009889" w:themeColor="accent2"/>
                <w:szCs w:val="20"/>
              </w:rPr>
            </w:pPr>
            <w:r w:rsidRPr="00C462A0">
              <w:rPr>
                <w:rFonts w:cstheme="minorHAnsi"/>
                <w:color w:val="009889" w:themeColor="accent2"/>
                <w:szCs w:val="20"/>
              </w:rPr>
              <w:t xml:space="preserve">What is the primary purpose of the MITRE ATT&amp;CK framework?  </w:t>
            </w:r>
          </w:p>
          <w:p w14:paraId="7C58FEE0" w14:textId="77777777" w:rsidR="00B436EA" w:rsidRPr="00C462A0" w:rsidRDefault="00B436EA" w:rsidP="00B436EA">
            <w:pPr>
              <w:pStyle w:val="ListParagraph"/>
              <w:numPr>
                <w:ilvl w:val="0"/>
                <w:numId w:val="191"/>
              </w:numPr>
              <w:jc w:val="both"/>
              <w:rPr>
                <w:rFonts w:cstheme="minorHAnsi"/>
                <w:szCs w:val="20"/>
              </w:rPr>
            </w:pPr>
            <w:r w:rsidRPr="00C462A0">
              <w:rPr>
                <w:rFonts w:cstheme="minorHAnsi"/>
                <w:szCs w:val="20"/>
              </w:rPr>
              <w:t>To replace antivirus software</w:t>
            </w:r>
          </w:p>
          <w:p w14:paraId="7D36DA0C" w14:textId="77777777" w:rsidR="00B436EA" w:rsidRPr="00C462A0" w:rsidRDefault="00B436EA" w:rsidP="00B436EA">
            <w:pPr>
              <w:pStyle w:val="ListParagraph"/>
              <w:numPr>
                <w:ilvl w:val="0"/>
                <w:numId w:val="191"/>
              </w:numPr>
              <w:jc w:val="both"/>
              <w:rPr>
                <w:rFonts w:cstheme="minorHAnsi"/>
                <w:szCs w:val="20"/>
              </w:rPr>
            </w:pPr>
            <w:r w:rsidRPr="00C462A0">
              <w:rPr>
                <w:rFonts w:cstheme="minorHAnsi"/>
                <w:szCs w:val="20"/>
              </w:rPr>
              <w:t>To classify software vulnerabilities by severity</w:t>
            </w:r>
          </w:p>
          <w:p w14:paraId="3C57F62C" w14:textId="77777777" w:rsidR="00B436EA" w:rsidRPr="00C462A0" w:rsidRDefault="00B436EA" w:rsidP="00B436EA">
            <w:pPr>
              <w:pStyle w:val="ListParagraph"/>
              <w:numPr>
                <w:ilvl w:val="0"/>
                <w:numId w:val="191"/>
              </w:numPr>
              <w:jc w:val="both"/>
              <w:rPr>
                <w:rFonts w:cstheme="minorHAnsi"/>
                <w:szCs w:val="20"/>
              </w:rPr>
            </w:pPr>
            <w:r w:rsidRPr="00C462A0">
              <w:rPr>
                <w:rFonts w:cstheme="minorHAnsi"/>
                <w:szCs w:val="20"/>
              </w:rPr>
              <w:t>To provide a structured knowledge base of adversary tactics and techniques</w:t>
            </w:r>
          </w:p>
          <w:p w14:paraId="158BBA8C" w14:textId="00D22F34" w:rsidR="00B436EA" w:rsidRPr="00C462A0" w:rsidRDefault="00B436EA" w:rsidP="00B436EA">
            <w:pPr>
              <w:pStyle w:val="ListParagraph"/>
              <w:numPr>
                <w:ilvl w:val="0"/>
                <w:numId w:val="191"/>
              </w:numPr>
              <w:jc w:val="both"/>
              <w:rPr>
                <w:rFonts w:cstheme="minorHAnsi"/>
                <w:szCs w:val="20"/>
              </w:rPr>
            </w:pPr>
            <w:r w:rsidRPr="00C462A0">
              <w:rPr>
                <w:rFonts w:cstheme="minorHAnsi"/>
                <w:szCs w:val="20"/>
              </w:rPr>
              <w:t>To encrypt sensitive data.</w:t>
            </w:r>
          </w:p>
          <w:p w14:paraId="5D318962" w14:textId="77777777" w:rsidR="00B436EA" w:rsidRPr="00C462A0" w:rsidRDefault="00B436EA" w:rsidP="00B436EA">
            <w:pPr>
              <w:spacing w:line="276" w:lineRule="auto"/>
              <w:jc w:val="both"/>
              <w:rPr>
                <w:rFonts w:cstheme="minorHAnsi"/>
                <w:bCs/>
                <w:i/>
                <w:iCs/>
                <w:szCs w:val="20"/>
              </w:rPr>
            </w:pPr>
          </w:p>
          <w:p w14:paraId="78AD5674" w14:textId="0D71D255" w:rsidR="00B436EA" w:rsidRPr="00C462A0" w:rsidRDefault="00B436EA" w:rsidP="00B436EA">
            <w:pPr>
              <w:spacing w:line="276" w:lineRule="auto"/>
              <w:jc w:val="both"/>
              <w:rPr>
                <w:rFonts w:cstheme="minorHAnsi"/>
                <w:b/>
                <w:szCs w:val="20"/>
              </w:rPr>
            </w:pPr>
            <w:r w:rsidRPr="00C462A0">
              <w:rPr>
                <w:rFonts w:cstheme="minorHAnsi"/>
                <w:bCs/>
                <w:i/>
                <w:iCs/>
                <w:szCs w:val="20"/>
              </w:rPr>
              <w:t>Answer key: 1. true, 2. b), 2. c).</w:t>
            </w:r>
          </w:p>
        </w:tc>
      </w:tr>
    </w:tbl>
    <w:p w14:paraId="37C7D65D" w14:textId="77777777" w:rsidR="00BB1CD7" w:rsidRDefault="00BB1CD7" w:rsidP="00BB1CD7"/>
    <w:p w14:paraId="02FCCF61" w14:textId="77777777" w:rsidR="00C462A0" w:rsidRDefault="00C462A0" w:rsidP="00BB1CD7"/>
    <w:p w14:paraId="6C4F67C5" w14:textId="77777777" w:rsidR="00C462A0" w:rsidRDefault="00C462A0" w:rsidP="00BB1CD7"/>
    <w:p w14:paraId="065B192F" w14:textId="77777777" w:rsidR="00C462A0" w:rsidRDefault="00C462A0" w:rsidP="00BB1CD7"/>
    <w:p w14:paraId="476ECE8B" w14:textId="77777777" w:rsidR="00C462A0" w:rsidRDefault="00C462A0" w:rsidP="00BB1CD7"/>
    <w:p w14:paraId="2B51D9F4" w14:textId="77777777" w:rsidR="00C462A0" w:rsidRDefault="00C462A0" w:rsidP="00BB1CD7"/>
    <w:p w14:paraId="61AA5D7A" w14:textId="77777777" w:rsidR="00C462A0" w:rsidRDefault="00C462A0" w:rsidP="00BB1CD7"/>
    <w:p w14:paraId="4ADB5274" w14:textId="77777777" w:rsidR="00C462A0" w:rsidRDefault="00C462A0" w:rsidP="00BB1CD7"/>
    <w:p w14:paraId="5DBDFBE3" w14:textId="77777777" w:rsidR="00C462A0" w:rsidRDefault="00C462A0" w:rsidP="00BB1CD7"/>
    <w:p w14:paraId="4CF39E30" w14:textId="77777777" w:rsidR="00C462A0" w:rsidRDefault="00C462A0" w:rsidP="00BB1CD7"/>
    <w:p w14:paraId="5ACD4B13" w14:textId="77777777" w:rsidR="00C462A0" w:rsidRDefault="00C462A0" w:rsidP="00BB1CD7"/>
    <w:p w14:paraId="470E8367" w14:textId="77777777" w:rsidR="00C462A0" w:rsidRPr="00C462A0" w:rsidRDefault="00C462A0" w:rsidP="00BB1CD7"/>
    <w:tbl>
      <w:tblPr>
        <w:tblStyle w:val="TableGrid"/>
        <w:tblW w:w="0" w:type="auto"/>
        <w:tblLook w:val="04A0" w:firstRow="1" w:lastRow="0" w:firstColumn="1" w:lastColumn="0" w:noHBand="0" w:noVBand="1"/>
      </w:tblPr>
      <w:tblGrid>
        <w:gridCol w:w="9628"/>
      </w:tblGrid>
      <w:tr w:rsidR="00B436EA" w:rsidRPr="00C462A0" w14:paraId="3C280849" w14:textId="77777777" w:rsidTr="00B436EA">
        <w:tc>
          <w:tcPr>
            <w:tcW w:w="9628" w:type="dxa"/>
          </w:tcPr>
          <w:p w14:paraId="0202B009" w14:textId="4546C180" w:rsidR="00B436EA" w:rsidRPr="00C462A0" w:rsidRDefault="00B436EA" w:rsidP="00210B7E">
            <w:pPr>
              <w:pStyle w:val="Heading2"/>
              <w:numPr>
                <w:ilvl w:val="0"/>
                <w:numId w:val="0"/>
              </w:numPr>
              <w:spacing w:before="0" w:line="276" w:lineRule="auto"/>
              <w:rPr>
                <w:rFonts w:cstheme="minorHAnsi"/>
                <w:b/>
                <w:bCs/>
                <w:szCs w:val="40"/>
              </w:rPr>
            </w:pPr>
            <w:bookmarkStart w:id="16" w:name="_Toc227623402"/>
            <w:r w:rsidRPr="00C462A0">
              <w:rPr>
                <w:rFonts w:cstheme="minorHAnsi"/>
                <w:b/>
                <w:bCs/>
                <w:szCs w:val="40"/>
              </w:rPr>
              <w:lastRenderedPageBreak/>
              <w:t>Topic 1.</w:t>
            </w:r>
            <w:r w:rsidR="00412A29" w:rsidRPr="00C462A0">
              <w:rPr>
                <w:rFonts w:cstheme="minorHAnsi"/>
                <w:b/>
                <w:bCs/>
                <w:szCs w:val="40"/>
              </w:rPr>
              <w:t>3</w:t>
            </w:r>
            <w:r w:rsidRPr="00C462A0">
              <w:rPr>
                <w:rFonts w:cstheme="minorHAnsi"/>
                <w:b/>
                <w:bCs/>
                <w:szCs w:val="40"/>
              </w:rPr>
              <w:t xml:space="preserve">: </w:t>
            </w:r>
            <w:r w:rsidR="00412A29" w:rsidRPr="00C462A0">
              <w:rPr>
                <w:rFonts w:cstheme="minorHAnsi"/>
                <w:b/>
                <w:bCs/>
                <w:szCs w:val="40"/>
              </w:rPr>
              <w:t>Modern Cybersecurity tactics and techniques</w:t>
            </w:r>
            <w:bookmarkEnd w:id="16"/>
          </w:p>
        </w:tc>
      </w:tr>
      <w:tr w:rsidR="00B436EA" w:rsidRPr="00C462A0" w14:paraId="3AAFCC01" w14:textId="77777777" w:rsidTr="00412A29">
        <w:tc>
          <w:tcPr>
            <w:tcW w:w="9628" w:type="dxa"/>
            <w:shd w:val="clear" w:color="auto" w:fill="D9D9D9" w:themeFill="background1" w:themeFillShade="D9"/>
          </w:tcPr>
          <w:p w14:paraId="66D2A925" w14:textId="77777777" w:rsidR="00B436EA" w:rsidRPr="00C462A0" w:rsidRDefault="00B436EA" w:rsidP="00210B7E">
            <w:pPr>
              <w:spacing w:line="276" w:lineRule="auto"/>
              <w:rPr>
                <w:rFonts w:cstheme="minorHAnsi"/>
                <w:b/>
                <w:szCs w:val="20"/>
              </w:rPr>
            </w:pPr>
            <w:r w:rsidRPr="00C462A0">
              <w:rPr>
                <w:rFonts w:cstheme="minorHAnsi"/>
                <w:b/>
                <w:szCs w:val="20"/>
              </w:rPr>
              <w:t>Short introduction:</w:t>
            </w:r>
          </w:p>
        </w:tc>
      </w:tr>
      <w:tr w:rsidR="00B436EA" w:rsidRPr="00C462A0" w14:paraId="36D7A3AC" w14:textId="77777777" w:rsidTr="00B436EA">
        <w:tc>
          <w:tcPr>
            <w:tcW w:w="9628" w:type="dxa"/>
          </w:tcPr>
          <w:p w14:paraId="7E941B26" w14:textId="77777777" w:rsidR="00412A29" w:rsidRPr="00C462A0" w:rsidRDefault="00412A29" w:rsidP="00412A29">
            <w:pPr>
              <w:jc w:val="both"/>
              <w:rPr>
                <w:szCs w:val="20"/>
              </w:rPr>
            </w:pPr>
            <w:r w:rsidRPr="00C462A0">
              <w:rPr>
                <w:szCs w:val="20"/>
              </w:rPr>
              <w:t>Modern cybersecurity is no longer just about dealing with isolated attacks or fixing single vulnerabilities. It calls for a clear understanding of how adversaries actually operate, the tactics they use to achieve their goals, and the techniques they employ at every stage of an attack. This topic explores current attacker methodologies and defensive responses, with a specific focus on sustainable digital infrastructures such as energy systems, IoT environments, and ESG data platforms.</w:t>
            </w:r>
          </w:p>
          <w:p w14:paraId="6E3D0AE3" w14:textId="77777777" w:rsidR="00B436EA" w:rsidRPr="00C462A0" w:rsidRDefault="00B436EA" w:rsidP="00210B7E">
            <w:pPr>
              <w:spacing w:line="276" w:lineRule="auto"/>
              <w:rPr>
                <w:rFonts w:cstheme="minorHAnsi"/>
                <w:szCs w:val="20"/>
              </w:rPr>
            </w:pPr>
          </w:p>
        </w:tc>
      </w:tr>
      <w:tr w:rsidR="00B436EA" w:rsidRPr="00C462A0" w14:paraId="10C9FC62" w14:textId="77777777" w:rsidTr="00412A29">
        <w:tc>
          <w:tcPr>
            <w:tcW w:w="9628" w:type="dxa"/>
            <w:shd w:val="clear" w:color="auto" w:fill="D9D9D9" w:themeFill="background1" w:themeFillShade="D9"/>
          </w:tcPr>
          <w:p w14:paraId="09AEC50B" w14:textId="77777777" w:rsidR="00B436EA" w:rsidRPr="00C462A0" w:rsidRDefault="00B436EA" w:rsidP="00210B7E">
            <w:pPr>
              <w:spacing w:line="276" w:lineRule="auto"/>
              <w:rPr>
                <w:rFonts w:cstheme="minorHAnsi"/>
                <w:b/>
                <w:szCs w:val="20"/>
              </w:rPr>
            </w:pPr>
            <w:r w:rsidRPr="00C462A0">
              <w:rPr>
                <w:rFonts w:cstheme="minorHAnsi"/>
                <w:b/>
                <w:szCs w:val="20"/>
              </w:rPr>
              <w:t xml:space="preserve">Theory &amp; Knowledge: </w:t>
            </w:r>
          </w:p>
        </w:tc>
      </w:tr>
      <w:tr w:rsidR="00B436EA" w:rsidRPr="00C462A0" w14:paraId="09B80FDE" w14:textId="77777777" w:rsidTr="00B436EA">
        <w:trPr>
          <w:trHeight w:val="2142"/>
        </w:trPr>
        <w:tc>
          <w:tcPr>
            <w:tcW w:w="9628" w:type="dxa"/>
          </w:tcPr>
          <w:p w14:paraId="0B312EDE" w14:textId="21373E4E" w:rsidR="00412A29" w:rsidRPr="00C462A0" w:rsidRDefault="00412A29" w:rsidP="00412A29">
            <w:pPr>
              <w:jc w:val="both"/>
              <w:rPr>
                <w:szCs w:val="20"/>
              </w:rPr>
            </w:pPr>
            <w:r w:rsidRPr="00C462A0">
              <w:rPr>
                <w:szCs w:val="20"/>
              </w:rPr>
              <w:t>Modern cybersecurity analysis no longer views attacks as isolated incidents but as organised campaigns built from coordinated actions. Threat actors — from cybercriminal groups to state-sponsored operators — tend to follow recognisable patterns known as Tactics, Techniques, and Procedures (TTPs). Understanding these patterns helps defenders anticipate, detect, and mitigate attacks more consistently and effectively.</w:t>
            </w:r>
          </w:p>
          <w:p w14:paraId="78DFB1B8" w14:textId="77777777" w:rsidR="00412A29" w:rsidRPr="00C462A0" w:rsidRDefault="00412A29" w:rsidP="00412A29">
            <w:pPr>
              <w:jc w:val="both"/>
              <w:rPr>
                <w:szCs w:val="20"/>
              </w:rPr>
            </w:pPr>
            <w:r w:rsidRPr="00C462A0">
              <w:rPr>
                <w:szCs w:val="20"/>
              </w:rPr>
              <w:t>A tactic refers to the adversary’s high-level goal, such as gaining initial access or exfiltrating data. A technique describes how that goal is carried out, for example, through phishing emails or by exploiting public-facing applications. The procedure is the specific implementation observed in an actual campaign.</w:t>
            </w:r>
          </w:p>
          <w:p w14:paraId="38B1CD17" w14:textId="77777777" w:rsidR="00412A29" w:rsidRPr="00C462A0" w:rsidRDefault="00412A29" w:rsidP="00412A29">
            <w:pPr>
              <w:jc w:val="both"/>
              <w:rPr>
                <w:szCs w:val="20"/>
              </w:rPr>
            </w:pPr>
            <w:r w:rsidRPr="00C462A0">
              <w:rPr>
                <w:szCs w:val="20"/>
              </w:rPr>
              <w:t>This structured perspective is formalised in frameworks such as the MITRE Corporation’s MITRE ATT&amp;CK Framework, which maps adversary behaviour across the attack lifecycle.</w:t>
            </w:r>
          </w:p>
          <w:p w14:paraId="1815BEE7" w14:textId="77777777" w:rsidR="00412A29" w:rsidRPr="00C462A0" w:rsidRDefault="00412A29" w:rsidP="00412A29">
            <w:pPr>
              <w:keepNext/>
              <w:jc w:val="center"/>
              <w:rPr>
                <w:szCs w:val="20"/>
              </w:rPr>
            </w:pPr>
            <w:r w:rsidRPr="00C462A0">
              <w:rPr>
                <w:noProof/>
                <w:szCs w:val="20"/>
              </w:rPr>
              <w:drawing>
                <wp:inline distT="0" distB="0" distL="0" distR="0" wp14:anchorId="78C5F13F" wp14:editId="75AE7FBE">
                  <wp:extent cx="5581311" cy="2834640"/>
                  <wp:effectExtent l="0" t="0" r="635" b="3810"/>
                  <wp:docPr id="921125368" name="Picture 1" descr="MITRE ATT&amp;CK and D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TRE ATT&amp;CK and DNS"/>
                          <pic:cNvPicPr>
                            <a:picLocks noChangeAspect="1"/>
                          </pic:cNvPicPr>
                        </pic:nvPicPr>
                        <pic:blipFill>
                          <a:blip r:embed="rId30"/>
                          <a:stretch/>
                        </pic:blipFill>
                        <pic:spPr bwMode="auto">
                          <a:xfrm>
                            <a:off x="0" y="0"/>
                            <a:ext cx="5587235" cy="2837649"/>
                          </a:xfrm>
                          <a:prstGeom prst="rect">
                            <a:avLst/>
                          </a:prstGeom>
                          <a:noFill/>
                          <a:ln>
                            <a:noFill/>
                          </a:ln>
                        </pic:spPr>
                      </pic:pic>
                    </a:graphicData>
                  </a:graphic>
                </wp:inline>
              </w:drawing>
            </w:r>
          </w:p>
          <w:p w14:paraId="15496BB4" w14:textId="2AFE11D8" w:rsidR="00412A29" w:rsidRPr="00C462A0" w:rsidRDefault="00412A29" w:rsidP="00412A29">
            <w:pPr>
              <w:pStyle w:val="Caption"/>
              <w:jc w:val="center"/>
              <w:rPr>
                <w:b w:val="0"/>
                <w:bCs w:val="0"/>
                <w:sz w:val="18"/>
                <w:szCs w:val="18"/>
              </w:rPr>
            </w:pPr>
            <w:bookmarkStart w:id="17" w:name="_Toc227623441"/>
            <w:r w:rsidRPr="00C462A0">
              <w:rPr>
                <w:b w:val="0"/>
                <w:bCs w:val="0"/>
                <w:sz w:val="18"/>
                <w:szCs w:val="18"/>
              </w:rPr>
              <w:t xml:space="preserve">Figure </w:t>
            </w:r>
            <w:r w:rsidRPr="00C462A0">
              <w:rPr>
                <w:b w:val="0"/>
                <w:bCs w:val="0"/>
                <w:sz w:val="18"/>
                <w:szCs w:val="18"/>
              </w:rPr>
              <w:fldChar w:fldCharType="begin"/>
            </w:r>
            <w:r w:rsidRPr="00C462A0">
              <w:rPr>
                <w:b w:val="0"/>
                <w:bCs w:val="0"/>
                <w:sz w:val="18"/>
                <w:szCs w:val="18"/>
              </w:rPr>
              <w:instrText xml:space="preserve"> SEQ Figure \* ARABIC </w:instrText>
            </w:r>
            <w:r w:rsidRPr="00C462A0">
              <w:rPr>
                <w:b w:val="0"/>
                <w:bCs w:val="0"/>
                <w:sz w:val="18"/>
                <w:szCs w:val="18"/>
              </w:rPr>
              <w:fldChar w:fldCharType="separate"/>
            </w:r>
            <w:r w:rsidRPr="00C462A0">
              <w:rPr>
                <w:b w:val="0"/>
                <w:bCs w:val="0"/>
                <w:sz w:val="18"/>
                <w:szCs w:val="18"/>
              </w:rPr>
              <w:t>4</w:t>
            </w:r>
            <w:r w:rsidRPr="00C462A0">
              <w:rPr>
                <w:b w:val="0"/>
                <w:bCs w:val="0"/>
                <w:sz w:val="18"/>
                <w:szCs w:val="18"/>
              </w:rPr>
              <w:fldChar w:fldCharType="end"/>
            </w:r>
            <w:r w:rsidRPr="00C462A0">
              <w:rPr>
                <w:b w:val="0"/>
                <w:bCs w:val="0"/>
                <w:sz w:val="18"/>
                <w:szCs w:val="18"/>
              </w:rPr>
              <w:t xml:space="preserve">. Overview of the MITRE ATT&amp;CK framework. It outlines attacker activities from reconnaissance and preparation to execution, control, and data exfiltration (source: </w:t>
            </w:r>
            <w:hyperlink r:id="rId31" w:history="1">
              <w:r w:rsidRPr="00C462A0">
                <w:rPr>
                  <w:rStyle w:val="Hyperlink"/>
                  <w:b w:val="0"/>
                  <w:bCs w:val="0"/>
                  <w:color w:val="009889" w:themeColor="accent2"/>
                  <w:sz w:val="18"/>
                  <w:szCs w:val="18"/>
                </w:rPr>
                <w:t>Infoblox</w:t>
              </w:r>
            </w:hyperlink>
            <w:r w:rsidRPr="00C462A0">
              <w:rPr>
                <w:b w:val="0"/>
                <w:bCs w:val="0"/>
                <w:sz w:val="18"/>
                <w:szCs w:val="18"/>
              </w:rPr>
              <w:t>)</w:t>
            </w:r>
            <w:bookmarkEnd w:id="17"/>
            <w:r w:rsidRPr="00C462A0">
              <w:rPr>
                <w:b w:val="0"/>
                <w:bCs w:val="0"/>
                <w:sz w:val="18"/>
                <w:szCs w:val="18"/>
              </w:rPr>
              <w:t xml:space="preserve"> </w:t>
            </w:r>
          </w:p>
          <w:p w14:paraId="3CB58C51" w14:textId="77777777" w:rsidR="00412A29" w:rsidRDefault="00412A29" w:rsidP="00412A29">
            <w:pPr>
              <w:jc w:val="both"/>
              <w:rPr>
                <w:szCs w:val="20"/>
              </w:rPr>
            </w:pPr>
          </w:p>
          <w:p w14:paraId="7041BCA3" w14:textId="3F9FD07A" w:rsidR="00243017" w:rsidRDefault="00243017" w:rsidP="00243017">
            <w:pPr>
              <w:jc w:val="both"/>
              <w:rPr>
                <w:i/>
                <w:iCs/>
                <w:sz w:val="18"/>
                <w:szCs w:val="18"/>
              </w:rPr>
            </w:pPr>
            <w:r w:rsidRPr="00243017">
              <w:rPr>
                <w:i/>
                <w:iCs/>
                <w:sz w:val="18"/>
                <w:szCs w:val="18"/>
              </w:rPr>
              <w:t xml:space="preserve">The image </w:t>
            </w:r>
            <w:r w:rsidRPr="00243017">
              <w:rPr>
                <w:i/>
                <w:iCs/>
                <w:sz w:val="18"/>
                <w:szCs w:val="18"/>
              </w:rPr>
              <w:t xml:space="preserve">above </w:t>
            </w:r>
            <w:r w:rsidRPr="00243017">
              <w:rPr>
                <w:i/>
                <w:iCs/>
                <w:sz w:val="18"/>
                <w:szCs w:val="18"/>
              </w:rPr>
              <w:t>illustrates how the MITRE ATT&amp;CK® framework maps to the stages of a cyberattack, specifically aligning with the Lockheed Martin Cyber Kill Chain®.</w:t>
            </w:r>
            <w:r>
              <w:rPr>
                <w:i/>
                <w:iCs/>
                <w:sz w:val="18"/>
                <w:szCs w:val="18"/>
              </w:rPr>
              <w:t xml:space="preserve"> </w:t>
            </w:r>
            <w:r w:rsidRPr="00243017">
              <w:rPr>
                <w:i/>
                <w:iCs/>
                <w:sz w:val="18"/>
                <w:szCs w:val="18"/>
              </w:rPr>
              <w:t>Historically, MITRE divided the framework into two main sections to cover the full lifecycle of an intrusion:</w:t>
            </w:r>
            <w:r w:rsidRPr="00243017">
              <w:rPr>
                <w:i/>
                <w:iCs/>
                <w:sz w:val="18"/>
                <w:szCs w:val="18"/>
              </w:rPr>
              <w:t xml:space="preserve"> </w:t>
            </w:r>
            <w:r w:rsidRPr="00243017">
              <w:rPr>
                <w:i/>
                <w:iCs/>
                <w:sz w:val="18"/>
                <w:szCs w:val="18"/>
              </w:rPr>
              <w:t>PRE-ATT&amp;CK</w:t>
            </w:r>
            <w:r w:rsidRPr="00243017">
              <w:rPr>
                <w:i/>
                <w:iCs/>
                <w:sz w:val="18"/>
                <w:szCs w:val="18"/>
              </w:rPr>
              <w:t xml:space="preserve"> (</w:t>
            </w:r>
            <w:r w:rsidRPr="00243017">
              <w:rPr>
                <w:i/>
                <w:iCs/>
                <w:sz w:val="18"/>
                <w:szCs w:val="18"/>
              </w:rPr>
              <w:t>This phase focuses on activities that happen before an adversary gains access to the target network</w:t>
            </w:r>
            <w:r w:rsidRPr="00243017">
              <w:rPr>
                <w:i/>
                <w:iCs/>
                <w:sz w:val="18"/>
                <w:szCs w:val="18"/>
              </w:rPr>
              <w:t xml:space="preserve">) and </w:t>
            </w:r>
            <w:r w:rsidRPr="00243017">
              <w:rPr>
                <w:i/>
                <w:iCs/>
                <w:sz w:val="18"/>
                <w:szCs w:val="18"/>
              </w:rPr>
              <w:t>ATT&amp;CK (Enterprise</w:t>
            </w:r>
            <w:r w:rsidRPr="00243017">
              <w:rPr>
                <w:i/>
                <w:iCs/>
                <w:sz w:val="18"/>
                <w:szCs w:val="18"/>
              </w:rPr>
              <w:t xml:space="preserve">; </w:t>
            </w:r>
            <w:r w:rsidRPr="00243017">
              <w:rPr>
                <w:i/>
                <w:iCs/>
                <w:sz w:val="18"/>
                <w:szCs w:val="18"/>
              </w:rPr>
              <w:t>This phase covers the "left of exploit" and "right of exploit" actions taken once an adversary attempts to interact with the target.</w:t>
            </w:r>
            <w:r>
              <w:rPr>
                <w:i/>
                <w:iCs/>
                <w:sz w:val="18"/>
                <w:szCs w:val="18"/>
              </w:rPr>
              <w:t xml:space="preserve"> </w:t>
            </w:r>
            <w:r w:rsidRPr="00243017">
              <w:rPr>
                <w:i/>
                <w:iCs/>
                <w:sz w:val="18"/>
                <w:szCs w:val="18"/>
              </w:rPr>
              <w:t>Deliver: Initial access and establishing a foothold.</w:t>
            </w:r>
            <w:r w:rsidRPr="00243017">
              <w:rPr>
                <w:i/>
                <w:iCs/>
                <w:sz w:val="18"/>
                <w:szCs w:val="18"/>
              </w:rPr>
              <w:t>).</w:t>
            </w:r>
          </w:p>
          <w:p w14:paraId="2A920A3F" w14:textId="77777777" w:rsidR="00243017" w:rsidRPr="00243017" w:rsidRDefault="00243017" w:rsidP="00243017">
            <w:pPr>
              <w:jc w:val="both"/>
              <w:rPr>
                <w:i/>
                <w:iCs/>
                <w:sz w:val="18"/>
                <w:szCs w:val="18"/>
              </w:rPr>
            </w:pPr>
          </w:p>
          <w:p w14:paraId="1BD4D48C" w14:textId="77777777" w:rsidR="00412A29" w:rsidRPr="00C462A0" w:rsidRDefault="00412A29" w:rsidP="00412A29">
            <w:pPr>
              <w:pStyle w:val="ListParagraph"/>
              <w:numPr>
                <w:ilvl w:val="0"/>
                <w:numId w:val="200"/>
              </w:numPr>
              <w:jc w:val="both"/>
              <w:rPr>
                <w:b/>
                <w:bCs/>
                <w:color w:val="009889" w:themeColor="accent2"/>
                <w:szCs w:val="20"/>
              </w:rPr>
            </w:pPr>
            <w:r w:rsidRPr="00C462A0">
              <w:rPr>
                <w:b/>
                <w:bCs/>
                <w:color w:val="009889" w:themeColor="accent2"/>
                <w:szCs w:val="20"/>
              </w:rPr>
              <w:lastRenderedPageBreak/>
              <w:t>The Modern Attack Lifecycle</w:t>
            </w:r>
          </w:p>
          <w:p w14:paraId="4EEABF86" w14:textId="77777777" w:rsidR="00412A29" w:rsidRPr="00C462A0" w:rsidRDefault="00412A29" w:rsidP="00412A29">
            <w:pPr>
              <w:jc w:val="both"/>
              <w:rPr>
                <w:szCs w:val="20"/>
              </w:rPr>
            </w:pPr>
            <w:r w:rsidRPr="00C462A0">
              <w:rPr>
                <w:szCs w:val="20"/>
              </w:rPr>
              <w:t>While attacks differ depending on the context, many tend to follow a recognisable sequence:</w:t>
            </w:r>
          </w:p>
          <w:p w14:paraId="1EC24828" w14:textId="77777777" w:rsidR="00412A29" w:rsidRPr="00C462A0" w:rsidRDefault="00412A29" w:rsidP="00412A29">
            <w:pPr>
              <w:pStyle w:val="ListParagraph"/>
              <w:numPr>
                <w:ilvl w:val="0"/>
                <w:numId w:val="192"/>
              </w:numPr>
              <w:jc w:val="both"/>
              <w:rPr>
                <w:szCs w:val="20"/>
              </w:rPr>
            </w:pPr>
            <w:r w:rsidRPr="00C462A0">
              <w:rPr>
                <w:b/>
                <w:bCs/>
                <w:szCs w:val="20"/>
              </w:rPr>
              <w:t>Initial Access</w:t>
            </w:r>
            <w:r w:rsidRPr="00C462A0">
              <w:rPr>
                <w:szCs w:val="20"/>
              </w:rPr>
              <w:t xml:space="preserve"> – entering the environment through phishing, stolen credentials, or exposed services.</w:t>
            </w:r>
          </w:p>
          <w:p w14:paraId="1E56DD28" w14:textId="77777777" w:rsidR="00412A29" w:rsidRPr="00C462A0" w:rsidRDefault="00412A29" w:rsidP="00412A29">
            <w:pPr>
              <w:pStyle w:val="ListParagraph"/>
              <w:numPr>
                <w:ilvl w:val="0"/>
                <w:numId w:val="192"/>
              </w:numPr>
              <w:jc w:val="both"/>
              <w:rPr>
                <w:szCs w:val="20"/>
              </w:rPr>
            </w:pPr>
            <w:r w:rsidRPr="00C462A0">
              <w:rPr>
                <w:b/>
                <w:bCs/>
                <w:szCs w:val="20"/>
              </w:rPr>
              <w:t>Execution</w:t>
            </w:r>
            <w:r w:rsidRPr="00C462A0">
              <w:rPr>
                <w:szCs w:val="20"/>
              </w:rPr>
              <w:t xml:space="preserve"> – running malicious code inside the system.</w:t>
            </w:r>
          </w:p>
          <w:p w14:paraId="056F0AF8" w14:textId="77777777" w:rsidR="00412A29" w:rsidRPr="00C462A0" w:rsidRDefault="00412A29" w:rsidP="00412A29">
            <w:pPr>
              <w:pStyle w:val="ListParagraph"/>
              <w:numPr>
                <w:ilvl w:val="0"/>
                <w:numId w:val="192"/>
              </w:numPr>
              <w:jc w:val="both"/>
              <w:rPr>
                <w:szCs w:val="20"/>
              </w:rPr>
            </w:pPr>
            <w:r w:rsidRPr="00C462A0">
              <w:rPr>
                <w:b/>
                <w:bCs/>
                <w:szCs w:val="20"/>
              </w:rPr>
              <w:t>Persistence</w:t>
            </w:r>
            <w:r w:rsidRPr="00C462A0">
              <w:rPr>
                <w:szCs w:val="20"/>
              </w:rPr>
              <w:t xml:space="preserve"> – keeping access even after reboots or credential changes.</w:t>
            </w:r>
          </w:p>
          <w:p w14:paraId="100491DB" w14:textId="77777777" w:rsidR="00412A29" w:rsidRPr="00C462A0" w:rsidRDefault="00412A29" w:rsidP="00412A29">
            <w:pPr>
              <w:pStyle w:val="ListParagraph"/>
              <w:numPr>
                <w:ilvl w:val="0"/>
                <w:numId w:val="192"/>
              </w:numPr>
              <w:jc w:val="both"/>
              <w:rPr>
                <w:szCs w:val="20"/>
              </w:rPr>
            </w:pPr>
            <w:r w:rsidRPr="00C462A0">
              <w:rPr>
                <w:b/>
                <w:bCs/>
                <w:szCs w:val="20"/>
              </w:rPr>
              <w:t>Privilege Escalation</w:t>
            </w:r>
            <w:r w:rsidRPr="00C462A0">
              <w:rPr>
                <w:szCs w:val="20"/>
              </w:rPr>
              <w:t xml:space="preserve"> – gaining higher-level permissions.</w:t>
            </w:r>
          </w:p>
          <w:p w14:paraId="1A5C3628" w14:textId="77777777" w:rsidR="00412A29" w:rsidRPr="00C462A0" w:rsidRDefault="00412A29" w:rsidP="00412A29">
            <w:pPr>
              <w:pStyle w:val="ListParagraph"/>
              <w:numPr>
                <w:ilvl w:val="0"/>
                <w:numId w:val="192"/>
              </w:numPr>
              <w:jc w:val="both"/>
              <w:rPr>
                <w:szCs w:val="20"/>
              </w:rPr>
            </w:pPr>
            <w:r w:rsidRPr="00C462A0">
              <w:rPr>
                <w:b/>
                <w:bCs/>
                <w:szCs w:val="20"/>
              </w:rPr>
              <w:t>Lateral Movement</w:t>
            </w:r>
            <w:r w:rsidRPr="00C462A0">
              <w:rPr>
                <w:szCs w:val="20"/>
              </w:rPr>
              <w:t xml:space="preserve"> – moving between systems within the network.</w:t>
            </w:r>
          </w:p>
          <w:p w14:paraId="5E966DD4" w14:textId="77777777" w:rsidR="00412A29" w:rsidRPr="00C462A0" w:rsidRDefault="00412A29" w:rsidP="00412A29">
            <w:pPr>
              <w:pStyle w:val="ListParagraph"/>
              <w:numPr>
                <w:ilvl w:val="0"/>
                <w:numId w:val="192"/>
              </w:numPr>
              <w:jc w:val="both"/>
              <w:rPr>
                <w:szCs w:val="20"/>
              </w:rPr>
            </w:pPr>
            <w:r w:rsidRPr="00C462A0">
              <w:rPr>
                <w:b/>
                <w:bCs/>
                <w:szCs w:val="20"/>
              </w:rPr>
              <w:t>Exfiltration or Impact</w:t>
            </w:r>
            <w:r w:rsidRPr="00C462A0">
              <w:rPr>
                <w:szCs w:val="20"/>
              </w:rPr>
              <w:t xml:space="preserve"> – stealing data or disrupting operations.</w:t>
            </w:r>
          </w:p>
          <w:p w14:paraId="4C003AED" w14:textId="77777777" w:rsidR="00412A29" w:rsidRPr="00C462A0" w:rsidRDefault="00412A29" w:rsidP="00412A29">
            <w:pPr>
              <w:jc w:val="both"/>
              <w:rPr>
                <w:szCs w:val="20"/>
              </w:rPr>
            </w:pPr>
            <w:r w:rsidRPr="00C462A0">
              <w:rPr>
                <w:szCs w:val="20"/>
              </w:rPr>
              <w:t>In sustainable infrastructures, these tactics can have amplified effects. For instance, lateral movement within a smart energy management network could enable attackers to disrupt load-balancing systems, potentially impacting operational resilience.</w:t>
            </w:r>
          </w:p>
          <w:p w14:paraId="55DCDBB1" w14:textId="77777777" w:rsidR="00412A29" w:rsidRPr="00C462A0" w:rsidRDefault="00412A29" w:rsidP="00412A29">
            <w:pPr>
              <w:jc w:val="both"/>
              <w:rPr>
                <w:szCs w:val="20"/>
              </w:rPr>
            </w:pPr>
          </w:p>
          <w:p w14:paraId="3FE178EE" w14:textId="77777777" w:rsidR="00412A29" w:rsidRPr="00C462A0" w:rsidRDefault="00412A29" w:rsidP="00412A29">
            <w:pPr>
              <w:pStyle w:val="ListParagraph"/>
              <w:numPr>
                <w:ilvl w:val="0"/>
                <w:numId w:val="200"/>
              </w:numPr>
              <w:jc w:val="both"/>
              <w:rPr>
                <w:b/>
                <w:bCs/>
                <w:color w:val="009889" w:themeColor="accent2"/>
                <w:szCs w:val="20"/>
              </w:rPr>
            </w:pPr>
            <w:r w:rsidRPr="00C462A0">
              <w:rPr>
                <w:b/>
                <w:bCs/>
                <w:color w:val="009889" w:themeColor="accent2"/>
                <w:szCs w:val="20"/>
              </w:rPr>
              <w:t>Common Modern Techniques</w:t>
            </w:r>
          </w:p>
          <w:p w14:paraId="47E90C57" w14:textId="77777777" w:rsidR="00412A29" w:rsidRPr="00C462A0" w:rsidRDefault="00412A29" w:rsidP="00412A29">
            <w:pPr>
              <w:jc w:val="both"/>
              <w:rPr>
                <w:szCs w:val="20"/>
              </w:rPr>
            </w:pPr>
            <w:r w:rsidRPr="00C462A0">
              <w:rPr>
                <w:szCs w:val="20"/>
              </w:rPr>
              <w:t>Today’s attackers commonly rely on:</w:t>
            </w:r>
          </w:p>
          <w:p w14:paraId="528B4331" w14:textId="77777777" w:rsidR="00412A29" w:rsidRPr="00C462A0" w:rsidRDefault="00412A29" w:rsidP="00412A29">
            <w:pPr>
              <w:pStyle w:val="ListParagraph"/>
              <w:numPr>
                <w:ilvl w:val="0"/>
                <w:numId w:val="193"/>
              </w:numPr>
              <w:jc w:val="both"/>
              <w:rPr>
                <w:szCs w:val="20"/>
              </w:rPr>
            </w:pPr>
            <w:r w:rsidRPr="00C462A0">
              <w:rPr>
                <w:b/>
                <w:bCs/>
                <w:szCs w:val="20"/>
              </w:rPr>
              <w:t>Phishing and spear-phishing</w:t>
            </w:r>
            <w:r w:rsidRPr="00C462A0">
              <w:rPr>
                <w:szCs w:val="20"/>
              </w:rPr>
              <w:t xml:space="preserve"> aimed at ESG reporting staff.</w:t>
            </w:r>
          </w:p>
          <w:p w14:paraId="439D839F" w14:textId="77777777" w:rsidR="00412A29" w:rsidRPr="00C462A0" w:rsidRDefault="00412A29" w:rsidP="00412A29">
            <w:pPr>
              <w:pStyle w:val="ListParagraph"/>
              <w:numPr>
                <w:ilvl w:val="0"/>
                <w:numId w:val="193"/>
              </w:numPr>
              <w:jc w:val="both"/>
              <w:rPr>
                <w:szCs w:val="20"/>
              </w:rPr>
            </w:pPr>
            <w:r w:rsidRPr="00C462A0">
              <w:rPr>
                <w:b/>
                <w:bCs/>
                <w:szCs w:val="20"/>
              </w:rPr>
              <w:t>Credential stuffing</w:t>
            </w:r>
            <w:r w:rsidRPr="00C462A0">
              <w:rPr>
                <w:szCs w:val="20"/>
              </w:rPr>
              <w:t xml:space="preserve"> targeting weakly protected cloud services.</w:t>
            </w:r>
          </w:p>
          <w:p w14:paraId="0CCF35EB" w14:textId="77777777" w:rsidR="00412A29" w:rsidRPr="00C462A0" w:rsidRDefault="00412A29" w:rsidP="00412A29">
            <w:pPr>
              <w:pStyle w:val="ListParagraph"/>
              <w:numPr>
                <w:ilvl w:val="0"/>
                <w:numId w:val="193"/>
              </w:numPr>
              <w:jc w:val="both"/>
              <w:rPr>
                <w:szCs w:val="20"/>
              </w:rPr>
            </w:pPr>
            <w:r w:rsidRPr="00C462A0">
              <w:rPr>
                <w:b/>
                <w:bCs/>
                <w:szCs w:val="20"/>
              </w:rPr>
              <w:t>Exploitation of IoT firmware vulnerabilities</w:t>
            </w:r>
            <w:r w:rsidRPr="00C462A0">
              <w:rPr>
                <w:szCs w:val="20"/>
              </w:rPr>
              <w:t xml:space="preserve"> in sensors and gateways.</w:t>
            </w:r>
          </w:p>
          <w:p w14:paraId="045432F8" w14:textId="77777777" w:rsidR="00412A29" w:rsidRPr="00C462A0" w:rsidRDefault="00412A29" w:rsidP="00412A29">
            <w:pPr>
              <w:pStyle w:val="ListParagraph"/>
              <w:numPr>
                <w:ilvl w:val="0"/>
                <w:numId w:val="193"/>
              </w:numPr>
              <w:jc w:val="both"/>
              <w:rPr>
                <w:szCs w:val="20"/>
              </w:rPr>
            </w:pPr>
            <w:r w:rsidRPr="00C462A0">
              <w:rPr>
                <w:b/>
                <w:bCs/>
                <w:szCs w:val="20"/>
              </w:rPr>
              <w:t>Living-off-the-land techniques</w:t>
            </w:r>
            <w:r w:rsidRPr="00C462A0">
              <w:rPr>
                <w:szCs w:val="20"/>
              </w:rPr>
              <w:t>, where legitimate administrative tools are misused to reduce the risk of detection.</w:t>
            </w:r>
          </w:p>
          <w:p w14:paraId="2D340938" w14:textId="77777777" w:rsidR="00412A29" w:rsidRPr="00C462A0" w:rsidRDefault="00412A29" w:rsidP="00412A29">
            <w:pPr>
              <w:pStyle w:val="ListParagraph"/>
              <w:numPr>
                <w:ilvl w:val="0"/>
                <w:numId w:val="193"/>
              </w:numPr>
              <w:jc w:val="both"/>
              <w:rPr>
                <w:szCs w:val="20"/>
              </w:rPr>
            </w:pPr>
            <w:r w:rsidRPr="00C462A0">
              <w:rPr>
                <w:b/>
                <w:bCs/>
                <w:szCs w:val="20"/>
              </w:rPr>
              <w:t>Ransomware deployment</w:t>
            </w:r>
            <w:r w:rsidRPr="00C462A0">
              <w:rPr>
                <w:szCs w:val="20"/>
              </w:rPr>
              <w:t xml:space="preserve"> directed at energy or sustainability-critical infrastructure.</w:t>
            </w:r>
          </w:p>
          <w:p w14:paraId="40527ADE" w14:textId="77777777" w:rsidR="00412A29" w:rsidRPr="00C462A0" w:rsidRDefault="00412A29" w:rsidP="00412A29">
            <w:pPr>
              <w:jc w:val="both"/>
              <w:rPr>
                <w:szCs w:val="20"/>
              </w:rPr>
            </w:pPr>
            <w:r w:rsidRPr="00C462A0">
              <w:rPr>
                <w:szCs w:val="20"/>
              </w:rPr>
              <w:t>These techniques are not chosen at random; they are selected based on perceived weaknesses in the target environment. Sustainable systems often create broader attack surfaces because of distributed sensors, cloud platforms, and third-party integrations.</w:t>
            </w:r>
          </w:p>
          <w:p w14:paraId="3740621A" w14:textId="77777777" w:rsidR="00412A29" w:rsidRPr="00C462A0" w:rsidRDefault="00412A29" w:rsidP="00412A29">
            <w:pPr>
              <w:jc w:val="both"/>
              <w:rPr>
                <w:szCs w:val="20"/>
              </w:rPr>
            </w:pPr>
            <w:r w:rsidRPr="00C462A0">
              <w:rPr>
                <w:szCs w:val="20"/>
              </w:rPr>
              <w:t>The figure below illustrates how IoT devices, cloud ESG platforms, and operational technology increase potential entry points.</w:t>
            </w:r>
          </w:p>
          <w:p w14:paraId="3C0055EA" w14:textId="77777777" w:rsidR="00412A29" w:rsidRPr="00C462A0" w:rsidRDefault="00412A29" w:rsidP="00412A29">
            <w:pPr>
              <w:jc w:val="both"/>
              <w:rPr>
                <w:szCs w:val="20"/>
              </w:rPr>
            </w:pPr>
          </w:p>
          <w:p w14:paraId="73ECBD02" w14:textId="77777777" w:rsidR="00412A29" w:rsidRPr="00C462A0" w:rsidRDefault="00412A29" w:rsidP="00412A29">
            <w:pPr>
              <w:keepNext/>
              <w:jc w:val="center"/>
            </w:pPr>
            <w:r w:rsidRPr="00C462A0">
              <w:rPr>
                <w:noProof/>
                <w:sz w:val="22"/>
                <w:szCs w:val="22"/>
              </w:rPr>
              <w:drawing>
                <wp:inline distT="0" distB="0" distL="0" distR="0" wp14:anchorId="0894754D" wp14:editId="4DC875CB">
                  <wp:extent cx="4846955" cy="3230632"/>
                  <wp:effectExtent l="0" t="0" r="0" b="8255"/>
                  <wp:docPr id="21321322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icPr>
                        <pic:blipFill>
                          <a:blip r:embed="rId32"/>
                          <a:stretch/>
                        </pic:blipFill>
                        <pic:spPr bwMode="auto">
                          <a:xfrm>
                            <a:off x="0" y="0"/>
                            <a:ext cx="4861597" cy="3240391"/>
                          </a:xfrm>
                          <a:prstGeom prst="rect">
                            <a:avLst/>
                          </a:prstGeom>
                          <a:noFill/>
                          <a:ln>
                            <a:noFill/>
                          </a:ln>
                        </pic:spPr>
                      </pic:pic>
                    </a:graphicData>
                  </a:graphic>
                </wp:inline>
              </w:drawing>
            </w:r>
          </w:p>
          <w:p w14:paraId="5C1BEF1C" w14:textId="2EE5931B" w:rsidR="00412A29" w:rsidRPr="00C462A0" w:rsidRDefault="00412A29" w:rsidP="00412A29">
            <w:pPr>
              <w:pStyle w:val="Caption"/>
              <w:jc w:val="center"/>
              <w:rPr>
                <w:b w:val="0"/>
                <w:bCs w:val="0"/>
                <w:sz w:val="22"/>
                <w:szCs w:val="22"/>
              </w:rPr>
            </w:pPr>
            <w:bookmarkStart w:id="18" w:name="_Toc227623442"/>
            <w:r w:rsidRPr="00C462A0">
              <w:rPr>
                <w:b w:val="0"/>
                <w:bCs w:val="0"/>
              </w:rPr>
              <w:t xml:space="preserve">Figure </w:t>
            </w:r>
            <w:r w:rsidRPr="00C462A0">
              <w:rPr>
                <w:b w:val="0"/>
                <w:bCs w:val="0"/>
              </w:rPr>
              <w:fldChar w:fldCharType="begin"/>
            </w:r>
            <w:r w:rsidRPr="00C462A0">
              <w:rPr>
                <w:b w:val="0"/>
                <w:bCs w:val="0"/>
              </w:rPr>
              <w:instrText xml:space="preserve"> SEQ Figure \* ARABIC </w:instrText>
            </w:r>
            <w:r w:rsidRPr="00C462A0">
              <w:rPr>
                <w:b w:val="0"/>
                <w:bCs w:val="0"/>
              </w:rPr>
              <w:fldChar w:fldCharType="separate"/>
            </w:r>
            <w:r w:rsidRPr="00C462A0">
              <w:rPr>
                <w:b w:val="0"/>
                <w:bCs w:val="0"/>
              </w:rPr>
              <w:t>5</w:t>
            </w:r>
            <w:r w:rsidRPr="00C462A0">
              <w:rPr>
                <w:b w:val="0"/>
                <w:bCs w:val="0"/>
              </w:rPr>
              <w:fldChar w:fldCharType="end"/>
            </w:r>
            <w:r w:rsidRPr="00C462A0">
              <w:rPr>
                <w:b w:val="0"/>
                <w:bCs w:val="0"/>
              </w:rPr>
              <w:t>.  Attack paths in ESG digital infrastructures. Phishing, compromised IoT devices, and exposed cloud APIs can affect sensors, cloud platforms, and management systems (source: Author)</w:t>
            </w:r>
            <w:bookmarkEnd w:id="18"/>
          </w:p>
          <w:p w14:paraId="36B0E8E7" w14:textId="77777777" w:rsidR="00412A29" w:rsidRDefault="00412A29" w:rsidP="00412A29">
            <w:pPr>
              <w:rPr>
                <w:sz w:val="22"/>
                <w:szCs w:val="22"/>
              </w:rPr>
            </w:pPr>
          </w:p>
          <w:p w14:paraId="62BFEDC4" w14:textId="6A95A527" w:rsidR="00243017" w:rsidRPr="00243017" w:rsidRDefault="00243017" w:rsidP="00243017">
            <w:pPr>
              <w:jc w:val="both"/>
              <w:rPr>
                <w:i/>
                <w:iCs/>
                <w:sz w:val="18"/>
                <w:szCs w:val="18"/>
              </w:rPr>
            </w:pPr>
            <w:r w:rsidRPr="00243017">
              <w:rPr>
                <w:i/>
                <w:iCs/>
                <w:sz w:val="18"/>
                <w:szCs w:val="18"/>
              </w:rPr>
              <w:lastRenderedPageBreak/>
              <w:t>This diagram</w:t>
            </w:r>
            <w:r>
              <w:rPr>
                <w:i/>
                <w:iCs/>
                <w:sz w:val="18"/>
                <w:szCs w:val="18"/>
              </w:rPr>
              <w:t xml:space="preserve"> above </w:t>
            </w:r>
            <w:r w:rsidRPr="00243017">
              <w:rPr>
                <w:i/>
                <w:iCs/>
                <w:sz w:val="18"/>
                <w:szCs w:val="18"/>
              </w:rPr>
              <w:t>illustrates</w:t>
            </w:r>
            <w:r w:rsidRPr="00243017">
              <w:rPr>
                <w:i/>
                <w:iCs/>
                <w:sz w:val="18"/>
                <w:szCs w:val="18"/>
              </w:rPr>
              <w:t xml:space="preserve"> a security architecture for a Network &amp; Cloud ESG Platform, highlighting potential attack vectors and vulnerabilities. </w:t>
            </w:r>
          </w:p>
          <w:p w14:paraId="78115C87" w14:textId="77777777" w:rsidR="00243017" w:rsidRPr="00243017" w:rsidRDefault="00243017" w:rsidP="00243017">
            <w:pPr>
              <w:pStyle w:val="ListParagraph"/>
              <w:numPr>
                <w:ilvl w:val="0"/>
                <w:numId w:val="426"/>
              </w:numPr>
              <w:jc w:val="both"/>
              <w:rPr>
                <w:i/>
                <w:iCs/>
                <w:sz w:val="18"/>
                <w:szCs w:val="18"/>
              </w:rPr>
            </w:pPr>
            <w:r w:rsidRPr="00243017">
              <w:rPr>
                <w:i/>
                <w:iCs/>
                <w:sz w:val="18"/>
                <w:szCs w:val="18"/>
              </w:rPr>
              <w:t>Attack Vectors: The system is vulnerable to phishing attacks targeting management systems and cloud infrastructure, as well as compromised IoT devices.</w:t>
            </w:r>
          </w:p>
          <w:p w14:paraId="4D17AF90" w14:textId="77777777" w:rsidR="00243017" w:rsidRPr="00243017" w:rsidRDefault="00243017" w:rsidP="00243017">
            <w:pPr>
              <w:pStyle w:val="ListParagraph"/>
              <w:numPr>
                <w:ilvl w:val="0"/>
                <w:numId w:val="426"/>
              </w:numPr>
              <w:jc w:val="both"/>
              <w:rPr>
                <w:i/>
                <w:iCs/>
                <w:sz w:val="18"/>
                <w:szCs w:val="18"/>
              </w:rPr>
            </w:pPr>
            <w:r w:rsidRPr="00243017">
              <w:rPr>
                <w:i/>
                <w:iCs/>
                <w:sz w:val="18"/>
                <w:szCs w:val="18"/>
              </w:rPr>
              <w:t>Vulnerabilities: Exposed Cloud APIs represent a significant security risk, acting as entry points for unauthorized access.</w:t>
            </w:r>
          </w:p>
          <w:p w14:paraId="20B6FF5B" w14:textId="77777777" w:rsidR="00243017" w:rsidRPr="00243017" w:rsidRDefault="00243017" w:rsidP="00243017">
            <w:pPr>
              <w:pStyle w:val="ListParagraph"/>
              <w:numPr>
                <w:ilvl w:val="0"/>
                <w:numId w:val="426"/>
              </w:numPr>
              <w:jc w:val="both"/>
              <w:rPr>
                <w:i/>
                <w:iCs/>
                <w:sz w:val="18"/>
                <w:szCs w:val="18"/>
              </w:rPr>
            </w:pPr>
            <w:r w:rsidRPr="00243017">
              <w:rPr>
                <w:i/>
                <w:iCs/>
                <w:sz w:val="18"/>
                <w:szCs w:val="18"/>
              </w:rPr>
              <w:t>IoT Security: The platform connects various IoT Sensors &amp; Smart Devices, which, if compromised, can threaten the entire network.</w:t>
            </w:r>
          </w:p>
          <w:p w14:paraId="373ECC22" w14:textId="2458EE65" w:rsidR="00243017" w:rsidRPr="00243017" w:rsidRDefault="00243017" w:rsidP="00243017">
            <w:pPr>
              <w:pStyle w:val="ListParagraph"/>
              <w:numPr>
                <w:ilvl w:val="0"/>
                <w:numId w:val="426"/>
              </w:numPr>
              <w:jc w:val="both"/>
              <w:rPr>
                <w:i/>
                <w:iCs/>
                <w:sz w:val="18"/>
                <w:szCs w:val="18"/>
              </w:rPr>
            </w:pPr>
            <w:r w:rsidRPr="00243017">
              <w:rPr>
                <w:i/>
                <w:iCs/>
                <w:sz w:val="18"/>
                <w:szCs w:val="18"/>
              </w:rPr>
              <w:t>Defence</w:t>
            </w:r>
            <w:r w:rsidRPr="00243017">
              <w:rPr>
                <w:i/>
                <w:iCs/>
                <w:sz w:val="18"/>
                <w:szCs w:val="18"/>
              </w:rPr>
              <w:t xml:space="preserve"> Layers: Security is managed through central reporting systems and cloud-based platforms designed to monitor and protect data traffic</w:t>
            </w:r>
            <w:r w:rsidRPr="00243017">
              <w:rPr>
                <w:i/>
                <w:iCs/>
                <w:sz w:val="18"/>
                <w:szCs w:val="18"/>
              </w:rPr>
              <w:t>.</w:t>
            </w:r>
          </w:p>
          <w:p w14:paraId="6AA4347E" w14:textId="77777777" w:rsidR="00243017" w:rsidRPr="00C462A0" w:rsidRDefault="00243017" w:rsidP="00243017">
            <w:pPr>
              <w:rPr>
                <w:sz w:val="22"/>
                <w:szCs w:val="22"/>
              </w:rPr>
            </w:pPr>
          </w:p>
          <w:p w14:paraId="3BE3B6B1" w14:textId="77777777" w:rsidR="00412A29" w:rsidRPr="00C462A0" w:rsidRDefault="00412A29" w:rsidP="00412A29">
            <w:pPr>
              <w:pStyle w:val="ListParagraph"/>
              <w:numPr>
                <w:ilvl w:val="0"/>
                <w:numId w:val="200"/>
              </w:numPr>
              <w:rPr>
                <w:b/>
                <w:bCs/>
                <w:color w:val="009889" w:themeColor="accent2"/>
                <w:szCs w:val="20"/>
              </w:rPr>
            </w:pPr>
            <w:r w:rsidRPr="00C462A0">
              <w:rPr>
                <w:b/>
                <w:bCs/>
                <w:color w:val="009889" w:themeColor="accent2"/>
                <w:szCs w:val="20"/>
              </w:rPr>
              <w:t>Defensive Techniques and Counter-Tactics</w:t>
            </w:r>
          </w:p>
          <w:p w14:paraId="29E476CC" w14:textId="77777777" w:rsidR="00412A29" w:rsidRPr="00C462A0" w:rsidRDefault="00412A29" w:rsidP="00412A29">
            <w:pPr>
              <w:jc w:val="both"/>
              <w:rPr>
                <w:szCs w:val="20"/>
              </w:rPr>
            </w:pPr>
            <w:r w:rsidRPr="00C462A0">
              <w:rPr>
                <w:szCs w:val="20"/>
              </w:rPr>
              <w:t>Understanding how attackers operate enables a more structured defence. Modern cybersecurity typically follows a defence-in-depth approach, combining preventive, detective, and responsive measures.</w:t>
            </w:r>
          </w:p>
          <w:p w14:paraId="3CAE496D" w14:textId="77777777" w:rsidR="00412A29" w:rsidRPr="00C462A0" w:rsidRDefault="00412A29" w:rsidP="00412A29">
            <w:pPr>
              <w:jc w:val="both"/>
              <w:rPr>
                <w:szCs w:val="20"/>
              </w:rPr>
            </w:pPr>
            <w:r w:rsidRPr="00C462A0">
              <w:rPr>
                <w:szCs w:val="20"/>
              </w:rPr>
              <w:t>Key defensive techniques include:</w:t>
            </w:r>
          </w:p>
          <w:p w14:paraId="0543A1DC" w14:textId="77777777" w:rsidR="00412A29" w:rsidRPr="00C462A0" w:rsidRDefault="00412A29" w:rsidP="00412A29">
            <w:pPr>
              <w:pStyle w:val="ListParagraph"/>
              <w:numPr>
                <w:ilvl w:val="0"/>
                <w:numId w:val="177"/>
              </w:numPr>
              <w:jc w:val="both"/>
              <w:rPr>
                <w:szCs w:val="20"/>
              </w:rPr>
            </w:pPr>
            <w:r w:rsidRPr="00C462A0">
              <w:rPr>
                <w:b/>
                <w:bCs/>
                <w:szCs w:val="20"/>
              </w:rPr>
              <w:t>Multi-Factor Authentication (MFA)</w:t>
            </w:r>
            <w:r w:rsidRPr="00C462A0">
              <w:rPr>
                <w:szCs w:val="20"/>
              </w:rPr>
              <w:t xml:space="preserve"> to lower the risk of credential compromise.</w:t>
            </w:r>
          </w:p>
          <w:p w14:paraId="0EA51E6F" w14:textId="77777777" w:rsidR="00412A29" w:rsidRPr="00C462A0" w:rsidRDefault="00412A29" w:rsidP="00412A29">
            <w:pPr>
              <w:pStyle w:val="ListParagraph"/>
              <w:numPr>
                <w:ilvl w:val="0"/>
                <w:numId w:val="177"/>
              </w:numPr>
              <w:jc w:val="both"/>
              <w:rPr>
                <w:szCs w:val="20"/>
              </w:rPr>
            </w:pPr>
            <w:r w:rsidRPr="00C462A0">
              <w:rPr>
                <w:b/>
                <w:bCs/>
                <w:szCs w:val="20"/>
              </w:rPr>
              <w:t>Network segmentation</w:t>
            </w:r>
            <w:r w:rsidRPr="00C462A0">
              <w:rPr>
                <w:szCs w:val="20"/>
              </w:rPr>
              <w:t xml:space="preserve"> to restrict lateral movement.</w:t>
            </w:r>
          </w:p>
          <w:p w14:paraId="6F8D53ED" w14:textId="77777777" w:rsidR="00412A29" w:rsidRPr="00C462A0" w:rsidRDefault="00412A29" w:rsidP="00412A29">
            <w:pPr>
              <w:pStyle w:val="ListParagraph"/>
              <w:numPr>
                <w:ilvl w:val="0"/>
                <w:numId w:val="177"/>
              </w:numPr>
              <w:jc w:val="both"/>
              <w:rPr>
                <w:szCs w:val="20"/>
              </w:rPr>
            </w:pPr>
            <w:r w:rsidRPr="00C462A0">
              <w:rPr>
                <w:b/>
                <w:bCs/>
                <w:szCs w:val="20"/>
              </w:rPr>
              <w:t>Endpoint Detection and Response (EDR)</w:t>
            </w:r>
            <w:r w:rsidRPr="00C462A0">
              <w:rPr>
                <w:szCs w:val="20"/>
              </w:rPr>
              <w:t xml:space="preserve"> to identify malicious execution.</w:t>
            </w:r>
          </w:p>
          <w:p w14:paraId="1BD98F81" w14:textId="77777777" w:rsidR="00412A29" w:rsidRPr="00C462A0" w:rsidRDefault="00412A29" w:rsidP="00412A29">
            <w:pPr>
              <w:pStyle w:val="ListParagraph"/>
              <w:numPr>
                <w:ilvl w:val="0"/>
                <w:numId w:val="177"/>
              </w:numPr>
              <w:jc w:val="both"/>
              <w:rPr>
                <w:szCs w:val="20"/>
              </w:rPr>
            </w:pPr>
            <w:r w:rsidRPr="00C462A0">
              <w:rPr>
                <w:b/>
                <w:bCs/>
                <w:szCs w:val="20"/>
              </w:rPr>
              <w:t>Security monitoring</w:t>
            </w:r>
            <w:r w:rsidRPr="00C462A0">
              <w:rPr>
                <w:szCs w:val="20"/>
              </w:rPr>
              <w:t xml:space="preserve"> aligned with ATT&amp;CK techniques.</w:t>
            </w:r>
          </w:p>
          <w:p w14:paraId="04630AA1" w14:textId="77777777" w:rsidR="00412A29" w:rsidRPr="00C462A0" w:rsidRDefault="00412A29" w:rsidP="00412A29">
            <w:pPr>
              <w:pStyle w:val="ListParagraph"/>
              <w:numPr>
                <w:ilvl w:val="0"/>
                <w:numId w:val="177"/>
              </w:numPr>
              <w:jc w:val="both"/>
              <w:rPr>
                <w:szCs w:val="20"/>
              </w:rPr>
            </w:pPr>
            <w:r w:rsidRPr="00C462A0">
              <w:rPr>
                <w:b/>
                <w:bCs/>
                <w:szCs w:val="20"/>
              </w:rPr>
              <w:t>Incident response playbooks</w:t>
            </w:r>
            <w:r w:rsidRPr="00C462A0">
              <w:rPr>
                <w:szCs w:val="20"/>
              </w:rPr>
              <w:t xml:space="preserve"> designed for ESG-critical systems.</w:t>
            </w:r>
          </w:p>
          <w:p w14:paraId="669B6FE5" w14:textId="77777777" w:rsidR="00412A29" w:rsidRPr="00C462A0" w:rsidRDefault="00412A29" w:rsidP="00412A29">
            <w:pPr>
              <w:jc w:val="both"/>
              <w:rPr>
                <w:szCs w:val="20"/>
              </w:rPr>
            </w:pPr>
            <w:r w:rsidRPr="00C462A0">
              <w:rPr>
                <w:szCs w:val="20"/>
              </w:rPr>
              <w:t>The OWASP Foundation offers guidance on common application-layer attack techniques, particularly relevant to ESG reporting platforms exposed through web interfaces.</w:t>
            </w:r>
          </w:p>
          <w:p w14:paraId="742080E0" w14:textId="77777777" w:rsidR="00412A29" w:rsidRPr="00C462A0" w:rsidRDefault="00412A29" w:rsidP="00412A29">
            <w:pPr>
              <w:jc w:val="both"/>
              <w:rPr>
                <w:szCs w:val="20"/>
              </w:rPr>
            </w:pPr>
            <w:r w:rsidRPr="00C462A0">
              <w:rPr>
                <w:szCs w:val="20"/>
              </w:rPr>
              <w:t>At the same time, the Cybersecurity and Infrastructure Security Agency promote secure-by-design and resilience principles that apply to critical infrastructure, including energy and sustainability environments.</w:t>
            </w:r>
          </w:p>
          <w:p w14:paraId="7F424ADA" w14:textId="77777777" w:rsidR="00412A29" w:rsidRPr="00C462A0" w:rsidRDefault="00412A29" w:rsidP="00412A29">
            <w:pPr>
              <w:rPr>
                <w:szCs w:val="20"/>
              </w:rPr>
            </w:pPr>
          </w:p>
          <w:p w14:paraId="1DFD05AB" w14:textId="77777777" w:rsidR="00412A29" w:rsidRPr="00C462A0" w:rsidRDefault="00412A29" w:rsidP="00412A29">
            <w:pPr>
              <w:pStyle w:val="ListParagraph"/>
              <w:numPr>
                <w:ilvl w:val="0"/>
                <w:numId w:val="200"/>
              </w:numPr>
              <w:rPr>
                <w:b/>
                <w:bCs/>
                <w:color w:val="009889" w:themeColor="accent2"/>
                <w:szCs w:val="20"/>
              </w:rPr>
            </w:pPr>
            <w:r w:rsidRPr="00C462A0">
              <w:rPr>
                <w:b/>
                <w:bCs/>
                <w:color w:val="009889" w:themeColor="accent2"/>
                <w:szCs w:val="20"/>
              </w:rPr>
              <w:t>TTPs and the Sustainable Risk Context</w:t>
            </w:r>
          </w:p>
          <w:p w14:paraId="0ECF2101" w14:textId="77777777" w:rsidR="00412A29" w:rsidRPr="00C462A0" w:rsidRDefault="00412A29" w:rsidP="00412A29">
            <w:pPr>
              <w:jc w:val="both"/>
              <w:rPr>
                <w:szCs w:val="20"/>
              </w:rPr>
            </w:pPr>
            <w:r w:rsidRPr="00C462A0">
              <w:rPr>
                <w:szCs w:val="20"/>
              </w:rPr>
              <w:t>In ESG-driven and energy-related environments, the consequences of modern tactics can go beyond financial loss. Attacks may:</w:t>
            </w:r>
          </w:p>
          <w:p w14:paraId="3B31D976" w14:textId="77777777" w:rsidR="00412A29" w:rsidRPr="00C462A0" w:rsidRDefault="00412A29" w:rsidP="00412A29">
            <w:pPr>
              <w:pStyle w:val="ListParagraph"/>
              <w:numPr>
                <w:ilvl w:val="0"/>
                <w:numId w:val="194"/>
              </w:numPr>
              <w:jc w:val="both"/>
              <w:rPr>
                <w:szCs w:val="20"/>
              </w:rPr>
            </w:pPr>
            <w:r w:rsidRPr="00C462A0">
              <w:rPr>
                <w:b/>
                <w:bCs/>
                <w:szCs w:val="20"/>
              </w:rPr>
              <w:t>Disrupt renewable energy monitoring systems.</w:t>
            </w:r>
          </w:p>
          <w:p w14:paraId="02706341" w14:textId="77777777" w:rsidR="00412A29" w:rsidRPr="00C462A0" w:rsidRDefault="00412A29" w:rsidP="00412A29">
            <w:pPr>
              <w:pStyle w:val="ListParagraph"/>
              <w:numPr>
                <w:ilvl w:val="0"/>
                <w:numId w:val="194"/>
              </w:numPr>
              <w:jc w:val="both"/>
              <w:rPr>
                <w:szCs w:val="20"/>
              </w:rPr>
            </w:pPr>
            <w:r w:rsidRPr="00C462A0">
              <w:rPr>
                <w:b/>
                <w:bCs/>
                <w:szCs w:val="20"/>
              </w:rPr>
              <w:t>Manipulate sustainability performance data.</w:t>
            </w:r>
          </w:p>
          <w:p w14:paraId="2C9C70DB" w14:textId="77777777" w:rsidR="00412A29" w:rsidRPr="00C462A0" w:rsidRDefault="00412A29" w:rsidP="00412A29">
            <w:pPr>
              <w:pStyle w:val="ListParagraph"/>
              <w:numPr>
                <w:ilvl w:val="0"/>
                <w:numId w:val="194"/>
              </w:numPr>
              <w:jc w:val="both"/>
              <w:rPr>
                <w:szCs w:val="20"/>
              </w:rPr>
            </w:pPr>
            <w:r w:rsidRPr="00C462A0">
              <w:rPr>
                <w:b/>
                <w:bCs/>
                <w:szCs w:val="20"/>
              </w:rPr>
              <w:t>Undermine regulatory compliance.</w:t>
            </w:r>
          </w:p>
          <w:p w14:paraId="08A25CE7" w14:textId="77777777" w:rsidR="00412A29" w:rsidRPr="00C462A0" w:rsidRDefault="00412A29" w:rsidP="00412A29">
            <w:pPr>
              <w:pStyle w:val="ListParagraph"/>
              <w:numPr>
                <w:ilvl w:val="0"/>
                <w:numId w:val="194"/>
              </w:numPr>
              <w:jc w:val="both"/>
              <w:rPr>
                <w:szCs w:val="20"/>
              </w:rPr>
            </w:pPr>
            <w:r w:rsidRPr="00C462A0">
              <w:rPr>
                <w:b/>
                <w:bCs/>
                <w:szCs w:val="20"/>
              </w:rPr>
              <w:t>Erode stakeholder trust.</w:t>
            </w:r>
          </w:p>
          <w:p w14:paraId="57D2BE24" w14:textId="77777777" w:rsidR="00412A29" w:rsidRPr="00C462A0" w:rsidRDefault="00412A29" w:rsidP="00412A29">
            <w:pPr>
              <w:jc w:val="both"/>
              <w:rPr>
                <w:szCs w:val="20"/>
              </w:rPr>
            </w:pPr>
            <w:r w:rsidRPr="00C462A0">
              <w:rPr>
                <w:szCs w:val="20"/>
              </w:rPr>
              <w:t>For this reason, analysing tactics and techniques is more than a purely technical task. It supports structured risk modelling and contributes directly to the Capstone Project’s threat modelling and risk assessment components.</w:t>
            </w:r>
          </w:p>
          <w:p w14:paraId="4AD55C12" w14:textId="77777777" w:rsidR="00412A29" w:rsidRPr="00C462A0" w:rsidRDefault="00412A29" w:rsidP="00412A29">
            <w:pPr>
              <w:rPr>
                <w:b/>
                <w:color w:val="00AC4E" w:themeColor="accent1"/>
                <w:sz w:val="22"/>
                <w:szCs w:val="22"/>
              </w:rPr>
            </w:pPr>
          </w:p>
          <w:p w14:paraId="7639F514" w14:textId="731719D4" w:rsidR="00412A29" w:rsidRPr="00C462A0" w:rsidRDefault="00412A29" w:rsidP="00412A29">
            <w:pPr>
              <w:rPr>
                <w:b/>
                <w:color w:val="00AC4E" w:themeColor="accent1"/>
                <w:sz w:val="22"/>
                <w:szCs w:val="22"/>
                <w:u w:val="single"/>
              </w:rPr>
            </w:pPr>
            <w:r w:rsidRPr="00C462A0">
              <w:rPr>
                <w:b/>
                <w:color w:val="00AC4E" w:themeColor="accent1"/>
                <w:sz w:val="22"/>
                <w:szCs w:val="22"/>
                <w:u w:val="single"/>
              </w:rPr>
              <w:t>Micro activity:</w:t>
            </w:r>
          </w:p>
          <w:p w14:paraId="287BF89A" w14:textId="77777777" w:rsidR="00412A29" w:rsidRPr="00C462A0" w:rsidRDefault="00412A29" w:rsidP="00412A29">
            <w:pPr>
              <w:rPr>
                <w:sz w:val="22"/>
                <w:szCs w:val="22"/>
              </w:rPr>
            </w:pPr>
            <w:r w:rsidRPr="00C462A0">
              <w:rPr>
                <w:sz w:val="22"/>
                <w:szCs w:val="22"/>
              </w:rPr>
              <w:t>Select a hypothetical ESG cloud reporting platform that includes:</w:t>
            </w:r>
          </w:p>
          <w:p w14:paraId="36FCFAFF" w14:textId="77777777" w:rsidR="00412A29" w:rsidRPr="00C462A0" w:rsidRDefault="00412A29" w:rsidP="00412A29">
            <w:pPr>
              <w:pStyle w:val="ListParagraph"/>
              <w:numPr>
                <w:ilvl w:val="0"/>
                <w:numId w:val="196"/>
              </w:numPr>
              <w:rPr>
                <w:sz w:val="22"/>
                <w:szCs w:val="22"/>
              </w:rPr>
            </w:pPr>
            <w:r w:rsidRPr="00C462A0">
              <w:rPr>
                <w:sz w:val="22"/>
                <w:szCs w:val="22"/>
              </w:rPr>
              <w:t>User login portal</w:t>
            </w:r>
          </w:p>
          <w:p w14:paraId="2235D451" w14:textId="77777777" w:rsidR="00412A29" w:rsidRPr="00C462A0" w:rsidRDefault="00412A29" w:rsidP="00412A29">
            <w:pPr>
              <w:pStyle w:val="ListParagraph"/>
              <w:numPr>
                <w:ilvl w:val="0"/>
                <w:numId w:val="196"/>
              </w:numPr>
              <w:rPr>
                <w:sz w:val="22"/>
                <w:szCs w:val="22"/>
              </w:rPr>
            </w:pPr>
            <w:r w:rsidRPr="00C462A0">
              <w:rPr>
                <w:sz w:val="22"/>
                <w:szCs w:val="22"/>
              </w:rPr>
              <w:t>API integration with IoT sensors</w:t>
            </w:r>
          </w:p>
          <w:p w14:paraId="061EEC70" w14:textId="2596A081" w:rsidR="00412A29" w:rsidRPr="00C462A0" w:rsidRDefault="00412A29" w:rsidP="00412A29">
            <w:pPr>
              <w:pStyle w:val="ListParagraph"/>
              <w:numPr>
                <w:ilvl w:val="0"/>
                <w:numId w:val="196"/>
              </w:numPr>
              <w:rPr>
                <w:sz w:val="22"/>
                <w:szCs w:val="22"/>
              </w:rPr>
            </w:pPr>
            <w:r w:rsidRPr="00C462A0">
              <w:rPr>
                <w:sz w:val="22"/>
                <w:szCs w:val="22"/>
              </w:rPr>
              <w:t>Cloud-hosted database.</w:t>
            </w:r>
          </w:p>
          <w:p w14:paraId="50334D8D" w14:textId="77777777" w:rsidR="00412A29" w:rsidRPr="00C462A0" w:rsidRDefault="00412A29" w:rsidP="00412A29">
            <w:pPr>
              <w:pStyle w:val="ListParagraph"/>
              <w:rPr>
                <w:sz w:val="22"/>
                <w:szCs w:val="22"/>
              </w:rPr>
            </w:pPr>
          </w:p>
          <w:p w14:paraId="6B614353" w14:textId="7845B751" w:rsidR="00412A29" w:rsidRPr="00C462A0" w:rsidRDefault="00412A29" w:rsidP="00412A29">
            <w:pPr>
              <w:rPr>
                <w:b/>
                <w:bCs/>
                <w:sz w:val="22"/>
                <w:szCs w:val="22"/>
              </w:rPr>
            </w:pPr>
            <w:r w:rsidRPr="00C462A0">
              <w:rPr>
                <w:b/>
                <w:bCs/>
                <w:sz w:val="22"/>
                <w:szCs w:val="22"/>
              </w:rPr>
              <w:t>Learner task:</w:t>
            </w:r>
          </w:p>
          <w:p w14:paraId="0D60C1AA" w14:textId="77777777" w:rsidR="00412A29" w:rsidRPr="00C462A0" w:rsidRDefault="00412A29" w:rsidP="00412A29">
            <w:pPr>
              <w:pStyle w:val="ListParagraph"/>
              <w:numPr>
                <w:ilvl w:val="0"/>
                <w:numId w:val="197"/>
              </w:numPr>
              <w:rPr>
                <w:sz w:val="22"/>
                <w:szCs w:val="22"/>
              </w:rPr>
            </w:pPr>
            <w:r w:rsidRPr="00C462A0">
              <w:rPr>
                <w:sz w:val="22"/>
                <w:szCs w:val="22"/>
              </w:rPr>
              <w:t>Identify one likely attacker tactic.</w:t>
            </w:r>
          </w:p>
          <w:p w14:paraId="53F249A2" w14:textId="77777777" w:rsidR="00412A29" w:rsidRPr="00C462A0" w:rsidRDefault="00412A29" w:rsidP="00412A29">
            <w:pPr>
              <w:pStyle w:val="ListParagraph"/>
              <w:numPr>
                <w:ilvl w:val="0"/>
                <w:numId w:val="197"/>
              </w:numPr>
              <w:rPr>
                <w:sz w:val="22"/>
                <w:szCs w:val="22"/>
              </w:rPr>
            </w:pPr>
            <w:r w:rsidRPr="00C462A0">
              <w:rPr>
                <w:sz w:val="22"/>
                <w:szCs w:val="22"/>
              </w:rPr>
              <w:t>Identify one specific technique that could implement that tactic.</w:t>
            </w:r>
          </w:p>
          <w:p w14:paraId="10FFB282" w14:textId="77777777" w:rsidR="00412A29" w:rsidRPr="00C462A0" w:rsidRDefault="00412A29" w:rsidP="00412A29">
            <w:pPr>
              <w:pStyle w:val="ListParagraph"/>
              <w:numPr>
                <w:ilvl w:val="0"/>
                <w:numId w:val="197"/>
              </w:numPr>
              <w:rPr>
                <w:sz w:val="22"/>
                <w:szCs w:val="22"/>
              </w:rPr>
            </w:pPr>
            <w:r w:rsidRPr="00C462A0">
              <w:rPr>
                <w:sz w:val="22"/>
                <w:szCs w:val="22"/>
              </w:rPr>
              <w:lastRenderedPageBreak/>
              <w:t>Propose one defensive control aligned with that technique.</w:t>
            </w:r>
          </w:p>
          <w:p w14:paraId="3C6FD2DC" w14:textId="77777777" w:rsidR="00412A29" w:rsidRPr="00C462A0" w:rsidRDefault="00412A29" w:rsidP="00412A29">
            <w:pPr>
              <w:rPr>
                <w:sz w:val="22"/>
                <w:szCs w:val="22"/>
              </w:rPr>
            </w:pPr>
            <w:r w:rsidRPr="00C462A0">
              <w:rPr>
                <w:sz w:val="22"/>
                <w:szCs w:val="22"/>
              </w:rPr>
              <w:t>Write your answer in 6–8 sentences.</w:t>
            </w:r>
          </w:p>
          <w:p w14:paraId="28F90D27" w14:textId="77777777" w:rsidR="00412A29" w:rsidRPr="00C462A0" w:rsidRDefault="00412A29" w:rsidP="00412A29">
            <w:pPr>
              <w:rPr>
                <w:sz w:val="22"/>
                <w:szCs w:val="22"/>
              </w:rPr>
            </w:pPr>
          </w:p>
          <w:p w14:paraId="757A52BA" w14:textId="77777777" w:rsidR="00412A29" w:rsidRPr="00C462A0" w:rsidRDefault="00412A29" w:rsidP="00412A29">
            <w:pPr>
              <w:rPr>
                <w:b/>
                <w:color w:val="00AC4E" w:themeColor="accent1"/>
                <w:sz w:val="22"/>
                <w:szCs w:val="22"/>
              </w:rPr>
            </w:pPr>
            <w:r w:rsidRPr="00C462A0">
              <w:rPr>
                <w:b/>
                <w:color w:val="00AC4E" w:themeColor="accent1"/>
                <w:sz w:val="22"/>
                <w:szCs w:val="22"/>
              </w:rPr>
              <w:t>Additional readings:</w:t>
            </w:r>
          </w:p>
          <w:p w14:paraId="70C4A74C" w14:textId="673C091D" w:rsidR="00412A29" w:rsidRPr="00C462A0" w:rsidRDefault="00412A29" w:rsidP="00412A29">
            <w:pPr>
              <w:pStyle w:val="ListParagraph"/>
              <w:numPr>
                <w:ilvl w:val="0"/>
                <w:numId w:val="195"/>
              </w:numPr>
              <w:rPr>
                <w:color w:val="00AC4E" w:themeColor="accent1"/>
                <w:sz w:val="22"/>
                <w:szCs w:val="22"/>
              </w:rPr>
            </w:pPr>
            <w:hyperlink r:id="rId33" w:history="1">
              <w:r w:rsidRPr="00C462A0">
                <w:rPr>
                  <w:rStyle w:val="Hyperlink"/>
                  <w:color w:val="00AC4E" w:themeColor="accent1"/>
                  <w:sz w:val="22"/>
                  <w:szCs w:val="22"/>
                </w:rPr>
                <w:t>MITRE Corporation – MITRE ATT&amp;CK Framework</w:t>
              </w:r>
            </w:hyperlink>
            <w:r w:rsidR="004804BE" w:rsidRPr="00C462A0">
              <w:rPr>
                <w:color w:val="00AC4E" w:themeColor="accent1"/>
                <w:sz w:val="22"/>
                <w:szCs w:val="22"/>
              </w:rPr>
              <w:t xml:space="preserve">  </w:t>
            </w:r>
          </w:p>
          <w:p w14:paraId="43530705" w14:textId="28BD07FA" w:rsidR="00412A29" w:rsidRPr="00C462A0" w:rsidRDefault="00412A29" w:rsidP="00412A29">
            <w:pPr>
              <w:pStyle w:val="ListParagraph"/>
              <w:numPr>
                <w:ilvl w:val="0"/>
                <w:numId w:val="195"/>
              </w:numPr>
              <w:rPr>
                <w:color w:val="00AC4E" w:themeColor="accent1"/>
                <w:sz w:val="22"/>
                <w:szCs w:val="22"/>
              </w:rPr>
            </w:pPr>
            <w:hyperlink r:id="rId34" w:history="1">
              <w:r w:rsidRPr="00C462A0">
                <w:rPr>
                  <w:rStyle w:val="Hyperlink"/>
                  <w:color w:val="00AC4E" w:themeColor="accent1"/>
                  <w:sz w:val="22"/>
                  <w:szCs w:val="22"/>
                </w:rPr>
                <w:t>OWASP Foundation – OWASP Top 10</w:t>
              </w:r>
            </w:hyperlink>
            <w:r w:rsidR="004804BE" w:rsidRPr="00C462A0">
              <w:rPr>
                <w:color w:val="00AC4E" w:themeColor="accent1"/>
                <w:sz w:val="22"/>
                <w:szCs w:val="22"/>
              </w:rPr>
              <w:t xml:space="preserve">  </w:t>
            </w:r>
          </w:p>
          <w:p w14:paraId="634120C2" w14:textId="365CF7C7" w:rsidR="00412A29" w:rsidRPr="00C462A0" w:rsidRDefault="00412A29" w:rsidP="00412A29">
            <w:pPr>
              <w:pStyle w:val="ListParagraph"/>
              <w:numPr>
                <w:ilvl w:val="0"/>
                <w:numId w:val="195"/>
              </w:numPr>
              <w:rPr>
                <w:color w:val="00AC4E" w:themeColor="accent1"/>
                <w:sz w:val="22"/>
                <w:szCs w:val="22"/>
              </w:rPr>
            </w:pPr>
            <w:hyperlink r:id="rId35" w:history="1">
              <w:r w:rsidRPr="00C462A0">
                <w:rPr>
                  <w:rStyle w:val="Hyperlink"/>
                  <w:color w:val="00AC4E" w:themeColor="accent1"/>
                  <w:sz w:val="22"/>
                  <w:szCs w:val="22"/>
                </w:rPr>
                <w:t>European Union Agency for Cybersecurity (ENISA) – Threat Landscape Reports</w:t>
              </w:r>
            </w:hyperlink>
          </w:p>
          <w:p w14:paraId="1714DA78" w14:textId="7D604D23" w:rsidR="00412A29" w:rsidRPr="00C462A0" w:rsidRDefault="00412A29" w:rsidP="00412A29">
            <w:pPr>
              <w:pStyle w:val="ListParagraph"/>
              <w:numPr>
                <w:ilvl w:val="0"/>
                <w:numId w:val="195"/>
              </w:numPr>
              <w:rPr>
                <w:color w:val="00AC4E" w:themeColor="accent1"/>
                <w:sz w:val="22"/>
                <w:szCs w:val="22"/>
              </w:rPr>
            </w:pPr>
            <w:hyperlink r:id="rId36" w:history="1">
              <w:r w:rsidRPr="00C462A0">
                <w:rPr>
                  <w:rStyle w:val="Hyperlink"/>
                  <w:color w:val="00AC4E" w:themeColor="accent1"/>
                  <w:sz w:val="22"/>
                  <w:szCs w:val="22"/>
                </w:rPr>
                <w:t>Sustay On Track – Cybersecurity as a Core ESG Sustainability Component</w:t>
              </w:r>
            </w:hyperlink>
            <w:r w:rsidR="004804BE" w:rsidRPr="00C462A0">
              <w:rPr>
                <w:color w:val="00AC4E" w:themeColor="accent1"/>
                <w:sz w:val="22"/>
                <w:szCs w:val="22"/>
              </w:rPr>
              <w:t xml:space="preserve">. </w:t>
            </w:r>
          </w:p>
          <w:p w14:paraId="647549B1" w14:textId="77777777" w:rsidR="004804BE" w:rsidRPr="00C462A0" w:rsidRDefault="004804BE" w:rsidP="004804BE">
            <w:pPr>
              <w:pStyle w:val="ListParagraph"/>
              <w:rPr>
                <w:color w:val="00AC4E" w:themeColor="accent1"/>
                <w:sz w:val="22"/>
                <w:szCs w:val="22"/>
              </w:rPr>
            </w:pPr>
          </w:p>
          <w:p w14:paraId="160DE857" w14:textId="77777777" w:rsidR="00412A29" w:rsidRPr="00C462A0" w:rsidRDefault="00412A29" w:rsidP="00412A29">
            <w:pPr>
              <w:rPr>
                <w:b/>
                <w:color w:val="00AC4E" w:themeColor="accent1"/>
                <w:sz w:val="22"/>
                <w:szCs w:val="22"/>
              </w:rPr>
            </w:pPr>
            <w:r w:rsidRPr="00C462A0">
              <w:rPr>
                <w:b/>
                <w:color w:val="00AC4E" w:themeColor="accent1"/>
                <w:sz w:val="22"/>
                <w:szCs w:val="22"/>
              </w:rPr>
              <w:t>Key takeaways:</w:t>
            </w:r>
          </w:p>
          <w:p w14:paraId="2E9714AB" w14:textId="77777777" w:rsidR="00412A29" w:rsidRPr="00C462A0" w:rsidRDefault="00412A29" w:rsidP="0025064F">
            <w:pPr>
              <w:pStyle w:val="ListParagraph"/>
              <w:numPr>
                <w:ilvl w:val="0"/>
                <w:numId w:val="198"/>
              </w:numPr>
              <w:jc w:val="both"/>
              <w:rPr>
                <w:sz w:val="22"/>
                <w:szCs w:val="22"/>
              </w:rPr>
            </w:pPr>
            <w:r w:rsidRPr="00C462A0">
              <w:rPr>
                <w:sz w:val="22"/>
                <w:szCs w:val="22"/>
              </w:rPr>
              <w:t>Modern cybersecurity focuses on structured attacker behaviour through tactics and techniques.</w:t>
            </w:r>
          </w:p>
          <w:p w14:paraId="7500AD66" w14:textId="77777777" w:rsidR="00412A29" w:rsidRPr="00C462A0" w:rsidRDefault="00412A29" w:rsidP="0025064F">
            <w:pPr>
              <w:pStyle w:val="ListParagraph"/>
              <w:numPr>
                <w:ilvl w:val="0"/>
                <w:numId w:val="198"/>
              </w:numPr>
              <w:jc w:val="both"/>
              <w:rPr>
                <w:sz w:val="22"/>
                <w:szCs w:val="22"/>
              </w:rPr>
            </w:pPr>
            <w:r w:rsidRPr="00C462A0">
              <w:rPr>
                <w:sz w:val="22"/>
                <w:szCs w:val="22"/>
              </w:rPr>
              <w:t>The ATT&amp;CK framework provides a systematic way to analyse adversary actions.</w:t>
            </w:r>
          </w:p>
          <w:p w14:paraId="3609149F" w14:textId="77777777" w:rsidR="00412A29" w:rsidRPr="00C462A0" w:rsidRDefault="00412A29" w:rsidP="0025064F">
            <w:pPr>
              <w:pStyle w:val="ListParagraph"/>
              <w:numPr>
                <w:ilvl w:val="0"/>
                <w:numId w:val="198"/>
              </w:numPr>
              <w:jc w:val="both"/>
              <w:rPr>
                <w:sz w:val="22"/>
                <w:szCs w:val="22"/>
              </w:rPr>
            </w:pPr>
            <w:r w:rsidRPr="00C462A0">
              <w:rPr>
                <w:sz w:val="22"/>
                <w:szCs w:val="22"/>
              </w:rPr>
              <w:t>Sustainable digital infrastructures expand the attack surface through IoT and cloud integration.</w:t>
            </w:r>
          </w:p>
          <w:p w14:paraId="1568E743" w14:textId="77777777" w:rsidR="00412A29" w:rsidRPr="00C462A0" w:rsidRDefault="00412A29" w:rsidP="0025064F">
            <w:pPr>
              <w:pStyle w:val="ListParagraph"/>
              <w:numPr>
                <w:ilvl w:val="0"/>
                <w:numId w:val="198"/>
              </w:numPr>
              <w:jc w:val="both"/>
              <w:rPr>
                <w:sz w:val="22"/>
                <w:szCs w:val="22"/>
              </w:rPr>
            </w:pPr>
            <w:r w:rsidRPr="00C462A0">
              <w:rPr>
                <w:sz w:val="22"/>
                <w:szCs w:val="22"/>
              </w:rPr>
              <w:t>Defensive strategies must align directly with known attacker techniques.</w:t>
            </w:r>
          </w:p>
          <w:p w14:paraId="747CC476" w14:textId="77777777" w:rsidR="00412A29" w:rsidRPr="00C462A0" w:rsidRDefault="00412A29" w:rsidP="0025064F">
            <w:pPr>
              <w:numPr>
                <w:ilvl w:val="0"/>
                <w:numId w:val="198"/>
              </w:numPr>
              <w:jc w:val="both"/>
              <w:rPr>
                <w:sz w:val="22"/>
                <w:szCs w:val="22"/>
              </w:rPr>
            </w:pPr>
            <w:r w:rsidRPr="00C462A0">
              <w:rPr>
                <w:sz w:val="22"/>
                <w:szCs w:val="22"/>
              </w:rPr>
              <w:t>Understanding TTPs supports effective threat modelling and risk assessment.</w:t>
            </w:r>
          </w:p>
          <w:p w14:paraId="4FBA86C2" w14:textId="77777777" w:rsidR="00B436EA" w:rsidRPr="00C462A0" w:rsidRDefault="00B436EA" w:rsidP="0025064F">
            <w:pPr>
              <w:spacing w:line="276" w:lineRule="auto"/>
              <w:jc w:val="both"/>
              <w:rPr>
                <w:rFonts w:cstheme="minorHAnsi"/>
                <w:szCs w:val="20"/>
              </w:rPr>
            </w:pPr>
          </w:p>
          <w:p w14:paraId="41D08E41" w14:textId="77777777" w:rsidR="00B436EA" w:rsidRPr="00C462A0" w:rsidRDefault="00B436EA" w:rsidP="00210B7E">
            <w:pPr>
              <w:spacing w:line="276" w:lineRule="auto"/>
              <w:jc w:val="both"/>
              <w:rPr>
                <w:rFonts w:cstheme="minorHAnsi"/>
                <w:b/>
                <w:bCs/>
                <w:color w:val="00AC4E" w:themeColor="accent1"/>
                <w:szCs w:val="20"/>
              </w:rPr>
            </w:pPr>
            <w:r w:rsidRPr="00C462A0">
              <w:rPr>
                <w:rFonts w:cstheme="minorHAnsi"/>
                <w:b/>
                <w:color w:val="00AC4E" w:themeColor="accent1"/>
                <w:szCs w:val="20"/>
              </w:rPr>
              <w:t xml:space="preserve">Quick Check: </w:t>
            </w:r>
          </w:p>
          <w:p w14:paraId="78EE1BEA" w14:textId="51568D4B" w:rsidR="00B436EA" w:rsidRPr="00C462A0" w:rsidRDefault="00B436EA" w:rsidP="00210B7E">
            <w:pPr>
              <w:spacing w:line="276" w:lineRule="auto"/>
              <w:jc w:val="both"/>
              <w:rPr>
                <w:rFonts w:cstheme="minorHAnsi"/>
                <w:color w:val="009889" w:themeColor="accent2"/>
                <w:szCs w:val="20"/>
              </w:rPr>
            </w:pPr>
            <w:r w:rsidRPr="00C462A0">
              <w:rPr>
                <w:rFonts w:cstheme="minorHAnsi"/>
                <w:color w:val="009889" w:themeColor="accent2"/>
                <w:szCs w:val="20"/>
              </w:rPr>
              <w:t xml:space="preserve">1. </w:t>
            </w:r>
            <w:r w:rsidR="004804BE" w:rsidRPr="00C462A0">
              <w:rPr>
                <w:rFonts w:cstheme="minorHAnsi"/>
                <w:color w:val="009889" w:themeColor="accent2"/>
                <w:szCs w:val="20"/>
              </w:rPr>
              <w:t xml:space="preserve">True or False: </w:t>
            </w:r>
            <w:r w:rsidR="004804BE" w:rsidRPr="00C462A0">
              <w:rPr>
                <w:color w:val="009889" w:themeColor="accent2"/>
                <w:sz w:val="22"/>
                <w:szCs w:val="22"/>
              </w:rPr>
              <w:t xml:space="preserve">If an organisation successfully prevents lateral movement during an intrusion, the overall business impact of the attack may be significantly reduced even if initial access was achieved. </w:t>
            </w:r>
          </w:p>
          <w:p w14:paraId="669C1CCA" w14:textId="77777777" w:rsidR="00B436EA" w:rsidRPr="00C462A0" w:rsidRDefault="00B436EA" w:rsidP="00210B7E">
            <w:pPr>
              <w:spacing w:line="276" w:lineRule="auto"/>
              <w:jc w:val="both"/>
              <w:rPr>
                <w:rFonts w:cstheme="minorHAnsi"/>
                <w:szCs w:val="20"/>
              </w:rPr>
            </w:pPr>
          </w:p>
          <w:p w14:paraId="01418201" w14:textId="62C47E8D" w:rsidR="0025064F" w:rsidRPr="00C462A0" w:rsidRDefault="00B436EA" w:rsidP="0025064F">
            <w:pPr>
              <w:spacing w:line="276" w:lineRule="auto"/>
              <w:jc w:val="both"/>
              <w:rPr>
                <w:rFonts w:cstheme="minorHAnsi"/>
                <w:color w:val="009889" w:themeColor="accent2"/>
                <w:szCs w:val="20"/>
              </w:rPr>
            </w:pPr>
            <w:r w:rsidRPr="00C462A0">
              <w:rPr>
                <w:rFonts w:cstheme="minorHAnsi"/>
                <w:color w:val="009889" w:themeColor="accent2"/>
                <w:szCs w:val="20"/>
              </w:rPr>
              <w:t xml:space="preserve">2. </w:t>
            </w:r>
            <w:r w:rsidR="0025064F" w:rsidRPr="00C462A0">
              <w:rPr>
                <w:rFonts w:cstheme="minorHAnsi"/>
                <w:color w:val="009889" w:themeColor="accent2"/>
                <w:szCs w:val="20"/>
              </w:rPr>
              <w:t>An attacker exploits weak authentication on a remote maintenance interface of an Energy Management System and then modifies control parameters.</w:t>
            </w:r>
          </w:p>
          <w:p w14:paraId="55A17497" w14:textId="77777777" w:rsidR="0025064F" w:rsidRPr="00C462A0" w:rsidRDefault="0025064F" w:rsidP="0025064F">
            <w:pPr>
              <w:pStyle w:val="ListParagraph"/>
              <w:numPr>
                <w:ilvl w:val="0"/>
                <w:numId w:val="202"/>
              </w:numPr>
              <w:rPr>
                <w:sz w:val="22"/>
                <w:szCs w:val="22"/>
              </w:rPr>
            </w:pPr>
            <w:r w:rsidRPr="00C462A0">
              <w:rPr>
                <w:sz w:val="22"/>
                <w:szCs w:val="22"/>
              </w:rPr>
              <w:t>Tactic: Compliance breach – Technique: ESG reporting manipulation</w:t>
            </w:r>
          </w:p>
          <w:p w14:paraId="2E02AD75" w14:textId="77777777" w:rsidR="0025064F" w:rsidRPr="00C462A0" w:rsidRDefault="0025064F" w:rsidP="0025064F">
            <w:pPr>
              <w:pStyle w:val="ListParagraph"/>
              <w:numPr>
                <w:ilvl w:val="0"/>
                <w:numId w:val="202"/>
              </w:numPr>
              <w:rPr>
                <w:sz w:val="22"/>
                <w:szCs w:val="22"/>
              </w:rPr>
            </w:pPr>
            <w:r w:rsidRPr="00C462A0">
              <w:rPr>
                <w:sz w:val="22"/>
                <w:szCs w:val="22"/>
              </w:rPr>
              <w:t>Tactic: Impact – Technique: Credential stuffing</w:t>
            </w:r>
          </w:p>
          <w:p w14:paraId="37C52ADC" w14:textId="77777777" w:rsidR="0025064F" w:rsidRPr="00C462A0" w:rsidRDefault="0025064F" w:rsidP="0025064F">
            <w:pPr>
              <w:pStyle w:val="ListParagraph"/>
              <w:numPr>
                <w:ilvl w:val="0"/>
                <w:numId w:val="202"/>
              </w:numPr>
              <w:rPr>
                <w:sz w:val="22"/>
                <w:szCs w:val="22"/>
              </w:rPr>
            </w:pPr>
            <w:r w:rsidRPr="00C462A0">
              <w:rPr>
                <w:sz w:val="22"/>
                <w:szCs w:val="22"/>
              </w:rPr>
              <w:t>Tactic: Initial Access – Technique: Exploitation of weak authentication</w:t>
            </w:r>
          </w:p>
          <w:p w14:paraId="220A0D18" w14:textId="5B3B966C" w:rsidR="0025064F" w:rsidRPr="00C462A0" w:rsidRDefault="0025064F" w:rsidP="0025064F">
            <w:pPr>
              <w:pStyle w:val="ListParagraph"/>
              <w:numPr>
                <w:ilvl w:val="0"/>
                <w:numId w:val="202"/>
              </w:numPr>
              <w:rPr>
                <w:sz w:val="22"/>
                <w:szCs w:val="22"/>
              </w:rPr>
            </w:pPr>
            <w:r w:rsidRPr="00C462A0">
              <w:rPr>
                <w:sz w:val="22"/>
                <w:szCs w:val="22"/>
              </w:rPr>
              <w:t xml:space="preserve">Tactic: Risk assessment – Technique: Remote monitoring. </w:t>
            </w:r>
          </w:p>
          <w:p w14:paraId="506D0FDE" w14:textId="77777777" w:rsidR="00B436EA" w:rsidRPr="00C462A0" w:rsidRDefault="00B436EA" w:rsidP="0025064F">
            <w:pPr>
              <w:spacing w:line="276" w:lineRule="auto"/>
              <w:jc w:val="both"/>
              <w:rPr>
                <w:rFonts w:cstheme="minorHAnsi"/>
                <w:szCs w:val="20"/>
              </w:rPr>
            </w:pPr>
          </w:p>
          <w:p w14:paraId="49140C49" w14:textId="4738D40C" w:rsidR="0025064F" w:rsidRPr="00C462A0" w:rsidRDefault="0025064F" w:rsidP="0025064F">
            <w:pPr>
              <w:rPr>
                <w:sz w:val="22"/>
                <w:szCs w:val="22"/>
              </w:rPr>
            </w:pPr>
            <w:r w:rsidRPr="00C462A0">
              <w:rPr>
                <w:rFonts w:cstheme="minorHAnsi"/>
                <w:color w:val="009889" w:themeColor="accent2"/>
                <w:szCs w:val="20"/>
              </w:rPr>
              <w:t>3.</w:t>
            </w:r>
            <w:r w:rsidRPr="00C462A0">
              <w:rPr>
                <w:color w:val="009889" w:themeColor="accent2"/>
                <w:sz w:val="22"/>
                <w:szCs w:val="22"/>
              </w:rPr>
              <w:t xml:space="preserve"> Which pairing correctly identifies the attacker’s tactic and technique?  A cloud-based ESG platform stores sustainability performance data. The system has a known vulnerability, but exploitation would only expose anonymised, non-critical test data. How should this risk most likely be prioritised? </w:t>
            </w:r>
          </w:p>
          <w:p w14:paraId="2128162D" w14:textId="77777777" w:rsidR="0025064F" w:rsidRPr="00C462A0" w:rsidRDefault="0025064F" w:rsidP="0025064F">
            <w:pPr>
              <w:pStyle w:val="ListParagraph"/>
              <w:numPr>
                <w:ilvl w:val="0"/>
                <w:numId w:val="205"/>
              </w:numPr>
              <w:rPr>
                <w:sz w:val="22"/>
                <w:szCs w:val="22"/>
              </w:rPr>
            </w:pPr>
            <w:r w:rsidRPr="00C462A0">
              <w:rPr>
                <w:sz w:val="22"/>
                <w:szCs w:val="22"/>
              </w:rPr>
              <w:t>High, because all vulnerabilities are equally critical</w:t>
            </w:r>
          </w:p>
          <w:p w14:paraId="19E78508" w14:textId="77777777" w:rsidR="0025064F" w:rsidRPr="00C462A0" w:rsidRDefault="0025064F" w:rsidP="0025064F">
            <w:pPr>
              <w:pStyle w:val="ListParagraph"/>
              <w:numPr>
                <w:ilvl w:val="0"/>
                <w:numId w:val="205"/>
              </w:numPr>
              <w:rPr>
                <w:sz w:val="22"/>
                <w:szCs w:val="22"/>
              </w:rPr>
            </w:pPr>
            <w:r w:rsidRPr="00C462A0">
              <w:rPr>
                <w:sz w:val="22"/>
                <w:szCs w:val="22"/>
              </w:rPr>
              <w:t>Medium, because cloud systems are always high risk</w:t>
            </w:r>
          </w:p>
          <w:p w14:paraId="61E73EB9" w14:textId="77777777" w:rsidR="0025064F" w:rsidRPr="00C462A0" w:rsidRDefault="0025064F" w:rsidP="0025064F">
            <w:pPr>
              <w:pStyle w:val="ListParagraph"/>
              <w:numPr>
                <w:ilvl w:val="0"/>
                <w:numId w:val="205"/>
              </w:numPr>
              <w:rPr>
                <w:sz w:val="22"/>
                <w:szCs w:val="22"/>
              </w:rPr>
            </w:pPr>
            <w:r w:rsidRPr="00C462A0">
              <w:rPr>
                <w:sz w:val="22"/>
                <w:szCs w:val="22"/>
              </w:rPr>
              <w:t>Low, because the impact on business and compliance is minimal</w:t>
            </w:r>
          </w:p>
          <w:p w14:paraId="038A7760" w14:textId="77777777" w:rsidR="0025064F" w:rsidRPr="00C462A0" w:rsidRDefault="0025064F" w:rsidP="0025064F">
            <w:pPr>
              <w:pStyle w:val="ListParagraph"/>
              <w:numPr>
                <w:ilvl w:val="0"/>
                <w:numId w:val="205"/>
              </w:numPr>
              <w:spacing w:line="276" w:lineRule="auto"/>
              <w:jc w:val="both"/>
              <w:rPr>
                <w:rFonts w:cstheme="minorHAnsi"/>
                <w:szCs w:val="20"/>
              </w:rPr>
            </w:pPr>
            <w:r w:rsidRPr="00C462A0">
              <w:rPr>
                <w:sz w:val="22"/>
                <w:szCs w:val="22"/>
              </w:rPr>
              <w:t xml:space="preserve">Critical, because ESG platforms cannot tolerate any weakness. </w:t>
            </w:r>
          </w:p>
          <w:p w14:paraId="42EF0539" w14:textId="77777777" w:rsidR="0025064F" w:rsidRPr="00C462A0" w:rsidRDefault="0025064F" w:rsidP="0025064F">
            <w:pPr>
              <w:spacing w:line="276" w:lineRule="auto"/>
              <w:jc w:val="both"/>
              <w:rPr>
                <w:rFonts w:cstheme="minorHAnsi"/>
                <w:szCs w:val="20"/>
              </w:rPr>
            </w:pPr>
          </w:p>
          <w:p w14:paraId="1663B233" w14:textId="55C0242E" w:rsidR="0025064F" w:rsidRPr="00C462A0" w:rsidRDefault="0025064F" w:rsidP="0025064F">
            <w:pPr>
              <w:spacing w:line="276" w:lineRule="auto"/>
              <w:jc w:val="both"/>
              <w:rPr>
                <w:rFonts w:cstheme="minorHAnsi"/>
                <w:i/>
                <w:iCs/>
                <w:szCs w:val="20"/>
              </w:rPr>
            </w:pPr>
            <w:r w:rsidRPr="00C462A0">
              <w:rPr>
                <w:rFonts w:cstheme="minorHAnsi"/>
                <w:i/>
                <w:iCs/>
                <w:szCs w:val="20"/>
              </w:rPr>
              <w:t>Answer key: 1. true, 2. c), 3. c).</w:t>
            </w:r>
          </w:p>
        </w:tc>
      </w:tr>
    </w:tbl>
    <w:p w14:paraId="0239B69E" w14:textId="77777777" w:rsidR="00C462A0" w:rsidRPr="00C462A0" w:rsidRDefault="00C462A0">
      <w:pPr>
        <w:rPr>
          <w:iCs/>
        </w:rPr>
      </w:pPr>
    </w:p>
    <w:tbl>
      <w:tblPr>
        <w:tblStyle w:val="TableGrid"/>
        <w:tblW w:w="0" w:type="auto"/>
        <w:tblLook w:val="04A0" w:firstRow="1" w:lastRow="0" w:firstColumn="1" w:lastColumn="0" w:noHBand="0" w:noVBand="1"/>
      </w:tblPr>
      <w:tblGrid>
        <w:gridCol w:w="9628"/>
      </w:tblGrid>
      <w:tr w:rsidR="00A32192" w:rsidRPr="00C462A0" w14:paraId="1750A3E4" w14:textId="77777777" w:rsidTr="00210B7E">
        <w:tc>
          <w:tcPr>
            <w:tcW w:w="9628" w:type="dxa"/>
          </w:tcPr>
          <w:p w14:paraId="105B3D70" w14:textId="265565CF" w:rsidR="00A32192" w:rsidRPr="00C462A0" w:rsidRDefault="00A32192" w:rsidP="00210B7E">
            <w:pPr>
              <w:pStyle w:val="Heading2"/>
              <w:numPr>
                <w:ilvl w:val="0"/>
                <w:numId w:val="0"/>
              </w:numPr>
              <w:spacing w:before="0" w:line="276" w:lineRule="auto"/>
              <w:rPr>
                <w:rFonts w:cstheme="minorHAnsi"/>
                <w:b/>
                <w:bCs/>
                <w:szCs w:val="40"/>
              </w:rPr>
            </w:pPr>
            <w:bookmarkStart w:id="19" w:name="_Toc227623403"/>
            <w:r w:rsidRPr="00C462A0">
              <w:rPr>
                <w:rFonts w:cstheme="minorHAnsi"/>
                <w:b/>
                <w:bCs/>
                <w:szCs w:val="40"/>
              </w:rPr>
              <w:lastRenderedPageBreak/>
              <w:t>Topic 1.4: Introduction to the role of Cyberisk</w:t>
            </w:r>
            <w:bookmarkEnd w:id="19"/>
          </w:p>
        </w:tc>
      </w:tr>
      <w:tr w:rsidR="00A32192" w:rsidRPr="00C462A0" w14:paraId="67BF34B5" w14:textId="77777777" w:rsidTr="00210B7E">
        <w:tc>
          <w:tcPr>
            <w:tcW w:w="9628" w:type="dxa"/>
            <w:shd w:val="clear" w:color="auto" w:fill="D9D9D9" w:themeFill="background1" w:themeFillShade="D9"/>
          </w:tcPr>
          <w:p w14:paraId="0BAC3022" w14:textId="77777777" w:rsidR="00A32192" w:rsidRPr="00C462A0" w:rsidRDefault="00A32192" w:rsidP="00210B7E">
            <w:pPr>
              <w:spacing w:line="276" w:lineRule="auto"/>
              <w:rPr>
                <w:rFonts w:cstheme="minorHAnsi"/>
                <w:b/>
                <w:szCs w:val="20"/>
              </w:rPr>
            </w:pPr>
            <w:r w:rsidRPr="00C462A0">
              <w:rPr>
                <w:rFonts w:cstheme="minorHAnsi"/>
                <w:b/>
                <w:szCs w:val="20"/>
              </w:rPr>
              <w:t>Short introduction:</w:t>
            </w:r>
          </w:p>
        </w:tc>
      </w:tr>
      <w:tr w:rsidR="00A32192" w:rsidRPr="00C462A0" w14:paraId="4A11437A" w14:textId="77777777" w:rsidTr="00C462A0">
        <w:trPr>
          <w:trHeight w:val="2070"/>
        </w:trPr>
        <w:tc>
          <w:tcPr>
            <w:tcW w:w="9628" w:type="dxa"/>
          </w:tcPr>
          <w:p w14:paraId="5530BEB7" w14:textId="4413BF81" w:rsidR="00A32192" w:rsidRPr="00C462A0" w:rsidRDefault="00A32192" w:rsidP="00C462A0">
            <w:pPr>
              <w:jc w:val="both"/>
              <w:rPr>
                <w:rFonts w:cstheme="minorHAnsi"/>
                <w:szCs w:val="20"/>
              </w:rPr>
            </w:pPr>
            <w:r w:rsidRPr="00C462A0">
              <w:rPr>
                <w:szCs w:val="20"/>
              </w:rPr>
              <w:t>Cybersecurity is, at its core, a discipline driven by risk. Tactics, techniques, and controls explain how attacks happen and how systems are defended, but cyber risk clarifies why some threats carry more weight than others and how organisations decide where to focus their security efforts. This topic introduces the concept of cyber risk and its importance in protecting sustainable digital infrastructures, including energy systems, IoT environments, and ESG platforms.</w:t>
            </w:r>
          </w:p>
        </w:tc>
      </w:tr>
      <w:tr w:rsidR="00A32192" w:rsidRPr="00C462A0" w14:paraId="797B3428" w14:textId="77777777" w:rsidTr="00210B7E">
        <w:tc>
          <w:tcPr>
            <w:tcW w:w="9628" w:type="dxa"/>
            <w:shd w:val="clear" w:color="auto" w:fill="D9D9D9" w:themeFill="background1" w:themeFillShade="D9"/>
          </w:tcPr>
          <w:p w14:paraId="135686B9" w14:textId="77777777" w:rsidR="00A32192" w:rsidRPr="00C462A0" w:rsidRDefault="00A32192" w:rsidP="00210B7E">
            <w:pPr>
              <w:spacing w:line="276" w:lineRule="auto"/>
              <w:rPr>
                <w:rFonts w:cstheme="minorHAnsi"/>
                <w:b/>
                <w:szCs w:val="20"/>
              </w:rPr>
            </w:pPr>
            <w:r w:rsidRPr="00C462A0">
              <w:rPr>
                <w:rFonts w:cstheme="minorHAnsi"/>
                <w:b/>
                <w:szCs w:val="20"/>
              </w:rPr>
              <w:t xml:space="preserve">Theory &amp; Knowledge: </w:t>
            </w:r>
          </w:p>
        </w:tc>
      </w:tr>
      <w:tr w:rsidR="00A32192" w:rsidRPr="00C462A0" w14:paraId="6C6B10D1" w14:textId="77777777" w:rsidTr="00210B7E">
        <w:trPr>
          <w:trHeight w:val="2142"/>
        </w:trPr>
        <w:tc>
          <w:tcPr>
            <w:tcW w:w="9628" w:type="dxa"/>
          </w:tcPr>
          <w:p w14:paraId="70918C9E" w14:textId="77777777" w:rsidR="00A32192" w:rsidRPr="00C462A0" w:rsidRDefault="00A32192" w:rsidP="00D05EE3">
            <w:pPr>
              <w:jc w:val="both"/>
              <w:rPr>
                <w:rFonts w:cstheme="minorHAnsi"/>
                <w:szCs w:val="20"/>
              </w:rPr>
            </w:pPr>
            <w:r w:rsidRPr="00C462A0">
              <w:rPr>
                <w:rFonts w:cstheme="minorHAnsi"/>
                <w:szCs w:val="20"/>
              </w:rPr>
              <w:t>Cyber risk refers to the potential for loss or harm when a cyber threat exploits a vulnerability within a system. It is not determined solely by the presence of a threat, nor simply by a vulnerability, but by the combination of likelihood and impact.</w:t>
            </w:r>
          </w:p>
          <w:p w14:paraId="1ACC80C3" w14:textId="77777777" w:rsidR="00A32192" w:rsidRPr="00C462A0" w:rsidRDefault="00A32192" w:rsidP="00D05EE3">
            <w:pPr>
              <w:jc w:val="both"/>
              <w:rPr>
                <w:rFonts w:cstheme="minorHAnsi"/>
                <w:szCs w:val="20"/>
              </w:rPr>
            </w:pPr>
          </w:p>
          <w:p w14:paraId="32B3AD93" w14:textId="5D859A5C" w:rsidR="00A32192" w:rsidRDefault="00A32192" w:rsidP="00D05EE3">
            <w:pPr>
              <w:jc w:val="both"/>
              <w:rPr>
                <w:rFonts w:cstheme="minorHAnsi"/>
                <w:szCs w:val="20"/>
              </w:rPr>
            </w:pPr>
            <w:r w:rsidRPr="00C462A0">
              <w:rPr>
                <w:rFonts w:cstheme="minorHAnsi"/>
                <w:szCs w:val="20"/>
              </w:rPr>
              <w:t>In sustainable digital systems, such as smart grids, IoT-based environmental monitoring, and ESG reporting platforms, the consequences of cyber incidents can go beyond financial loss. They may disrupt critical infrastructure, compromise regulatory compliance, or weaken stakeholder trust. For this reason, cybersecurity should be understood not as a purely technical function, but as a structured risk management discipline.</w:t>
            </w:r>
          </w:p>
          <w:p w14:paraId="5EF5785B" w14:textId="77777777" w:rsidR="00C462A0" w:rsidRPr="00C462A0" w:rsidRDefault="00C462A0" w:rsidP="00D05EE3">
            <w:pPr>
              <w:jc w:val="both"/>
              <w:rPr>
                <w:rFonts w:cstheme="minorHAnsi"/>
                <w:szCs w:val="20"/>
              </w:rPr>
            </w:pPr>
          </w:p>
          <w:p w14:paraId="3216A616" w14:textId="77777777" w:rsidR="00A32192" w:rsidRPr="00C462A0" w:rsidRDefault="00A32192" w:rsidP="00D05EE3">
            <w:pPr>
              <w:pStyle w:val="ListParagraph"/>
              <w:numPr>
                <w:ilvl w:val="0"/>
                <w:numId w:val="221"/>
              </w:numPr>
              <w:jc w:val="both"/>
              <w:rPr>
                <w:rFonts w:cstheme="minorHAnsi"/>
                <w:b/>
                <w:bCs/>
                <w:color w:val="009889" w:themeColor="accent2"/>
                <w:szCs w:val="20"/>
              </w:rPr>
            </w:pPr>
            <w:r w:rsidRPr="00C462A0">
              <w:rPr>
                <w:rFonts w:cstheme="minorHAnsi"/>
                <w:b/>
                <w:bCs/>
                <w:color w:val="009889" w:themeColor="accent2"/>
                <w:szCs w:val="20"/>
              </w:rPr>
              <w:t>Defining Cyber Risk</w:t>
            </w:r>
          </w:p>
          <w:p w14:paraId="4516F423" w14:textId="4F3B886E" w:rsidR="00D05EE3" w:rsidRPr="00C462A0" w:rsidRDefault="00A32192" w:rsidP="00C462A0">
            <w:pPr>
              <w:jc w:val="both"/>
              <w:rPr>
                <w:rFonts w:cstheme="minorHAnsi"/>
                <w:szCs w:val="20"/>
              </w:rPr>
            </w:pPr>
            <w:r w:rsidRPr="00C462A0">
              <w:rPr>
                <w:rFonts w:cstheme="minorHAnsi"/>
                <w:szCs w:val="20"/>
              </w:rPr>
              <w:t>Cyber risk can be expressed in simple conceptual terms as:</w:t>
            </w:r>
          </w:p>
          <w:p w14:paraId="5CF2CAD1" w14:textId="615FFD20" w:rsidR="00D05EE3" w:rsidRDefault="00A32192" w:rsidP="00C462A0">
            <w:pPr>
              <w:jc w:val="center"/>
              <w:rPr>
                <w:rFonts w:cstheme="minorHAnsi"/>
                <w:b/>
                <w:bCs/>
                <w:szCs w:val="20"/>
              </w:rPr>
            </w:pPr>
            <w:r w:rsidRPr="00C462A0">
              <w:rPr>
                <w:rFonts w:cstheme="minorHAnsi"/>
                <w:b/>
                <w:bCs/>
                <w:szCs w:val="20"/>
              </w:rPr>
              <w:t>Risk = Threat probability × Vulnerability score x Impact</w:t>
            </w:r>
            <w:r w:rsidR="00C462A0">
              <w:rPr>
                <w:rFonts w:cstheme="minorHAnsi"/>
                <w:b/>
                <w:bCs/>
                <w:szCs w:val="20"/>
              </w:rPr>
              <w:t>.</w:t>
            </w:r>
          </w:p>
          <w:p w14:paraId="04090845" w14:textId="77777777" w:rsidR="00A32192" w:rsidRPr="00C462A0" w:rsidRDefault="00A32192" w:rsidP="00C462A0">
            <w:pPr>
              <w:spacing w:before="240"/>
              <w:jc w:val="both"/>
              <w:rPr>
                <w:rFonts w:cstheme="minorHAnsi"/>
                <w:szCs w:val="20"/>
              </w:rPr>
            </w:pPr>
            <w:r w:rsidRPr="00C462A0">
              <w:rPr>
                <w:rFonts w:cstheme="minorHAnsi"/>
                <w:szCs w:val="20"/>
              </w:rPr>
              <w:t>Threat probability is the likelihood that a threat actor will successfully exploit a vulnerability. Vulnerability score refers to the potential damage a vulnerability could cause to the system if exploited. Impact describes the extent of harm if that exploitation takes place, including operational disruption, financial loss, reputational damage, or regulatory penalties.</w:t>
            </w:r>
          </w:p>
          <w:p w14:paraId="2DDB9A92" w14:textId="0A17198C" w:rsidR="00A32192" w:rsidRPr="00C462A0" w:rsidRDefault="00A32192" w:rsidP="00D05EE3">
            <w:pPr>
              <w:jc w:val="both"/>
              <w:rPr>
                <w:rFonts w:cstheme="minorHAnsi"/>
                <w:szCs w:val="20"/>
              </w:rPr>
            </w:pPr>
            <w:r w:rsidRPr="00C462A0">
              <w:rPr>
                <w:rFonts w:cstheme="minorHAnsi"/>
                <w:szCs w:val="20"/>
              </w:rPr>
              <w:t>A threat on its own, without a vulnerability, does not create immediate risk. Similarly, a vulnerability without an active threat represents only latent risk. Cyber risk emerges when both conditions coexist within a specific business context.</w:t>
            </w:r>
          </w:p>
          <w:p w14:paraId="5CC5AEC0" w14:textId="77777777" w:rsidR="00A32192" w:rsidRPr="00C462A0" w:rsidRDefault="00A32192" w:rsidP="00C462A0">
            <w:pPr>
              <w:keepNext/>
              <w:jc w:val="center"/>
              <w:rPr>
                <w:rFonts w:cstheme="minorHAnsi"/>
                <w:szCs w:val="20"/>
              </w:rPr>
            </w:pPr>
            <w:r w:rsidRPr="00C462A0">
              <w:rPr>
                <w:rFonts w:cstheme="minorHAnsi"/>
                <w:noProof/>
                <w:szCs w:val="20"/>
              </w:rPr>
              <w:drawing>
                <wp:inline distT="0" distB="0" distL="0" distR="0" wp14:anchorId="05E29EFC" wp14:editId="38F6ADE8">
                  <wp:extent cx="4657744" cy="2379134"/>
                  <wp:effectExtent l="0" t="0" r="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Lst>
                          </a:blip>
                          <a:stretch/>
                        </pic:blipFill>
                        <pic:spPr bwMode="auto">
                          <a:xfrm>
                            <a:off x="0" y="0"/>
                            <a:ext cx="4692259" cy="2396764"/>
                          </a:xfrm>
                          <a:prstGeom prst="rect">
                            <a:avLst/>
                          </a:prstGeom>
                          <a:noFill/>
                          <a:ln>
                            <a:noFill/>
                          </a:ln>
                        </pic:spPr>
                      </pic:pic>
                    </a:graphicData>
                  </a:graphic>
                </wp:inline>
              </w:drawing>
            </w:r>
          </w:p>
          <w:p w14:paraId="436ABDCD" w14:textId="37112D65" w:rsidR="00A32192" w:rsidRDefault="00A32192" w:rsidP="00C462A0">
            <w:pPr>
              <w:pStyle w:val="Caption"/>
              <w:jc w:val="center"/>
              <w:rPr>
                <w:rFonts w:cstheme="minorHAnsi"/>
                <w:b w:val="0"/>
                <w:bCs w:val="0"/>
                <w:sz w:val="18"/>
                <w:szCs w:val="18"/>
              </w:rPr>
            </w:pPr>
            <w:bookmarkStart w:id="20" w:name="_Toc227623443"/>
            <w:r w:rsidRPr="00C462A0">
              <w:rPr>
                <w:rFonts w:cstheme="minorHAnsi"/>
                <w:b w:val="0"/>
                <w:bCs w:val="0"/>
                <w:sz w:val="18"/>
                <w:szCs w:val="18"/>
              </w:rPr>
              <w:t xml:space="preserve">Figure </w:t>
            </w:r>
            <w:r w:rsidRPr="00C462A0">
              <w:rPr>
                <w:rFonts w:cstheme="minorHAnsi"/>
                <w:b w:val="0"/>
                <w:bCs w:val="0"/>
                <w:sz w:val="18"/>
                <w:szCs w:val="18"/>
              </w:rPr>
              <w:fldChar w:fldCharType="begin"/>
            </w:r>
            <w:r w:rsidRPr="00C462A0">
              <w:rPr>
                <w:rFonts w:cstheme="minorHAnsi"/>
                <w:b w:val="0"/>
                <w:bCs w:val="0"/>
                <w:sz w:val="18"/>
                <w:szCs w:val="18"/>
              </w:rPr>
              <w:instrText xml:space="preserve"> SEQ Figure \* ARABIC </w:instrText>
            </w:r>
            <w:r w:rsidRPr="00C462A0">
              <w:rPr>
                <w:rFonts w:cstheme="minorHAnsi"/>
                <w:b w:val="0"/>
                <w:bCs w:val="0"/>
                <w:sz w:val="18"/>
                <w:szCs w:val="18"/>
              </w:rPr>
              <w:fldChar w:fldCharType="separate"/>
            </w:r>
            <w:r w:rsidRPr="00C462A0">
              <w:rPr>
                <w:rFonts w:cstheme="minorHAnsi"/>
                <w:b w:val="0"/>
                <w:bCs w:val="0"/>
                <w:sz w:val="18"/>
                <w:szCs w:val="18"/>
              </w:rPr>
              <w:t>6</w:t>
            </w:r>
            <w:r w:rsidRPr="00C462A0">
              <w:rPr>
                <w:rFonts w:cstheme="minorHAnsi"/>
                <w:b w:val="0"/>
                <w:bCs w:val="0"/>
                <w:sz w:val="18"/>
                <w:szCs w:val="18"/>
              </w:rPr>
              <w:fldChar w:fldCharType="end"/>
            </w:r>
            <w:r w:rsidR="00D05EE3" w:rsidRPr="00C462A0">
              <w:rPr>
                <w:rFonts w:cstheme="minorHAnsi"/>
                <w:b w:val="0"/>
                <w:bCs w:val="0"/>
                <w:sz w:val="18"/>
                <w:szCs w:val="18"/>
              </w:rPr>
              <w:t>.</w:t>
            </w:r>
            <w:r w:rsidRPr="00C462A0">
              <w:rPr>
                <w:rFonts w:cstheme="minorHAnsi"/>
                <w:b w:val="0"/>
                <w:bCs w:val="0"/>
                <w:sz w:val="18"/>
                <w:szCs w:val="18"/>
              </w:rPr>
              <w:t xml:space="preserve"> Cyber risk assessment model where risk results from threat probability, vulnerability level, and potential impact on organizational assets</w:t>
            </w:r>
            <w:r w:rsidR="00D05EE3" w:rsidRPr="00C462A0">
              <w:rPr>
                <w:rFonts w:cstheme="minorHAnsi"/>
                <w:b w:val="0"/>
                <w:bCs w:val="0"/>
                <w:sz w:val="18"/>
                <w:szCs w:val="18"/>
              </w:rPr>
              <w:t xml:space="preserve"> (source: Author)</w:t>
            </w:r>
            <w:bookmarkEnd w:id="20"/>
          </w:p>
          <w:p w14:paraId="5812AAF0" w14:textId="6B58F305" w:rsidR="00243017" w:rsidRPr="00B84598" w:rsidRDefault="00243017" w:rsidP="00243017">
            <w:pPr>
              <w:rPr>
                <w:i/>
                <w:iCs/>
                <w:sz w:val="18"/>
                <w:szCs w:val="20"/>
              </w:rPr>
            </w:pPr>
            <w:r w:rsidRPr="00B84598">
              <w:rPr>
                <w:i/>
                <w:iCs/>
                <w:sz w:val="18"/>
                <w:szCs w:val="20"/>
              </w:rPr>
              <w:lastRenderedPageBreak/>
              <w:t>The infographic</w:t>
            </w:r>
            <w:r w:rsidRPr="00B84598">
              <w:rPr>
                <w:i/>
                <w:iCs/>
                <w:sz w:val="18"/>
                <w:szCs w:val="20"/>
              </w:rPr>
              <w:t xml:space="preserve"> above</w:t>
            </w:r>
            <w:r w:rsidRPr="00B84598">
              <w:rPr>
                <w:i/>
                <w:iCs/>
                <w:sz w:val="18"/>
                <w:szCs w:val="20"/>
              </w:rPr>
              <w:t xml:space="preserve"> outlines a fundamental formula for assessing cybersecurity risk and the strategic process used to evaluate it.</w:t>
            </w:r>
            <w:r w:rsidRPr="00B84598">
              <w:rPr>
                <w:i/>
                <w:iCs/>
                <w:sz w:val="18"/>
                <w:szCs w:val="20"/>
              </w:rPr>
              <w:t xml:space="preserve"> </w:t>
            </w:r>
            <w:r w:rsidRPr="00B84598">
              <w:rPr>
                <w:i/>
                <w:iCs/>
                <w:sz w:val="18"/>
                <w:szCs w:val="20"/>
              </w:rPr>
              <w:t>The Risk Equation</w:t>
            </w:r>
            <w:r w:rsidRPr="00B84598">
              <w:rPr>
                <w:i/>
                <w:iCs/>
                <w:sz w:val="18"/>
                <w:szCs w:val="20"/>
              </w:rPr>
              <w:t xml:space="preserve">. </w:t>
            </w:r>
            <w:r w:rsidRPr="00B84598">
              <w:rPr>
                <w:i/>
                <w:iCs/>
                <w:sz w:val="18"/>
                <w:szCs w:val="20"/>
              </w:rPr>
              <w:t>At the top, the image defines Risk as a product of three critical factors:</w:t>
            </w:r>
            <w:r w:rsidRPr="00B84598">
              <w:rPr>
                <w:i/>
                <w:iCs/>
                <w:sz w:val="18"/>
                <w:szCs w:val="20"/>
              </w:rPr>
              <w:t xml:space="preserve"> RISK = Threat probability * Vulnerability score * IMPACT. </w:t>
            </w:r>
            <w:r w:rsidRPr="00B84598">
              <w:rPr>
                <w:i/>
                <w:iCs/>
                <w:sz w:val="18"/>
                <w:szCs w:val="20"/>
              </w:rPr>
              <w:t>Risk Assessment Process</w:t>
            </w:r>
            <w:r w:rsidRPr="00B84598">
              <w:rPr>
                <w:i/>
                <w:iCs/>
                <w:sz w:val="18"/>
                <w:szCs w:val="20"/>
              </w:rPr>
              <w:t xml:space="preserve">: </w:t>
            </w:r>
            <w:r w:rsidRPr="00B84598">
              <w:rPr>
                <w:i/>
                <w:iCs/>
                <w:sz w:val="18"/>
                <w:szCs w:val="20"/>
              </w:rPr>
              <w:t>The diagram breaks down the evaluation into four sequential stages:</w:t>
            </w:r>
            <w:r w:rsidRPr="00B84598">
              <w:rPr>
                <w:i/>
                <w:iCs/>
                <w:sz w:val="18"/>
                <w:szCs w:val="20"/>
              </w:rPr>
              <w:t xml:space="preserve"> </w:t>
            </w:r>
            <w:r w:rsidRPr="00B84598">
              <w:rPr>
                <w:i/>
                <w:iCs/>
                <w:sz w:val="18"/>
                <w:szCs w:val="20"/>
              </w:rPr>
              <w:t>1. Threat Agent Identification</w:t>
            </w:r>
            <w:r w:rsidR="00B84598" w:rsidRPr="00B84598">
              <w:rPr>
                <w:i/>
                <w:iCs/>
                <w:sz w:val="18"/>
                <w:szCs w:val="20"/>
              </w:rPr>
              <w:t xml:space="preserve">. </w:t>
            </w:r>
            <w:r w:rsidRPr="00B84598">
              <w:rPr>
                <w:i/>
                <w:iCs/>
                <w:sz w:val="18"/>
                <w:szCs w:val="20"/>
              </w:rPr>
              <w:t>Question: Who would attack the organization?</w:t>
            </w:r>
          </w:p>
          <w:p w14:paraId="1A04604C" w14:textId="4F6FCE51" w:rsidR="00B84598" w:rsidRPr="00B84598" w:rsidRDefault="00243017" w:rsidP="00B84598">
            <w:pPr>
              <w:rPr>
                <w:i/>
                <w:iCs/>
                <w:sz w:val="18"/>
                <w:szCs w:val="20"/>
              </w:rPr>
            </w:pPr>
            <w:r w:rsidRPr="00B84598">
              <w:rPr>
                <w:i/>
                <w:iCs/>
                <w:sz w:val="18"/>
                <w:szCs w:val="20"/>
              </w:rPr>
              <w:t>Key Factors: Understanding the attacker's motivations, required skills, current industry trends, and their operational security (OPSEC).</w:t>
            </w:r>
            <w:r w:rsidR="00B84598" w:rsidRPr="00B84598">
              <w:rPr>
                <w:i/>
                <w:iCs/>
                <w:sz w:val="18"/>
                <w:szCs w:val="20"/>
              </w:rPr>
              <w:t xml:space="preserve"> </w:t>
            </w:r>
            <w:r w:rsidRPr="00B84598">
              <w:rPr>
                <w:i/>
                <w:iCs/>
                <w:sz w:val="18"/>
                <w:szCs w:val="20"/>
              </w:rPr>
              <w:t>2. Attack Strategies</w:t>
            </w:r>
            <w:r w:rsidR="00B84598" w:rsidRPr="00B84598">
              <w:rPr>
                <w:i/>
                <w:iCs/>
                <w:sz w:val="18"/>
                <w:szCs w:val="20"/>
              </w:rPr>
              <w:t xml:space="preserve">. </w:t>
            </w:r>
            <w:r w:rsidRPr="00B84598">
              <w:rPr>
                <w:i/>
                <w:iCs/>
                <w:sz w:val="18"/>
                <w:szCs w:val="20"/>
              </w:rPr>
              <w:t>Question: How could the company be attacked?</w:t>
            </w:r>
            <w:r w:rsidR="00B84598" w:rsidRPr="00B84598">
              <w:rPr>
                <w:i/>
                <w:iCs/>
                <w:sz w:val="18"/>
                <w:szCs w:val="20"/>
              </w:rPr>
              <w:t xml:space="preserve">  </w:t>
            </w:r>
            <w:r w:rsidRPr="00B84598">
              <w:rPr>
                <w:i/>
                <w:iCs/>
                <w:sz w:val="18"/>
                <w:szCs w:val="20"/>
              </w:rPr>
              <w:t>Focus: Identifying possible methods and vectors an adversary might use to breach the system.</w:t>
            </w:r>
            <w:r w:rsidR="00B84598" w:rsidRPr="00B84598">
              <w:rPr>
                <w:i/>
                <w:iCs/>
                <w:sz w:val="18"/>
                <w:szCs w:val="20"/>
              </w:rPr>
              <w:t xml:space="preserve"> </w:t>
            </w:r>
            <w:r w:rsidRPr="00B84598">
              <w:rPr>
                <w:i/>
                <w:iCs/>
                <w:sz w:val="18"/>
                <w:szCs w:val="20"/>
              </w:rPr>
              <w:t>3. Weakness Analysis</w:t>
            </w:r>
            <w:r w:rsidR="00B84598" w:rsidRPr="00B84598">
              <w:rPr>
                <w:i/>
                <w:iCs/>
                <w:sz w:val="18"/>
                <w:szCs w:val="20"/>
              </w:rPr>
              <w:t xml:space="preserve">. </w:t>
            </w:r>
            <w:r w:rsidRPr="00B84598">
              <w:rPr>
                <w:i/>
                <w:iCs/>
                <w:sz w:val="18"/>
                <w:szCs w:val="20"/>
              </w:rPr>
              <w:t>Question: Which are the weaknesses of the company?</w:t>
            </w:r>
            <w:r w:rsidR="00B84598" w:rsidRPr="00B84598">
              <w:rPr>
                <w:i/>
                <w:iCs/>
                <w:sz w:val="18"/>
                <w:szCs w:val="20"/>
              </w:rPr>
              <w:t xml:space="preserve"> </w:t>
            </w:r>
            <w:r w:rsidRPr="00B84598">
              <w:rPr>
                <w:i/>
                <w:iCs/>
                <w:sz w:val="18"/>
                <w:szCs w:val="20"/>
              </w:rPr>
              <w:t>Method: Measuring vulnerabilities via self-assessment, often through a cyber maturity questionnaire.</w:t>
            </w:r>
            <w:r w:rsidR="00B84598" w:rsidRPr="00B84598">
              <w:rPr>
                <w:i/>
                <w:iCs/>
                <w:sz w:val="18"/>
                <w:szCs w:val="20"/>
              </w:rPr>
              <w:t xml:space="preserve"> </w:t>
            </w:r>
            <w:r w:rsidRPr="00B84598">
              <w:rPr>
                <w:i/>
                <w:iCs/>
                <w:sz w:val="18"/>
                <w:szCs w:val="20"/>
              </w:rPr>
              <w:t>4. Asset Prioritization</w:t>
            </w:r>
            <w:r w:rsidR="00B84598" w:rsidRPr="00B84598">
              <w:rPr>
                <w:i/>
                <w:iCs/>
                <w:sz w:val="18"/>
                <w:szCs w:val="20"/>
              </w:rPr>
              <w:t xml:space="preserve">. </w:t>
            </w:r>
            <w:r w:rsidR="00B84598" w:rsidRPr="00B84598">
              <w:rPr>
                <w:i/>
                <w:iCs/>
                <w:sz w:val="18"/>
                <w:szCs w:val="20"/>
              </w:rPr>
              <w:t>Focus: Identifying the Most Vulnerable Assets.</w:t>
            </w:r>
          </w:p>
          <w:p w14:paraId="442C06E7" w14:textId="34EEFD15" w:rsidR="00243017" w:rsidRPr="00B84598" w:rsidRDefault="00B84598" w:rsidP="00B84598">
            <w:pPr>
              <w:rPr>
                <w:i/>
                <w:iCs/>
                <w:sz w:val="18"/>
                <w:szCs w:val="20"/>
              </w:rPr>
            </w:pPr>
            <w:r w:rsidRPr="00B84598">
              <w:rPr>
                <w:i/>
                <w:iCs/>
                <w:sz w:val="18"/>
                <w:szCs w:val="20"/>
              </w:rPr>
              <w:t>Key Factors: Evaluating the Likelihood of an exploit and the specific Vulnerabilities associated with those assets.</w:t>
            </w:r>
          </w:p>
          <w:p w14:paraId="200EE0D7" w14:textId="77777777" w:rsidR="00243017" w:rsidRPr="00243017" w:rsidRDefault="00243017" w:rsidP="00243017"/>
          <w:p w14:paraId="71003910" w14:textId="77777777" w:rsidR="00A32192" w:rsidRPr="00C462A0" w:rsidRDefault="00A32192" w:rsidP="00D05EE3">
            <w:pPr>
              <w:pStyle w:val="ListParagraph"/>
              <w:numPr>
                <w:ilvl w:val="0"/>
                <w:numId w:val="221"/>
              </w:numPr>
              <w:jc w:val="both"/>
              <w:rPr>
                <w:rFonts w:cstheme="minorHAnsi"/>
                <w:b/>
                <w:bCs/>
                <w:color w:val="009889" w:themeColor="accent2"/>
                <w:szCs w:val="20"/>
              </w:rPr>
            </w:pPr>
            <w:r w:rsidRPr="00C462A0">
              <w:rPr>
                <w:rFonts w:cstheme="minorHAnsi"/>
                <w:b/>
                <w:bCs/>
                <w:color w:val="009889" w:themeColor="accent2"/>
                <w:szCs w:val="20"/>
              </w:rPr>
              <w:t>Cyber Risk in Sustainable Systems</w:t>
            </w:r>
          </w:p>
          <w:p w14:paraId="309A019E" w14:textId="77777777" w:rsidR="00A32192" w:rsidRPr="00C462A0" w:rsidRDefault="00A32192" w:rsidP="00D05EE3">
            <w:pPr>
              <w:jc w:val="both"/>
              <w:rPr>
                <w:rFonts w:cstheme="minorHAnsi"/>
                <w:szCs w:val="20"/>
              </w:rPr>
            </w:pPr>
            <w:r w:rsidRPr="00C462A0">
              <w:rPr>
                <w:rFonts w:cstheme="minorHAnsi"/>
                <w:szCs w:val="20"/>
              </w:rPr>
              <w:t>Sustainable infrastructures bring distinct risk characteristics:</w:t>
            </w:r>
          </w:p>
          <w:p w14:paraId="1F3CC5F8" w14:textId="77777777" w:rsidR="00A32192" w:rsidRPr="00C462A0" w:rsidRDefault="00A32192" w:rsidP="00D05EE3">
            <w:pPr>
              <w:pStyle w:val="ListParagraph"/>
              <w:numPr>
                <w:ilvl w:val="0"/>
                <w:numId w:val="206"/>
              </w:numPr>
              <w:jc w:val="both"/>
              <w:rPr>
                <w:rFonts w:cstheme="minorHAnsi"/>
                <w:szCs w:val="20"/>
              </w:rPr>
            </w:pPr>
            <w:r w:rsidRPr="00C462A0">
              <w:rPr>
                <w:rFonts w:cstheme="minorHAnsi"/>
                <w:szCs w:val="20"/>
              </w:rPr>
              <w:t>Distributed attack surfaces, including IoT sensors, smart meters, and APIs.</w:t>
            </w:r>
          </w:p>
          <w:p w14:paraId="79837E14" w14:textId="77777777" w:rsidR="00A32192" w:rsidRPr="00C462A0" w:rsidRDefault="00A32192" w:rsidP="00D05EE3">
            <w:pPr>
              <w:pStyle w:val="ListParagraph"/>
              <w:numPr>
                <w:ilvl w:val="0"/>
                <w:numId w:val="206"/>
              </w:numPr>
              <w:jc w:val="both"/>
              <w:rPr>
                <w:rFonts w:cstheme="minorHAnsi"/>
                <w:szCs w:val="20"/>
              </w:rPr>
            </w:pPr>
            <w:r w:rsidRPr="00C462A0">
              <w:rPr>
                <w:rFonts w:cstheme="minorHAnsi"/>
                <w:szCs w:val="20"/>
              </w:rPr>
              <w:t>Integration between IT and Operational Technology (OT).</w:t>
            </w:r>
          </w:p>
          <w:p w14:paraId="4488ADF1" w14:textId="77777777" w:rsidR="00A32192" w:rsidRPr="00C462A0" w:rsidRDefault="00A32192" w:rsidP="00D05EE3">
            <w:pPr>
              <w:pStyle w:val="ListParagraph"/>
              <w:numPr>
                <w:ilvl w:val="0"/>
                <w:numId w:val="206"/>
              </w:numPr>
              <w:jc w:val="both"/>
              <w:rPr>
                <w:rFonts w:cstheme="minorHAnsi"/>
                <w:szCs w:val="20"/>
              </w:rPr>
            </w:pPr>
            <w:r w:rsidRPr="00C462A0">
              <w:rPr>
                <w:rFonts w:cstheme="minorHAnsi"/>
                <w:szCs w:val="20"/>
              </w:rPr>
              <w:t>Regulatory exposure, such as ESG reporting accuracy and data protection obligations.</w:t>
            </w:r>
          </w:p>
          <w:p w14:paraId="4A85C6F3" w14:textId="77777777" w:rsidR="00A32192" w:rsidRPr="00C462A0" w:rsidRDefault="00A32192" w:rsidP="00D05EE3">
            <w:pPr>
              <w:pStyle w:val="ListParagraph"/>
              <w:numPr>
                <w:ilvl w:val="0"/>
                <w:numId w:val="206"/>
              </w:numPr>
              <w:jc w:val="both"/>
              <w:rPr>
                <w:rFonts w:cstheme="minorHAnsi"/>
                <w:szCs w:val="20"/>
              </w:rPr>
            </w:pPr>
            <w:r w:rsidRPr="00C462A0">
              <w:rPr>
                <w:rFonts w:cstheme="minorHAnsi"/>
                <w:szCs w:val="20"/>
              </w:rPr>
              <w:t>High societal impact in the event of disruption.</w:t>
            </w:r>
          </w:p>
          <w:p w14:paraId="092E2E4C" w14:textId="77777777" w:rsidR="00A32192" w:rsidRPr="00C462A0" w:rsidRDefault="00A32192" w:rsidP="00D05EE3">
            <w:pPr>
              <w:jc w:val="both"/>
              <w:rPr>
                <w:rFonts w:cstheme="minorHAnsi"/>
                <w:szCs w:val="20"/>
              </w:rPr>
            </w:pPr>
            <w:r w:rsidRPr="00C462A0">
              <w:rPr>
                <w:rFonts w:cstheme="minorHAnsi"/>
                <w:szCs w:val="20"/>
              </w:rPr>
              <w:t>For instance, a compromised ESG data platform may not only expose sensitive information but could also lead to inaccurate sustainability disclosures, potentially resulting in regulatory sanctions or reputational damage.</w:t>
            </w:r>
          </w:p>
          <w:p w14:paraId="4BB2E12A" w14:textId="77777777" w:rsidR="00A32192" w:rsidRPr="00C462A0" w:rsidRDefault="00A32192" w:rsidP="00D05EE3">
            <w:pPr>
              <w:jc w:val="both"/>
              <w:rPr>
                <w:rFonts w:cstheme="minorHAnsi"/>
                <w:szCs w:val="20"/>
              </w:rPr>
            </w:pPr>
            <w:r w:rsidRPr="00C462A0">
              <w:rPr>
                <w:rFonts w:cstheme="minorHAnsi"/>
                <w:szCs w:val="20"/>
              </w:rPr>
              <w:t>For this reason, cyber risk assessment needs to account not only for technical severity, but also for organisational and societal consequences.</w:t>
            </w:r>
          </w:p>
          <w:p w14:paraId="2874F402" w14:textId="77777777" w:rsidR="00A32192" w:rsidRPr="00C462A0" w:rsidRDefault="00A32192" w:rsidP="00D05EE3">
            <w:pPr>
              <w:jc w:val="both"/>
              <w:rPr>
                <w:rFonts w:cstheme="minorHAnsi"/>
                <w:szCs w:val="20"/>
              </w:rPr>
            </w:pPr>
          </w:p>
          <w:p w14:paraId="5A843717" w14:textId="77777777" w:rsidR="00B84598" w:rsidRDefault="00B84598" w:rsidP="00D05EE3">
            <w:pPr>
              <w:keepNext/>
              <w:jc w:val="both"/>
              <w:rPr>
                <w:rFonts w:cstheme="minorHAnsi"/>
                <w:noProof/>
                <w:szCs w:val="20"/>
              </w:rPr>
            </w:pPr>
          </w:p>
          <w:p w14:paraId="29C1ABD9" w14:textId="54C31186" w:rsidR="00A32192" w:rsidRPr="00C462A0" w:rsidRDefault="00A32192" w:rsidP="00B84598">
            <w:pPr>
              <w:keepNext/>
              <w:jc w:val="center"/>
              <w:rPr>
                <w:rFonts w:cstheme="minorHAnsi"/>
                <w:szCs w:val="20"/>
              </w:rPr>
            </w:pPr>
            <w:r w:rsidRPr="00C462A0">
              <w:rPr>
                <w:rFonts w:cstheme="minorHAnsi"/>
                <w:noProof/>
                <w:szCs w:val="20"/>
              </w:rPr>
              <w:drawing>
                <wp:inline distT="0" distB="0" distL="0" distR="0" wp14:anchorId="49A3E0B9" wp14:editId="761668E5">
                  <wp:extent cx="4000356" cy="3552825"/>
                  <wp:effectExtent l="0" t="0" r="635"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pic:cNvPicPr>
                        </pic:nvPicPr>
                        <pic:blipFill rotWithShape="1">
                          <a:blip r:embed="rId39">
                            <a:extLst>
                              <a:ext uri="{BEBA8EAE-BF5A-486C-A8C5-ECC9F3942E4B}">
                                <a14:imgProps xmlns:a14="http://schemas.microsoft.com/office/drawing/2010/main">
                                  <a14:imgLayer r:embed="rId40">
                                    <a14:imgEffect>
                                      <a14:sharpenSoften amount="50000"/>
                                    </a14:imgEffect>
                                  </a14:imgLayer>
                                </a14:imgProps>
                              </a:ext>
                            </a:extLst>
                          </a:blip>
                          <a:srcRect l="16668" r="16649" b="11148"/>
                          <a:stretch>
                            <a:fillRect/>
                          </a:stretch>
                        </pic:blipFill>
                        <pic:spPr bwMode="auto">
                          <a:xfrm>
                            <a:off x="0" y="0"/>
                            <a:ext cx="4011507" cy="3562728"/>
                          </a:xfrm>
                          <a:prstGeom prst="rect">
                            <a:avLst/>
                          </a:prstGeom>
                          <a:noFill/>
                          <a:ln>
                            <a:noFill/>
                          </a:ln>
                          <a:extLst>
                            <a:ext uri="{53640926-AAD7-44D8-BBD7-CCE9431645EC}">
                              <a14:shadowObscured xmlns:a14="http://schemas.microsoft.com/office/drawing/2010/main"/>
                            </a:ext>
                          </a:extLst>
                        </pic:spPr>
                      </pic:pic>
                    </a:graphicData>
                  </a:graphic>
                </wp:inline>
              </w:drawing>
            </w:r>
          </w:p>
          <w:p w14:paraId="05EA6360" w14:textId="775C9184" w:rsidR="00A32192" w:rsidRPr="00C462A0" w:rsidRDefault="00A32192" w:rsidP="00D05EE3">
            <w:pPr>
              <w:pStyle w:val="Caption"/>
              <w:jc w:val="center"/>
              <w:rPr>
                <w:rFonts w:cstheme="minorHAnsi"/>
                <w:b w:val="0"/>
                <w:bCs w:val="0"/>
                <w:sz w:val="18"/>
                <w:szCs w:val="18"/>
              </w:rPr>
            </w:pPr>
            <w:bookmarkStart w:id="21" w:name="_Toc227623444"/>
            <w:r w:rsidRPr="00C462A0">
              <w:rPr>
                <w:rFonts w:cstheme="minorHAnsi"/>
                <w:b w:val="0"/>
                <w:bCs w:val="0"/>
                <w:sz w:val="18"/>
                <w:szCs w:val="18"/>
              </w:rPr>
              <w:t xml:space="preserve">Figure </w:t>
            </w:r>
            <w:r w:rsidRPr="00C462A0">
              <w:rPr>
                <w:rFonts w:cstheme="minorHAnsi"/>
                <w:b w:val="0"/>
                <w:bCs w:val="0"/>
                <w:sz w:val="18"/>
                <w:szCs w:val="18"/>
              </w:rPr>
              <w:fldChar w:fldCharType="begin"/>
            </w:r>
            <w:r w:rsidRPr="00C462A0">
              <w:rPr>
                <w:rFonts w:cstheme="minorHAnsi"/>
                <w:b w:val="0"/>
                <w:bCs w:val="0"/>
                <w:sz w:val="18"/>
                <w:szCs w:val="18"/>
              </w:rPr>
              <w:instrText xml:space="preserve"> SEQ Figure \* ARABIC </w:instrText>
            </w:r>
            <w:r w:rsidRPr="00C462A0">
              <w:rPr>
                <w:rFonts w:cstheme="minorHAnsi"/>
                <w:b w:val="0"/>
                <w:bCs w:val="0"/>
                <w:sz w:val="18"/>
                <w:szCs w:val="18"/>
              </w:rPr>
              <w:fldChar w:fldCharType="separate"/>
            </w:r>
            <w:r w:rsidRPr="00C462A0">
              <w:rPr>
                <w:rFonts w:cstheme="minorHAnsi"/>
                <w:b w:val="0"/>
                <w:bCs w:val="0"/>
                <w:sz w:val="18"/>
                <w:szCs w:val="18"/>
              </w:rPr>
              <w:t>7</w:t>
            </w:r>
            <w:r w:rsidRPr="00C462A0">
              <w:rPr>
                <w:rFonts w:cstheme="minorHAnsi"/>
                <w:b w:val="0"/>
                <w:bCs w:val="0"/>
                <w:sz w:val="18"/>
                <w:szCs w:val="18"/>
              </w:rPr>
              <w:fldChar w:fldCharType="end"/>
            </w:r>
            <w:r w:rsidR="00D05EE3" w:rsidRPr="00C462A0">
              <w:rPr>
                <w:rFonts w:cstheme="minorHAnsi"/>
                <w:b w:val="0"/>
                <w:bCs w:val="0"/>
                <w:sz w:val="18"/>
                <w:szCs w:val="18"/>
              </w:rPr>
              <w:t>.</w:t>
            </w:r>
            <w:r w:rsidRPr="00C462A0">
              <w:rPr>
                <w:rFonts w:cstheme="minorHAnsi"/>
                <w:b w:val="0"/>
                <w:bCs w:val="0"/>
                <w:sz w:val="18"/>
                <w:szCs w:val="18"/>
              </w:rPr>
              <w:t xml:space="preserve"> Cascading impacts of cyber incidents. Technical failures such as downtime or data breaches can lead to financial loss, compliance issues, and broader societal or environmental effects</w:t>
            </w:r>
            <w:r w:rsidR="00D05EE3" w:rsidRPr="00C462A0">
              <w:rPr>
                <w:rFonts w:cstheme="minorHAnsi"/>
                <w:b w:val="0"/>
                <w:bCs w:val="0"/>
                <w:sz w:val="18"/>
                <w:szCs w:val="18"/>
              </w:rPr>
              <w:t xml:space="preserve"> (source: Author)</w:t>
            </w:r>
            <w:bookmarkEnd w:id="21"/>
          </w:p>
          <w:p w14:paraId="799BC946" w14:textId="48CD48FE" w:rsidR="00B84598" w:rsidRPr="00B84598" w:rsidRDefault="00B84598" w:rsidP="00B84598">
            <w:pPr>
              <w:jc w:val="both"/>
              <w:rPr>
                <w:rFonts w:cstheme="minorHAnsi"/>
                <w:i/>
                <w:iCs/>
                <w:sz w:val="18"/>
                <w:szCs w:val="18"/>
              </w:rPr>
            </w:pPr>
            <w:r w:rsidRPr="00B84598">
              <w:rPr>
                <w:rFonts w:cstheme="minorHAnsi"/>
                <w:i/>
                <w:iCs/>
                <w:sz w:val="18"/>
                <w:szCs w:val="18"/>
              </w:rPr>
              <w:lastRenderedPageBreak/>
              <w:t xml:space="preserve">The image </w:t>
            </w:r>
            <w:r w:rsidRPr="00B84598">
              <w:rPr>
                <w:rFonts w:cstheme="minorHAnsi"/>
                <w:i/>
                <w:iCs/>
                <w:sz w:val="18"/>
                <w:szCs w:val="18"/>
              </w:rPr>
              <w:t xml:space="preserve">above </w:t>
            </w:r>
            <w:r w:rsidRPr="00B84598">
              <w:rPr>
                <w:rFonts w:cstheme="minorHAnsi"/>
                <w:i/>
                <w:iCs/>
                <w:sz w:val="18"/>
                <w:szCs w:val="18"/>
              </w:rPr>
              <w:t>displays a diagram illustrating how technical issues can escalate into broader societal and environmental impacts.</w:t>
            </w:r>
            <w:r>
              <w:rPr>
                <w:rFonts w:cstheme="minorHAnsi"/>
                <w:i/>
                <w:iCs/>
                <w:sz w:val="18"/>
                <w:szCs w:val="18"/>
              </w:rPr>
              <w:t xml:space="preserve"> </w:t>
            </w:r>
            <w:r w:rsidRPr="00B84598">
              <w:rPr>
                <w:rFonts w:cstheme="minorHAnsi"/>
                <w:i/>
                <w:iCs/>
                <w:sz w:val="18"/>
                <w:szCs w:val="18"/>
              </w:rPr>
              <w:t>Technical Impact: Initial issues like System downtime and Data breaches.</w:t>
            </w:r>
          </w:p>
          <w:p w14:paraId="0BF30E8E" w14:textId="4440D1BF" w:rsidR="00A32192" w:rsidRPr="00B84598" w:rsidRDefault="00B84598" w:rsidP="00B84598">
            <w:pPr>
              <w:jc w:val="both"/>
              <w:rPr>
                <w:rFonts w:cstheme="minorHAnsi"/>
                <w:i/>
                <w:iCs/>
                <w:sz w:val="18"/>
                <w:szCs w:val="18"/>
              </w:rPr>
            </w:pPr>
            <w:r w:rsidRPr="00B84598">
              <w:rPr>
                <w:rFonts w:cstheme="minorHAnsi"/>
                <w:i/>
                <w:iCs/>
                <w:sz w:val="18"/>
                <w:szCs w:val="18"/>
              </w:rPr>
              <w:t xml:space="preserve">Cascading consequences: These technical issues lead to intermediate effects such as </w:t>
            </w:r>
            <w:r w:rsidRPr="00B84598">
              <w:rPr>
                <w:rFonts w:cstheme="minorHAnsi"/>
                <w:i/>
                <w:iCs/>
                <w:sz w:val="18"/>
                <w:szCs w:val="18"/>
              </w:rPr>
              <w:t>financial</w:t>
            </w:r>
            <w:r w:rsidRPr="00B84598">
              <w:rPr>
                <w:rFonts w:cstheme="minorHAnsi"/>
                <w:i/>
                <w:iCs/>
                <w:sz w:val="18"/>
                <w:szCs w:val="18"/>
              </w:rPr>
              <w:t xml:space="preserve"> loss, Compliance failure, and Reputational damage.</w:t>
            </w:r>
            <w:r>
              <w:rPr>
                <w:rFonts w:cstheme="minorHAnsi"/>
                <w:i/>
                <w:iCs/>
                <w:sz w:val="18"/>
                <w:szCs w:val="18"/>
              </w:rPr>
              <w:t xml:space="preserve"> </w:t>
            </w:r>
            <w:r w:rsidRPr="00B84598">
              <w:rPr>
                <w:rFonts w:cstheme="minorHAnsi"/>
                <w:i/>
                <w:iCs/>
                <w:sz w:val="18"/>
                <w:szCs w:val="18"/>
              </w:rPr>
              <w:t>Societal / Environmental Impact: Ultimately, these consequences result in broader issues like Energy disruption and Stakeholder trust erosion.</w:t>
            </w:r>
          </w:p>
          <w:p w14:paraId="5F5A66B0" w14:textId="77777777" w:rsidR="00B84598" w:rsidRPr="00C462A0" w:rsidRDefault="00B84598" w:rsidP="00B84598">
            <w:pPr>
              <w:jc w:val="both"/>
              <w:rPr>
                <w:rFonts w:cstheme="minorHAnsi"/>
                <w:szCs w:val="20"/>
              </w:rPr>
            </w:pPr>
          </w:p>
          <w:p w14:paraId="0682054D" w14:textId="77777777" w:rsidR="00A32192" w:rsidRPr="00C462A0" w:rsidRDefault="00A32192" w:rsidP="00D05EE3">
            <w:pPr>
              <w:pStyle w:val="ListParagraph"/>
              <w:numPr>
                <w:ilvl w:val="0"/>
                <w:numId w:val="221"/>
              </w:numPr>
              <w:jc w:val="both"/>
              <w:rPr>
                <w:rFonts w:cstheme="minorHAnsi"/>
                <w:b/>
                <w:bCs/>
                <w:color w:val="009889" w:themeColor="accent2"/>
                <w:szCs w:val="20"/>
              </w:rPr>
            </w:pPr>
            <w:r w:rsidRPr="00C462A0">
              <w:rPr>
                <w:rFonts w:cstheme="minorHAnsi"/>
                <w:b/>
                <w:bCs/>
                <w:color w:val="009889" w:themeColor="accent2"/>
                <w:szCs w:val="20"/>
              </w:rPr>
              <w:t>Risk Assessment and Prioritisation</w:t>
            </w:r>
          </w:p>
          <w:p w14:paraId="451218CA" w14:textId="77777777" w:rsidR="00A32192" w:rsidRPr="00C462A0" w:rsidRDefault="00A32192" w:rsidP="00D05EE3">
            <w:pPr>
              <w:jc w:val="both"/>
              <w:rPr>
                <w:rFonts w:cstheme="minorHAnsi"/>
                <w:szCs w:val="20"/>
              </w:rPr>
            </w:pPr>
            <w:r w:rsidRPr="00C462A0">
              <w:rPr>
                <w:rFonts w:cstheme="minorHAnsi"/>
                <w:szCs w:val="20"/>
              </w:rPr>
              <w:t>Since resources are limited, organisations cannot remove every risk. Instead, they prioritise them through structured assessment methods. These typically involve:</w:t>
            </w:r>
          </w:p>
          <w:p w14:paraId="624DD19A" w14:textId="77777777" w:rsidR="00A32192" w:rsidRPr="00C462A0" w:rsidRDefault="00A32192" w:rsidP="00D05EE3">
            <w:pPr>
              <w:pStyle w:val="ListParagraph"/>
              <w:numPr>
                <w:ilvl w:val="0"/>
                <w:numId w:val="207"/>
              </w:numPr>
              <w:jc w:val="both"/>
              <w:rPr>
                <w:rFonts w:cstheme="minorHAnsi"/>
                <w:szCs w:val="20"/>
              </w:rPr>
            </w:pPr>
            <w:r w:rsidRPr="00C462A0">
              <w:rPr>
                <w:rFonts w:cstheme="minorHAnsi"/>
                <w:szCs w:val="20"/>
              </w:rPr>
              <w:t>Identifying critical assets.</w:t>
            </w:r>
          </w:p>
          <w:p w14:paraId="5E6EE114" w14:textId="77777777" w:rsidR="00A32192" w:rsidRPr="00C462A0" w:rsidRDefault="00A32192" w:rsidP="00D05EE3">
            <w:pPr>
              <w:pStyle w:val="ListParagraph"/>
              <w:numPr>
                <w:ilvl w:val="0"/>
                <w:numId w:val="207"/>
              </w:numPr>
              <w:jc w:val="both"/>
              <w:rPr>
                <w:rFonts w:cstheme="minorHAnsi"/>
                <w:szCs w:val="20"/>
              </w:rPr>
            </w:pPr>
            <w:r w:rsidRPr="00C462A0">
              <w:rPr>
                <w:rFonts w:cstheme="minorHAnsi"/>
                <w:szCs w:val="20"/>
              </w:rPr>
              <w:t>Identifying threats and vulnerabilities.</w:t>
            </w:r>
          </w:p>
          <w:p w14:paraId="5EBD97D4" w14:textId="77777777" w:rsidR="00A32192" w:rsidRPr="00C462A0" w:rsidRDefault="00A32192" w:rsidP="00D05EE3">
            <w:pPr>
              <w:pStyle w:val="ListParagraph"/>
              <w:numPr>
                <w:ilvl w:val="0"/>
                <w:numId w:val="207"/>
              </w:numPr>
              <w:jc w:val="both"/>
              <w:rPr>
                <w:rFonts w:cstheme="minorHAnsi"/>
                <w:szCs w:val="20"/>
              </w:rPr>
            </w:pPr>
            <w:r w:rsidRPr="00C462A0">
              <w:rPr>
                <w:rFonts w:cstheme="minorHAnsi"/>
                <w:szCs w:val="20"/>
              </w:rPr>
              <w:t>Estimating likelihood.</w:t>
            </w:r>
          </w:p>
          <w:p w14:paraId="2A767882" w14:textId="77777777" w:rsidR="00A32192" w:rsidRPr="00C462A0" w:rsidRDefault="00A32192" w:rsidP="00D05EE3">
            <w:pPr>
              <w:pStyle w:val="ListParagraph"/>
              <w:numPr>
                <w:ilvl w:val="0"/>
                <w:numId w:val="207"/>
              </w:numPr>
              <w:jc w:val="both"/>
              <w:rPr>
                <w:rFonts w:cstheme="minorHAnsi"/>
                <w:szCs w:val="20"/>
              </w:rPr>
            </w:pPr>
            <w:r w:rsidRPr="00C462A0">
              <w:rPr>
                <w:rFonts w:cstheme="minorHAnsi"/>
                <w:szCs w:val="20"/>
              </w:rPr>
              <w:t>Evaluating impact.</w:t>
            </w:r>
          </w:p>
          <w:p w14:paraId="1DF9DA90" w14:textId="77777777" w:rsidR="00A32192" w:rsidRPr="00C462A0" w:rsidRDefault="00A32192" w:rsidP="00D05EE3">
            <w:pPr>
              <w:pStyle w:val="ListParagraph"/>
              <w:numPr>
                <w:ilvl w:val="0"/>
                <w:numId w:val="207"/>
              </w:numPr>
              <w:jc w:val="both"/>
              <w:rPr>
                <w:rFonts w:cstheme="minorHAnsi"/>
                <w:szCs w:val="20"/>
              </w:rPr>
            </w:pPr>
            <w:r w:rsidRPr="00C462A0">
              <w:rPr>
                <w:rFonts w:cstheme="minorHAnsi"/>
                <w:szCs w:val="20"/>
              </w:rPr>
              <w:t>Determining the level of risk, for example, low, medium, or high.</w:t>
            </w:r>
          </w:p>
          <w:p w14:paraId="154276CB" w14:textId="77777777" w:rsidR="00A32192" w:rsidRPr="00C462A0" w:rsidRDefault="00A32192" w:rsidP="00D05EE3">
            <w:pPr>
              <w:jc w:val="both"/>
              <w:rPr>
                <w:rFonts w:cstheme="minorHAnsi"/>
                <w:szCs w:val="20"/>
              </w:rPr>
            </w:pPr>
            <w:r w:rsidRPr="00C462A0">
              <w:rPr>
                <w:rFonts w:cstheme="minorHAnsi"/>
                <w:szCs w:val="20"/>
              </w:rPr>
              <w:t>Frameworks such as those promoted by the National Institute of Standards and Technology through the NIST Risk Management Framework, along with guidance from the European Union Agency for Cybersecurity, support structured risk analysis processes. These approaches help align cybersecurity decisions with organisational objectives and regulatory requirements.</w:t>
            </w:r>
          </w:p>
          <w:p w14:paraId="31D4113B" w14:textId="77777777" w:rsidR="00A32192" w:rsidRPr="00C462A0" w:rsidRDefault="00A32192" w:rsidP="00D05EE3">
            <w:pPr>
              <w:jc w:val="both"/>
              <w:rPr>
                <w:rFonts w:cstheme="minorHAnsi"/>
                <w:szCs w:val="20"/>
              </w:rPr>
            </w:pPr>
            <w:r w:rsidRPr="00C462A0">
              <w:rPr>
                <w:rFonts w:cstheme="minorHAnsi"/>
                <w:szCs w:val="20"/>
              </w:rPr>
              <w:t>Risk-based prioritisation ensures that high-impact risks affecting the resilience of sustainable infrastructure are addressed before lower-severity technical issues.</w:t>
            </w:r>
          </w:p>
          <w:p w14:paraId="2FA5C2DA" w14:textId="77777777" w:rsidR="00A32192" w:rsidRPr="00C462A0" w:rsidRDefault="00A32192" w:rsidP="00D05EE3">
            <w:pPr>
              <w:jc w:val="both"/>
              <w:rPr>
                <w:rFonts w:cstheme="minorHAnsi"/>
                <w:szCs w:val="20"/>
              </w:rPr>
            </w:pPr>
          </w:p>
          <w:p w14:paraId="0530E470" w14:textId="77777777" w:rsidR="00A32192" w:rsidRPr="00C462A0" w:rsidRDefault="00A32192" w:rsidP="00D05EE3">
            <w:pPr>
              <w:pStyle w:val="ListParagraph"/>
              <w:numPr>
                <w:ilvl w:val="0"/>
                <w:numId w:val="221"/>
              </w:numPr>
              <w:jc w:val="both"/>
              <w:rPr>
                <w:rFonts w:cstheme="minorHAnsi"/>
                <w:b/>
                <w:bCs/>
                <w:color w:val="009889" w:themeColor="accent2"/>
                <w:szCs w:val="20"/>
              </w:rPr>
            </w:pPr>
            <w:r w:rsidRPr="00C462A0">
              <w:rPr>
                <w:rFonts w:cstheme="minorHAnsi"/>
                <w:b/>
                <w:bCs/>
                <w:color w:val="009889" w:themeColor="accent2"/>
                <w:szCs w:val="20"/>
              </w:rPr>
              <w:t>Cyber Risk and Strategic Decision-Making</w:t>
            </w:r>
          </w:p>
          <w:p w14:paraId="3FB85BDA" w14:textId="77777777" w:rsidR="00A32192" w:rsidRPr="00C462A0" w:rsidRDefault="00A32192" w:rsidP="00D05EE3">
            <w:pPr>
              <w:jc w:val="both"/>
              <w:rPr>
                <w:rFonts w:cstheme="minorHAnsi"/>
                <w:szCs w:val="20"/>
              </w:rPr>
            </w:pPr>
            <w:r w:rsidRPr="00C462A0">
              <w:rPr>
                <w:rFonts w:cstheme="minorHAnsi"/>
                <w:szCs w:val="20"/>
              </w:rPr>
              <w:t>Cyber risk influences:</w:t>
            </w:r>
          </w:p>
          <w:p w14:paraId="1EA898C2" w14:textId="77777777" w:rsidR="00A32192" w:rsidRPr="00C462A0" w:rsidRDefault="00A32192" w:rsidP="00D05EE3">
            <w:pPr>
              <w:pStyle w:val="ListParagraph"/>
              <w:numPr>
                <w:ilvl w:val="0"/>
                <w:numId w:val="210"/>
              </w:numPr>
              <w:jc w:val="both"/>
              <w:rPr>
                <w:rFonts w:cstheme="minorHAnsi"/>
                <w:szCs w:val="20"/>
              </w:rPr>
            </w:pPr>
            <w:r w:rsidRPr="00C462A0">
              <w:rPr>
                <w:rFonts w:cstheme="minorHAnsi"/>
                <w:szCs w:val="20"/>
              </w:rPr>
              <w:t>Investment decisions in security controls.</w:t>
            </w:r>
          </w:p>
          <w:p w14:paraId="44F906CB" w14:textId="77777777" w:rsidR="00A32192" w:rsidRPr="00C462A0" w:rsidRDefault="00A32192" w:rsidP="00D05EE3">
            <w:pPr>
              <w:pStyle w:val="ListParagraph"/>
              <w:numPr>
                <w:ilvl w:val="0"/>
                <w:numId w:val="210"/>
              </w:numPr>
              <w:jc w:val="both"/>
              <w:rPr>
                <w:rFonts w:cstheme="minorHAnsi"/>
                <w:szCs w:val="20"/>
              </w:rPr>
            </w:pPr>
            <w:r w:rsidRPr="00C462A0">
              <w:rPr>
                <w:rFonts w:cstheme="minorHAnsi"/>
                <w:szCs w:val="20"/>
              </w:rPr>
              <w:t>Architecture design choices.</w:t>
            </w:r>
          </w:p>
          <w:p w14:paraId="20867C0E" w14:textId="77777777" w:rsidR="00A32192" w:rsidRPr="00C462A0" w:rsidRDefault="00A32192" w:rsidP="00D05EE3">
            <w:pPr>
              <w:pStyle w:val="ListParagraph"/>
              <w:numPr>
                <w:ilvl w:val="0"/>
                <w:numId w:val="210"/>
              </w:numPr>
              <w:jc w:val="both"/>
              <w:rPr>
                <w:rFonts w:cstheme="minorHAnsi"/>
                <w:szCs w:val="20"/>
              </w:rPr>
            </w:pPr>
            <w:r w:rsidRPr="00C462A0">
              <w:rPr>
                <w:rFonts w:cstheme="minorHAnsi"/>
                <w:szCs w:val="20"/>
              </w:rPr>
              <w:t>Incident response planning.</w:t>
            </w:r>
          </w:p>
          <w:p w14:paraId="6251E48C" w14:textId="77777777" w:rsidR="00A32192" w:rsidRPr="00C462A0" w:rsidRDefault="00A32192" w:rsidP="00D05EE3">
            <w:pPr>
              <w:pStyle w:val="ListParagraph"/>
              <w:numPr>
                <w:ilvl w:val="0"/>
                <w:numId w:val="210"/>
              </w:numPr>
              <w:jc w:val="both"/>
              <w:rPr>
                <w:rFonts w:cstheme="minorHAnsi"/>
                <w:szCs w:val="20"/>
              </w:rPr>
            </w:pPr>
            <w:r w:rsidRPr="00C462A0">
              <w:rPr>
                <w:rFonts w:cstheme="minorHAnsi"/>
                <w:szCs w:val="20"/>
              </w:rPr>
              <w:t>Compliance strategy.</w:t>
            </w:r>
          </w:p>
          <w:p w14:paraId="7AB9C94A" w14:textId="77777777" w:rsidR="00A32192" w:rsidRPr="00C462A0" w:rsidRDefault="00A32192" w:rsidP="00D05EE3">
            <w:pPr>
              <w:jc w:val="both"/>
              <w:rPr>
                <w:rFonts w:cstheme="minorHAnsi"/>
                <w:szCs w:val="20"/>
              </w:rPr>
            </w:pPr>
            <w:r w:rsidRPr="00C462A0">
              <w:rPr>
                <w:rFonts w:cstheme="minorHAnsi"/>
                <w:szCs w:val="20"/>
              </w:rPr>
              <w:t>Within this curriculum, cyber risk acts as the link between:</w:t>
            </w:r>
          </w:p>
          <w:p w14:paraId="446C1471" w14:textId="77777777" w:rsidR="00A32192" w:rsidRPr="00C462A0" w:rsidRDefault="00A32192" w:rsidP="00D05EE3">
            <w:pPr>
              <w:pStyle w:val="ListParagraph"/>
              <w:numPr>
                <w:ilvl w:val="0"/>
                <w:numId w:val="211"/>
              </w:numPr>
              <w:jc w:val="both"/>
              <w:rPr>
                <w:rFonts w:cstheme="minorHAnsi"/>
                <w:szCs w:val="20"/>
              </w:rPr>
            </w:pPr>
            <w:r w:rsidRPr="00C462A0">
              <w:rPr>
                <w:rFonts w:cstheme="minorHAnsi"/>
                <w:szCs w:val="20"/>
              </w:rPr>
              <w:t>The CIA Triad and threat landscape analysis (Topics 1.1 and 1.2),</w:t>
            </w:r>
          </w:p>
          <w:p w14:paraId="015916EF" w14:textId="77777777" w:rsidR="00A32192" w:rsidRPr="00C462A0" w:rsidRDefault="00A32192" w:rsidP="00D05EE3">
            <w:pPr>
              <w:pStyle w:val="ListParagraph"/>
              <w:numPr>
                <w:ilvl w:val="0"/>
                <w:numId w:val="211"/>
              </w:numPr>
              <w:jc w:val="both"/>
              <w:rPr>
                <w:rFonts w:cstheme="minorHAnsi"/>
                <w:szCs w:val="20"/>
              </w:rPr>
            </w:pPr>
            <w:r w:rsidRPr="00C462A0">
              <w:rPr>
                <w:rFonts w:cstheme="minorHAnsi"/>
                <w:szCs w:val="20"/>
              </w:rPr>
              <w:t>Modern attacker TTPs (Topic 1.3), and</w:t>
            </w:r>
          </w:p>
          <w:p w14:paraId="51D1872B" w14:textId="77777777" w:rsidR="00A32192" w:rsidRPr="00C462A0" w:rsidRDefault="00A32192" w:rsidP="00D05EE3">
            <w:pPr>
              <w:pStyle w:val="ListParagraph"/>
              <w:numPr>
                <w:ilvl w:val="0"/>
                <w:numId w:val="211"/>
              </w:numPr>
              <w:jc w:val="both"/>
              <w:rPr>
                <w:rFonts w:cstheme="minorHAnsi"/>
                <w:szCs w:val="20"/>
              </w:rPr>
            </w:pPr>
            <w:r w:rsidRPr="00C462A0">
              <w:rPr>
                <w:rFonts w:cstheme="minorHAnsi"/>
                <w:szCs w:val="20"/>
              </w:rPr>
              <w:t>The structured risk assessment required for the Capstone Project.</w:t>
            </w:r>
          </w:p>
          <w:p w14:paraId="6E3B6D3D" w14:textId="77777777" w:rsidR="00A32192" w:rsidRPr="00C462A0" w:rsidRDefault="00A32192" w:rsidP="00D05EE3">
            <w:pPr>
              <w:jc w:val="both"/>
              <w:rPr>
                <w:rFonts w:cstheme="minorHAnsi"/>
                <w:szCs w:val="20"/>
              </w:rPr>
            </w:pPr>
            <w:r w:rsidRPr="00C462A0">
              <w:rPr>
                <w:rFonts w:cstheme="minorHAnsi"/>
                <w:szCs w:val="20"/>
              </w:rPr>
              <w:t>Cybersecurity, therefore, is not only about stopping attacks; it is about enabling informed, risk-based decisions that support sustainable and resilient digital systems.</w:t>
            </w:r>
          </w:p>
          <w:p w14:paraId="78DAA2AF" w14:textId="77777777" w:rsidR="00A32192" w:rsidRPr="00C462A0" w:rsidRDefault="00A32192" w:rsidP="00D05EE3">
            <w:pPr>
              <w:jc w:val="both"/>
              <w:rPr>
                <w:rFonts w:cstheme="minorHAnsi"/>
                <w:szCs w:val="20"/>
              </w:rPr>
            </w:pPr>
          </w:p>
          <w:p w14:paraId="76A01892" w14:textId="77777777" w:rsidR="00A32192" w:rsidRPr="00C462A0" w:rsidRDefault="00A32192" w:rsidP="00D05EE3">
            <w:pPr>
              <w:jc w:val="both"/>
              <w:rPr>
                <w:rFonts w:cstheme="minorHAnsi"/>
                <w:b/>
                <w:color w:val="00AC4E" w:themeColor="accent1"/>
                <w:szCs w:val="20"/>
                <w:u w:val="single"/>
              </w:rPr>
            </w:pPr>
            <w:r w:rsidRPr="00C462A0">
              <w:rPr>
                <w:rFonts w:cstheme="minorHAnsi"/>
                <w:b/>
                <w:color w:val="00AC4E" w:themeColor="accent1"/>
                <w:szCs w:val="20"/>
                <w:u w:val="single"/>
              </w:rPr>
              <w:t>Micro activities:</w:t>
            </w:r>
          </w:p>
          <w:p w14:paraId="76DB82C3" w14:textId="77777777" w:rsidR="00A32192" w:rsidRPr="00C462A0" w:rsidRDefault="00A32192" w:rsidP="00D05EE3">
            <w:pPr>
              <w:jc w:val="both"/>
              <w:rPr>
                <w:rFonts w:cstheme="minorHAnsi"/>
                <w:szCs w:val="20"/>
              </w:rPr>
            </w:pPr>
            <w:r w:rsidRPr="00C462A0">
              <w:rPr>
                <w:rFonts w:cstheme="minorHAnsi"/>
                <w:szCs w:val="20"/>
              </w:rPr>
              <w:t>Consider a smart energy management platform that:</w:t>
            </w:r>
          </w:p>
          <w:p w14:paraId="5E345811" w14:textId="77777777" w:rsidR="00A32192" w:rsidRPr="00C462A0" w:rsidRDefault="00A32192" w:rsidP="00D05EE3">
            <w:pPr>
              <w:pStyle w:val="ListParagraph"/>
              <w:numPr>
                <w:ilvl w:val="0"/>
                <w:numId w:val="212"/>
              </w:numPr>
              <w:jc w:val="both"/>
              <w:rPr>
                <w:rFonts w:cstheme="minorHAnsi"/>
                <w:szCs w:val="20"/>
              </w:rPr>
            </w:pPr>
            <w:r w:rsidRPr="00C462A0">
              <w:rPr>
                <w:rFonts w:cstheme="minorHAnsi"/>
                <w:szCs w:val="20"/>
              </w:rPr>
              <w:t>Collects real-time sensor data</w:t>
            </w:r>
          </w:p>
          <w:p w14:paraId="19236D4E" w14:textId="77777777" w:rsidR="00A32192" w:rsidRPr="00C462A0" w:rsidRDefault="00A32192" w:rsidP="00D05EE3">
            <w:pPr>
              <w:pStyle w:val="ListParagraph"/>
              <w:numPr>
                <w:ilvl w:val="0"/>
                <w:numId w:val="212"/>
              </w:numPr>
              <w:jc w:val="both"/>
              <w:rPr>
                <w:rFonts w:cstheme="minorHAnsi"/>
                <w:szCs w:val="20"/>
              </w:rPr>
            </w:pPr>
            <w:r w:rsidRPr="00C462A0">
              <w:rPr>
                <w:rFonts w:cstheme="minorHAnsi"/>
                <w:szCs w:val="20"/>
              </w:rPr>
              <w:t>Stores it in a cloud database</w:t>
            </w:r>
          </w:p>
          <w:p w14:paraId="7F24F6BD" w14:textId="63377DD9" w:rsidR="00A32192" w:rsidRPr="00C462A0" w:rsidRDefault="00A32192" w:rsidP="00D05EE3">
            <w:pPr>
              <w:pStyle w:val="ListParagraph"/>
              <w:numPr>
                <w:ilvl w:val="0"/>
                <w:numId w:val="212"/>
              </w:numPr>
              <w:jc w:val="both"/>
              <w:rPr>
                <w:rFonts w:cstheme="minorHAnsi"/>
                <w:szCs w:val="20"/>
              </w:rPr>
            </w:pPr>
            <w:r w:rsidRPr="00C462A0">
              <w:rPr>
                <w:rFonts w:cstheme="minorHAnsi"/>
                <w:szCs w:val="20"/>
              </w:rPr>
              <w:t>Generates ESG performance reports</w:t>
            </w:r>
            <w:r w:rsidR="00D05EE3" w:rsidRPr="00C462A0">
              <w:rPr>
                <w:rFonts w:cstheme="minorHAnsi"/>
                <w:szCs w:val="20"/>
              </w:rPr>
              <w:t>.</w:t>
            </w:r>
          </w:p>
          <w:p w14:paraId="584A5954" w14:textId="77777777" w:rsidR="00D05EE3" w:rsidRPr="00C462A0" w:rsidRDefault="00D05EE3" w:rsidP="00D05EE3">
            <w:pPr>
              <w:pStyle w:val="ListParagraph"/>
              <w:jc w:val="both"/>
              <w:rPr>
                <w:rFonts w:cstheme="minorHAnsi"/>
                <w:szCs w:val="20"/>
              </w:rPr>
            </w:pPr>
          </w:p>
          <w:p w14:paraId="481AB3B6" w14:textId="1575CC9E" w:rsidR="00A32192" w:rsidRPr="00C462A0" w:rsidRDefault="00D05EE3" w:rsidP="00D05EE3">
            <w:pPr>
              <w:jc w:val="both"/>
              <w:rPr>
                <w:rFonts w:cstheme="minorHAnsi"/>
                <w:b/>
                <w:bCs/>
                <w:szCs w:val="20"/>
              </w:rPr>
            </w:pPr>
            <w:r w:rsidRPr="00C462A0">
              <w:rPr>
                <w:rFonts w:cstheme="minorHAnsi"/>
                <w:b/>
                <w:bCs/>
                <w:szCs w:val="20"/>
              </w:rPr>
              <w:t>Learner t</w:t>
            </w:r>
            <w:r w:rsidR="00A32192" w:rsidRPr="00C462A0">
              <w:rPr>
                <w:rFonts w:cstheme="minorHAnsi"/>
                <w:b/>
                <w:bCs/>
                <w:szCs w:val="20"/>
              </w:rPr>
              <w:t>ask:</w:t>
            </w:r>
          </w:p>
          <w:p w14:paraId="436D1B1E" w14:textId="77777777" w:rsidR="00A32192" w:rsidRPr="00C462A0" w:rsidRDefault="00A32192" w:rsidP="00D05EE3">
            <w:pPr>
              <w:pStyle w:val="ListParagraph"/>
              <w:numPr>
                <w:ilvl w:val="0"/>
                <w:numId w:val="213"/>
              </w:numPr>
              <w:jc w:val="both"/>
              <w:rPr>
                <w:rFonts w:cstheme="minorHAnsi"/>
                <w:szCs w:val="20"/>
              </w:rPr>
            </w:pPr>
            <w:r w:rsidRPr="00C462A0">
              <w:rPr>
                <w:rFonts w:cstheme="minorHAnsi"/>
                <w:szCs w:val="20"/>
              </w:rPr>
              <w:t>Identify one critical asset.</w:t>
            </w:r>
          </w:p>
          <w:p w14:paraId="4BB62B1C" w14:textId="77777777" w:rsidR="00A32192" w:rsidRPr="00C462A0" w:rsidRDefault="00A32192" w:rsidP="00D05EE3">
            <w:pPr>
              <w:pStyle w:val="ListParagraph"/>
              <w:numPr>
                <w:ilvl w:val="0"/>
                <w:numId w:val="213"/>
              </w:numPr>
              <w:jc w:val="both"/>
              <w:rPr>
                <w:rFonts w:cstheme="minorHAnsi"/>
                <w:szCs w:val="20"/>
              </w:rPr>
            </w:pPr>
            <w:r w:rsidRPr="00C462A0">
              <w:rPr>
                <w:rFonts w:cstheme="minorHAnsi"/>
                <w:szCs w:val="20"/>
              </w:rPr>
              <w:t>Identify one credible threat.</w:t>
            </w:r>
          </w:p>
          <w:p w14:paraId="26A0A984" w14:textId="77777777" w:rsidR="00A32192" w:rsidRPr="00C462A0" w:rsidRDefault="00A32192" w:rsidP="00D05EE3">
            <w:pPr>
              <w:pStyle w:val="ListParagraph"/>
              <w:numPr>
                <w:ilvl w:val="0"/>
                <w:numId w:val="213"/>
              </w:numPr>
              <w:jc w:val="both"/>
              <w:rPr>
                <w:rFonts w:cstheme="minorHAnsi"/>
                <w:szCs w:val="20"/>
              </w:rPr>
            </w:pPr>
            <w:r w:rsidRPr="00C462A0">
              <w:rPr>
                <w:rFonts w:cstheme="minorHAnsi"/>
                <w:szCs w:val="20"/>
              </w:rPr>
              <w:t>Identify one relevant vulnerability.</w:t>
            </w:r>
          </w:p>
          <w:p w14:paraId="7C93E658" w14:textId="77777777" w:rsidR="00A32192" w:rsidRPr="00C462A0" w:rsidRDefault="00A32192" w:rsidP="00D05EE3">
            <w:pPr>
              <w:jc w:val="both"/>
              <w:rPr>
                <w:rFonts w:cstheme="minorHAnsi"/>
                <w:szCs w:val="20"/>
              </w:rPr>
            </w:pPr>
            <w:r w:rsidRPr="00C462A0">
              <w:rPr>
                <w:rFonts w:cstheme="minorHAnsi"/>
                <w:szCs w:val="20"/>
              </w:rPr>
              <w:t>Briefly describe the potential impact (2–3 sentences).</w:t>
            </w:r>
          </w:p>
          <w:p w14:paraId="50F8C36A" w14:textId="77777777" w:rsidR="00A32192" w:rsidRPr="00C462A0" w:rsidRDefault="00A32192" w:rsidP="00D05EE3">
            <w:pPr>
              <w:jc w:val="both"/>
              <w:rPr>
                <w:rFonts w:cstheme="minorHAnsi"/>
                <w:szCs w:val="20"/>
              </w:rPr>
            </w:pPr>
            <w:r w:rsidRPr="00C462A0">
              <w:rPr>
                <w:rFonts w:cstheme="minorHAnsi"/>
                <w:szCs w:val="20"/>
              </w:rPr>
              <w:t>Conclude by stating whether you consider this a high, medium, or low risk, and justify your reasoning.</w:t>
            </w:r>
          </w:p>
          <w:p w14:paraId="726DA6AD" w14:textId="77777777" w:rsidR="00A32192" w:rsidRPr="00C462A0" w:rsidRDefault="00A32192" w:rsidP="00D05EE3">
            <w:pPr>
              <w:jc w:val="both"/>
              <w:rPr>
                <w:rFonts w:cstheme="minorHAnsi"/>
                <w:szCs w:val="20"/>
              </w:rPr>
            </w:pPr>
          </w:p>
          <w:p w14:paraId="73A02DA3" w14:textId="77777777" w:rsidR="00A32192" w:rsidRPr="00C462A0" w:rsidRDefault="00A32192" w:rsidP="00D05EE3">
            <w:pPr>
              <w:jc w:val="both"/>
              <w:rPr>
                <w:rFonts w:cstheme="minorHAnsi"/>
                <w:b/>
                <w:color w:val="00AC4E" w:themeColor="accent1"/>
                <w:szCs w:val="20"/>
              </w:rPr>
            </w:pPr>
            <w:r w:rsidRPr="00C462A0">
              <w:rPr>
                <w:rFonts w:cstheme="minorHAnsi"/>
                <w:b/>
                <w:color w:val="00AC4E" w:themeColor="accent1"/>
                <w:szCs w:val="20"/>
              </w:rPr>
              <w:t>Additional readings:</w:t>
            </w:r>
          </w:p>
          <w:p w14:paraId="6303AA8B" w14:textId="5363415D" w:rsidR="00A32192" w:rsidRPr="00C462A0" w:rsidRDefault="00A32192" w:rsidP="00D05EE3">
            <w:pPr>
              <w:pStyle w:val="ListParagraph"/>
              <w:numPr>
                <w:ilvl w:val="0"/>
                <w:numId w:val="209"/>
              </w:numPr>
              <w:jc w:val="both"/>
              <w:rPr>
                <w:rFonts w:cstheme="minorHAnsi"/>
                <w:color w:val="00AC4E" w:themeColor="accent1"/>
                <w:szCs w:val="20"/>
              </w:rPr>
            </w:pPr>
            <w:hyperlink r:id="rId41" w:history="1">
              <w:r w:rsidRPr="00C462A0">
                <w:rPr>
                  <w:rStyle w:val="Hyperlink"/>
                  <w:rFonts w:cstheme="minorHAnsi"/>
                  <w:color w:val="00AC4E" w:themeColor="accent1"/>
                  <w:szCs w:val="20"/>
                </w:rPr>
                <w:t>National Institute of Standards and Technology – Risk Management Framework</w:t>
              </w:r>
            </w:hyperlink>
          </w:p>
          <w:p w14:paraId="1EB278BB" w14:textId="48530B71" w:rsidR="00A32192" w:rsidRPr="00C462A0" w:rsidRDefault="00A32192" w:rsidP="00D05EE3">
            <w:pPr>
              <w:pStyle w:val="ListParagraph"/>
              <w:numPr>
                <w:ilvl w:val="0"/>
                <w:numId w:val="208"/>
              </w:numPr>
              <w:jc w:val="both"/>
              <w:rPr>
                <w:rFonts w:cstheme="minorHAnsi"/>
                <w:color w:val="00AC4E" w:themeColor="accent1"/>
                <w:szCs w:val="20"/>
              </w:rPr>
            </w:pPr>
            <w:hyperlink r:id="rId42" w:history="1">
              <w:r w:rsidRPr="00C462A0">
                <w:rPr>
                  <w:rStyle w:val="Hyperlink"/>
                  <w:rFonts w:cstheme="minorHAnsi"/>
                  <w:color w:val="00AC4E" w:themeColor="accent1"/>
                  <w:szCs w:val="20"/>
                </w:rPr>
                <w:t>European Union Agency for Cybersecurity – Risk Management Guidelines</w:t>
              </w:r>
            </w:hyperlink>
            <w:r w:rsidRPr="00C462A0">
              <w:rPr>
                <w:rFonts w:cstheme="minorHAnsi"/>
                <w:color w:val="00AC4E" w:themeColor="accent1"/>
                <w:szCs w:val="20"/>
              </w:rPr>
              <w:t xml:space="preserve">, </w:t>
            </w:r>
            <w:hyperlink r:id="rId43" w:tooltip="https://www.enisa.europa.eu/" w:history="1"/>
            <w:r w:rsidR="00D05EE3" w:rsidRPr="00C462A0">
              <w:rPr>
                <w:rFonts w:cstheme="minorHAnsi"/>
                <w:color w:val="00AC4E" w:themeColor="accent1"/>
                <w:szCs w:val="20"/>
              </w:rPr>
              <w:t xml:space="preserve"> </w:t>
            </w:r>
          </w:p>
          <w:p w14:paraId="3FCE566E" w14:textId="6C142EBD" w:rsidR="00A32192" w:rsidRPr="00C462A0" w:rsidRDefault="00A32192" w:rsidP="00D05EE3">
            <w:pPr>
              <w:pStyle w:val="ListParagraph"/>
              <w:numPr>
                <w:ilvl w:val="0"/>
                <w:numId w:val="208"/>
              </w:numPr>
              <w:jc w:val="both"/>
              <w:rPr>
                <w:rFonts w:cstheme="minorHAnsi"/>
                <w:color w:val="00AC4E" w:themeColor="accent1"/>
                <w:szCs w:val="20"/>
              </w:rPr>
            </w:pPr>
            <w:hyperlink r:id="rId44" w:history="1">
              <w:r w:rsidRPr="00C462A0">
                <w:rPr>
                  <w:rStyle w:val="Hyperlink"/>
                  <w:rFonts w:cstheme="minorHAnsi"/>
                  <w:color w:val="00AC4E" w:themeColor="accent1"/>
                  <w:szCs w:val="20"/>
                </w:rPr>
                <w:t>ENISA Risk Management</w:t>
              </w:r>
            </w:hyperlink>
            <w:r w:rsidR="00D05EE3" w:rsidRPr="00C462A0">
              <w:rPr>
                <w:rFonts w:cstheme="minorHAnsi"/>
                <w:color w:val="00AC4E" w:themeColor="accent1"/>
                <w:szCs w:val="20"/>
              </w:rPr>
              <w:t>.</w:t>
            </w:r>
          </w:p>
          <w:p w14:paraId="69D69226" w14:textId="77777777" w:rsidR="00A32192" w:rsidRPr="00C462A0" w:rsidRDefault="00A32192" w:rsidP="00D05EE3">
            <w:pPr>
              <w:jc w:val="both"/>
              <w:rPr>
                <w:rFonts w:cstheme="minorHAnsi"/>
                <w:szCs w:val="20"/>
              </w:rPr>
            </w:pPr>
          </w:p>
          <w:p w14:paraId="67B1B3FD" w14:textId="77777777" w:rsidR="00A32192" w:rsidRPr="00C462A0" w:rsidRDefault="00A32192" w:rsidP="00D05EE3">
            <w:pPr>
              <w:jc w:val="both"/>
              <w:rPr>
                <w:rFonts w:cstheme="minorHAnsi"/>
                <w:b/>
                <w:color w:val="00AC4E" w:themeColor="accent1"/>
                <w:szCs w:val="20"/>
              </w:rPr>
            </w:pPr>
            <w:r w:rsidRPr="00C462A0">
              <w:rPr>
                <w:rFonts w:cstheme="minorHAnsi"/>
                <w:b/>
                <w:color w:val="00AC4E" w:themeColor="accent1"/>
                <w:szCs w:val="20"/>
              </w:rPr>
              <w:t>Key takeaways:</w:t>
            </w:r>
          </w:p>
          <w:p w14:paraId="2752D83D" w14:textId="77777777" w:rsidR="00A32192" w:rsidRPr="00C462A0" w:rsidRDefault="00A32192" w:rsidP="00D05EE3">
            <w:pPr>
              <w:pStyle w:val="ListParagraph"/>
              <w:numPr>
                <w:ilvl w:val="0"/>
                <w:numId w:val="208"/>
              </w:numPr>
              <w:jc w:val="both"/>
              <w:rPr>
                <w:rFonts w:cstheme="minorHAnsi"/>
                <w:szCs w:val="20"/>
              </w:rPr>
            </w:pPr>
            <w:r w:rsidRPr="00C462A0">
              <w:rPr>
                <w:rFonts w:cstheme="minorHAnsi"/>
                <w:szCs w:val="20"/>
              </w:rPr>
              <w:t>Cyber risk emerges from the interaction between threats, vulnerabilities, and impact.</w:t>
            </w:r>
          </w:p>
          <w:p w14:paraId="303E6225" w14:textId="77777777" w:rsidR="00A32192" w:rsidRPr="00C462A0" w:rsidRDefault="00A32192" w:rsidP="00D05EE3">
            <w:pPr>
              <w:pStyle w:val="ListParagraph"/>
              <w:numPr>
                <w:ilvl w:val="0"/>
                <w:numId w:val="208"/>
              </w:numPr>
              <w:jc w:val="both"/>
              <w:rPr>
                <w:rFonts w:cstheme="minorHAnsi"/>
                <w:szCs w:val="20"/>
              </w:rPr>
            </w:pPr>
            <w:r w:rsidRPr="00C462A0">
              <w:rPr>
                <w:rFonts w:cstheme="minorHAnsi"/>
                <w:szCs w:val="20"/>
              </w:rPr>
              <w:t>Sustainable digital systems introduce complex, high-impact risk scenarios.</w:t>
            </w:r>
          </w:p>
          <w:p w14:paraId="6447F1F1" w14:textId="77777777" w:rsidR="00A32192" w:rsidRPr="00C462A0" w:rsidRDefault="00A32192" w:rsidP="00D05EE3">
            <w:pPr>
              <w:pStyle w:val="ListParagraph"/>
              <w:numPr>
                <w:ilvl w:val="0"/>
                <w:numId w:val="208"/>
              </w:numPr>
              <w:jc w:val="both"/>
              <w:rPr>
                <w:rFonts w:cstheme="minorHAnsi"/>
                <w:szCs w:val="20"/>
              </w:rPr>
            </w:pPr>
            <w:r w:rsidRPr="00C462A0">
              <w:rPr>
                <w:rFonts w:cstheme="minorHAnsi"/>
                <w:szCs w:val="20"/>
              </w:rPr>
              <w:t>Risk assessment enables structured prioritisation of security controls.</w:t>
            </w:r>
          </w:p>
          <w:p w14:paraId="371995D9" w14:textId="77777777" w:rsidR="00A32192" w:rsidRPr="00C462A0" w:rsidRDefault="00A32192" w:rsidP="00D05EE3">
            <w:pPr>
              <w:pStyle w:val="ListParagraph"/>
              <w:numPr>
                <w:ilvl w:val="0"/>
                <w:numId w:val="208"/>
              </w:numPr>
              <w:jc w:val="both"/>
              <w:rPr>
                <w:rFonts w:cstheme="minorHAnsi"/>
                <w:szCs w:val="20"/>
              </w:rPr>
            </w:pPr>
            <w:r w:rsidRPr="00C462A0">
              <w:rPr>
                <w:rFonts w:cstheme="minorHAnsi"/>
                <w:szCs w:val="20"/>
              </w:rPr>
              <w:t>Cybersecurity decisions must align with business, regulatory, and societal objectives.</w:t>
            </w:r>
          </w:p>
          <w:p w14:paraId="6B9683DD" w14:textId="77777777" w:rsidR="00A32192" w:rsidRPr="00C462A0" w:rsidRDefault="00A32192" w:rsidP="00D05EE3">
            <w:pPr>
              <w:pStyle w:val="ListParagraph"/>
              <w:numPr>
                <w:ilvl w:val="0"/>
                <w:numId w:val="208"/>
              </w:numPr>
              <w:jc w:val="both"/>
              <w:rPr>
                <w:rFonts w:cstheme="minorHAnsi"/>
                <w:szCs w:val="20"/>
              </w:rPr>
            </w:pPr>
            <w:r w:rsidRPr="00C462A0">
              <w:rPr>
                <w:rFonts w:cstheme="minorHAnsi"/>
                <w:szCs w:val="20"/>
              </w:rPr>
              <w:t>Risk-based thinking underpins effective cybersecurity governance.</w:t>
            </w:r>
          </w:p>
          <w:p w14:paraId="084DB3EB" w14:textId="77777777" w:rsidR="00A32192" w:rsidRDefault="00A32192" w:rsidP="00D05EE3">
            <w:pPr>
              <w:jc w:val="both"/>
              <w:rPr>
                <w:rFonts w:cstheme="minorHAnsi"/>
                <w:szCs w:val="20"/>
              </w:rPr>
            </w:pPr>
          </w:p>
          <w:p w14:paraId="178EC96B" w14:textId="77777777" w:rsidR="00C462A0" w:rsidRDefault="00C462A0" w:rsidP="00D05EE3">
            <w:pPr>
              <w:jc w:val="both"/>
              <w:rPr>
                <w:rFonts w:cstheme="minorHAnsi"/>
                <w:szCs w:val="20"/>
              </w:rPr>
            </w:pPr>
          </w:p>
          <w:p w14:paraId="1D0C75CD" w14:textId="77777777" w:rsidR="00C462A0" w:rsidRDefault="00C462A0" w:rsidP="00D05EE3">
            <w:pPr>
              <w:jc w:val="both"/>
              <w:rPr>
                <w:rFonts w:cstheme="minorHAnsi"/>
                <w:szCs w:val="20"/>
              </w:rPr>
            </w:pPr>
          </w:p>
          <w:p w14:paraId="3C7CE459" w14:textId="77777777" w:rsidR="00C462A0" w:rsidRPr="00C462A0" w:rsidRDefault="00C462A0" w:rsidP="00D05EE3">
            <w:pPr>
              <w:jc w:val="both"/>
              <w:rPr>
                <w:rFonts w:cstheme="minorHAnsi"/>
                <w:szCs w:val="20"/>
              </w:rPr>
            </w:pPr>
          </w:p>
          <w:p w14:paraId="284FC079" w14:textId="1E5043BE" w:rsidR="00D05EE3" w:rsidRPr="00C462A0" w:rsidRDefault="00A32192" w:rsidP="00D05EE3">
            <w:pPr>
              <w:jc w:val="both"/>
              <w:rPr>
                <w:rFonts w:cstheme="minorHAnsi"/>
                <w:b/>
                <w:color w:val="00AC4E" w:themeColor="accent1"/>
                <w:szCs w:val="20"/>
              </w:rPr>
            </w:pPr>
            <w:r w:rsidRPr="00C462A0">
              <w:rPr>
                <w:rFonts w:cstheme="minorHAnsi"/>
                <w:b/>
                <w:color w:val="00AC4E" w:themeColor="accent1"/>
                <w:szCs w:val="20"/>
              </w:rPr>
              <w:t>Quick Check</w:t>
            </w:r>
          </w:p>
          <w:p w14:paraId="3ECCAE91" w14:textId="18E1C1CF" w:rsidR="00A32192" w:rsidRPr="00C462A0" w:rsidRDefault="00A32192" w:rsidP="00D05EE3">
            <w:pPr>
              <w:pStyle w:val="ListParagraph"/>
              <w:numPr>
                <w:ilvl w:val="0"/>
                <w:numId w:val="222"/>
              </w:numPr>
              <w:jc w:val="both"/>
              <w:rPr>
                <w:rFonts w:cstheme="minorHAnsi"/>
                <w:b/>
                <w:bCs/>
                <w:color w:val="009889" w:themeColor="accent2"/>
                <w:szCs w:val="20"/>
              </w:rPr>
            </w:pPr>
            <w:r w:rsidRPr="00C462A0">
              <w:rPr>
                <w:rFonts w:cstheme="minorHAnsi"/>
                <w:color w:val="009889" w:themeColor="accent2"/>
                <w:szCs w:val="20"/>
              </w:rPr>
              <w:t>True or False:</w:t>
            </w:r>
            <w:r w:rsidR="00D05EE3" w:rsidRPr="00C462A0">
              <w:rPr>
                <w:rFonts w:cstheme="minorHAnsi"/>
                <w:b/>
                <w:bCs/>
                <w:color w:val="009889" w:themeColor="accent2"/>
                <w:szCs w:val="20"/>
              </w:rPr>
              <w:t xml:space="preserve"> </w:t>
            </w:r>
            <w:r w:rsidRPr="00C462A0">
              <w:rPr>
                <w:rFonts w:cstheme="minorHAnsi"/>
                <w:color w:val="009889" w:themeColor="accent2"/>
                <w:szCs w:val="20"/>
              </w:rPr>
              <w:t xml:space="preserve">If a vulnerability exists in a critical energy control system but there is currently no evidence of active exploitation, the cyber risk can automatically be classified as negligible. </w:t>
            </w:r>
          </w:p>
          <w:p w14:paraId="00D53B68" w14:textId="77777777" w:rsidR="00D05EE3" w:rsidRPr="00C462A0" w:rsidRDefault="00D05EE3" w:rsidP="00D05EE3">
            <w:pPr>
              <w:pStyle w:val="ListParagraph"/>
              <w:ind w:left="360"/>
              <w:jc w:val="both"/>
              <w:rPr>
                <w:rFonts w:cstheme="minorHAnsi"/>
                <w:b/>
                <w:bCs/>
                <w:color w:val="009889" w:themeColor="accent2"/>
                <w:szCs w:val="20"/>
              </w:rPr>
            </w:pPr>
          </w:p>
          <w:p w14:paraId="5368F76E" w14:textId="23FA6ABF" w:rsidR="00A32192" w:rsidRPr="00C462A0" w:rsidRDefault="00A32192" w:rsidP="00C462A0">
            <w:pPr>
              <w:pStyle w:val="ListParagraph"/>
              <w:numPr>
                <w:ilvl w:val="0"/>
                <w:numId w:val="222"/>
              </w:numPr>
              <w:jc w:val="both"/>
              <w:rPr>
                <w:rFonts w:cstheme="minorHAnsi"/>
                <w:color w:val="009889" w:themeColor="accent2"/>
                <w:szCs w:val="20"/>
              </w:rPr>
            </w:pPr>
            <w:r w:rsidRPr="00C462A0">
              <w:rPr>
                <w:rFonts w:cstheme="minorHAnsi"/>
                <w:color w:val="009889" w:themeColor="accent2"/>
                <w:szCs w:val="20"/>
              </w:rPr>
              <w:t>An organisation identifies a vulnerability in its cloud-based ESG reporting platform. Exploitation is moderately likely due to internet exposure, and successful compromise could result in regulatory penalties and reputational damage.</w:t>
            </w:r>
            <w:r w:rsidR="00C462A0">
              <w:rPr>
                <w:rFonts w:cstheme="minorHAnsi"/>
                <w:color w:val="009889" w:themeColor="accent2"/>
                <w:szCs w:val="20"/>
              </w:rPr>
              <w:t xml:space="preserve"> </w:t>
            </w:r>
            <w:r w:rsidRPr="00C462A0">
              <w:rPr>
                <w:rFonts w:cstheme="minorHAnsi"/>
                <w:color w:val="009889" w:themeColor="accent2"/>
                <w:szCs w:val="20"/>
              </w:rPr>
              <w:t xml:space="preserve">Which definition of cyber risk best applies in this scenario? </w:t>
            </w:r>
            <w:r w:rsidR="00D05EE3" w:rsidRPr="00C462A0">
              <w:rPr>
                <w:rFonts w:cstheme="minorHAnsi"/>
                <w:color w:val="009889" w:themeColor="accent2"/>
                <w:szCs w:val="20"/>
              </w:rPr>
              <w:t xml:space="preserve"> </w:t>
            </w:r>
          </w:p>
          <w:p w14:paraId="7CE91405" w14:textId="77777777" w:rsidR="00A32192" w:rsidRPr="00C462A0" w:rsidRDefault="00A32192" w:rsidP="00D05EE3">
            <w:pPr>
              <w:pStyle w:val="ListParagraph"/>
              <w:numPr>
                <w:ilvl w:val="0"/>
                <w:numId w:val="223"/>
              </w:numPr>
              <w:jc w:val="both"/>
              <w:rPr>
                <w:rFonts w:cstheme="minorHAnsi"/>
                <w:szCs w:val="20"/>
              </w:rPr>
            </w:pPr>
            <w:r w:rsidRPr="00C462A0">
              <w:rPr>
                <w:rFonts w:cstheme="minorHAnsi"/>
                <w:szCs w:val="20"/>
              </w:rPr>
              <w:t>The number of technical weaknesses identified during a security scan</w:t>
            </w:r>
          </w:p>
          <w:p w14:paraId="14B1F496" w14:textId="77777777" w:rsidR="00A32192" w:rsidRPr="00C462A0" w:rsidRDefault="00A32192" w:rsidP="00D05EE3">
            <w:pPr>
              <w:pStyle w:val="ListParagraph"/>
              <w:numPr>
                <w:ilvl w:val="0"/>
                <w:numId w:val="223"/>
              </w:numPr>
              <w:jc w:val="both"/>
              <w:rPr>
                <w:rFonts w:cstheme="minorHAnsi"/>
                <w:szCs w:val="20"/>
              </w:rPr>
            </w:pPr>
            <w:r w:rsidRPr="00C462A0">
              <w:rPr>
                <w:rFonts w:cstheme="minorHAnsi"/>
                <w:szCs w:val="20"/>
              </w:rPr>
              <w:t>The balance between the likelihood of exploitation and the magnitude of business impact</w:t>
            </w:r>
          </w:p>
          <w:p w14:paraId="0A00E035" w14:textId="77777777" w:rsidR="00A32192" w:rsidRPr="00C462A0" w:rsidRDefault="00A32192" w:rsidP="00D05EE3">
            <w:pPr>
              <w:pStyle w:val="ListParagraph"/>
              <w:numPr>
                <w:ilvl w:val="0"/>
                <w:numId w:val="223"/>
              </w:numPr>
              <w:jc w:val="both"/>
              <w:rPr>
                <w:rFonts w:cstheme="minorHAnsi"/>
                <w:szCs w:val="20"/>
              </w:rPr>
            </w:pPr>
            <w:r w:rsidRPr="00C462A0">
              <w:rPr>
                <w:rFonts w:cstheme="minorHAnsi"/>
                <w:szCs w:val="20"/>
              </w:rPr>
              <w:t>The financial cost required to remediate the vulnerability</w:t>
            </w:r>
          </w:p>
          <w:p w14:paraId="5EA61031" w14:textId="0BFECD56" w:rsidR="00A32192" w:rsidRPr="00C462A0" w:rsidRDefault="00A32192" w:rsidP="00D05EE3">
            <w:pPr>
              <w:pStyle w:val="ListParagraph"/>
              <w:numPr>
                <w:ilvl w:val="0"/>
                <w:numId w:val="223"/>
              </w:numPr>
              <w:jc w:val="both"/>
              <w:rPr>
                <w:rFonts w:cstheme="minorHAnsi"/>
                <w:szCs w:val="20"/>
              </w:rPr>
            </w:pPr>
            <w:r w:rsidRPr="00C462A0">
              <w:rPr>
                <w:rFonts w:cstheme="minorHAnsi"/>
                <w:szCs w:val="20"/>
              </w:rPr>
              <w:t>The presence of malicious software within the system</w:t>
            </w:r>
            <w:r w:rsidR="00D05EE3" w:rsidRPr="00C462A0">
              <w:rPr>
                <w:rFonts w:cstheme="minorHAnsi"/>
                <w:szCs w:val="20"/>
              </w:rPr>
              <w:t>.</w:t>
            </w:r>
          </w:p>
          <w:p w14:paraId="23C817D2" w14:textId="77777777" w:rsidR="00A32192" w:rsidRPr="00C462A0" w:rsidRDefault="00A32192" w:rsidP="00D05EE3">
            <w:pPr>
              <w:jc w:val="both"/>
              <w:rPr>
                <w:rFonts w:cstheme="minorHAnsi"/>
                <w:szCs w:val="20"/>
              </w:rPr>
            </w:pPr>
          </w:p>
          <w:p w14:paraId="4E469BF8" w14:textId="7C4FEC43" w:rsidR="00A32192" w:rsidRPr="00C462A0" w:rsidRDefault="00A32192" w:rsidP="00D05EE3">
            <w:pPr>
              <w:pStyle w:val="ListParagraph"/>
              <w:numPr>
                <w:ilvl w:val="0"/>
                <w:numId w:val="222"/>
              </w:numPr>
              <w:jc w:val="both"/>
              <w:rPr>
                <w:rFonts w:cstheme="minorHAnsi"/>
                <w:color w:val="009889" w:themeColor="accent2"/>
                <w:szCs w:val="20"/>
              </w:rPr>
            </w:pPr>
            <w:r w:rsidRPr="00C462A0">
              <w:rPr>
                <w:rFonts w:cstheme="minorHAnsi"/>
                <w:color w:val="009889" w:themeColor="accent2"/>
                <w:szCs w:val="20"/>
              </w:rPr>
              <w:t xml:space="preserve">Why does cyber risk assessment require particular attention in Energy Management Systems integrated with smart grids and IoT devices? </w:t>
            </w:r>
            <w:r w:rsidR="00D05EE3" w:rsidRPr="00C462A0">
              <w:rPr>
                <w:rFonts w:cstheme="minorHAnsi"/>
                <w:color w:val="009889" w:themeColor="accent2"/>
                <w:szCs w:val="20"/>
              </w:rPr>
              <w:t>v</w:t>
            </w:r>
          </w:p>
          <w:p w14:paraId="05DA5A48" w14:textId="77777777" w:rsidR="00A32192" w:rsidRPr="00C462A0" w:rsidRDefault="00A32192" w:rsidP="00D05EE3">
            <w:pPr>
              <w:pStyle w:val="ListParagraph"/>
              <w:numPr>
                <w:ilvl w:val="0"/>
                <w:numId w:val="224"/>
              </w:numPr>
              <w:jc w:val="both"/>
              <w:rPr>
                <w:rFonts w:cstheme="minorHAnsi"/>
                <w:szCs w:val="20"/>
              </w:rPr>
            </w:pPr>
            <w:r w:rsidRPr="00C462A0">
              <w:rPr>
                <w:rFonts w:cstheme="minorHAnsi"/>
                <w:szCs w:val="20"/>
              </w:rPr>
              <w:t>Because sustainable infrastructures are isolated from public networks</w:t>
            </w:r>
          </w:p>
          <w:p w14:paraId="24C61FD3" w14:textId="77777777" w:rsidR="00A32192" w:rsidRPr="00C462A0" w:rsidRDefault="00A32192" w:rsidP="00D05EE3">
            <w:pPr>
              <w:pStyle w:val="ListParagraph"/>
              <w:numPr>
                <w:ilvl w:val="0"/>
                <w:numId w:val="224"/>
              </w:numPr>
              <w:jc w:val="both"/>
              <w:rPr>
                <w:rFonts w:cstheme="minorHAnsi"/>
                <w:szCs w:val="20"/>
              </w:rPr>
            </w:pPr>
            <w:r w:rsidRPr="00C462A0">
              <w:rPr>
                <w:rFonts w:cstheme="minorHAnsi"/>
                <w:szCs w:val="20"/>
              </w:rPr>
              <w:t>Because technical disruption may cascade into operational, economic, and societal consequences</w:t>
            </w:r>
          </w:p>
          <w:p w14:paraId="5FBFA6CF" w14:textId="77777777" w:rsidR="00A32192" w:rsidRPr="00C462A0" w:rsidRDefault="00A32192" w:rsidP="00D05EE3">
            <w:pPr>
              <w:pStyle w:val="ListParagraph"/>
              <w:numPr>
                <w:ilvl w:val="0"/>
                <w:numId w:val="224"/>
              </w:numPr>
              <w:jc w:val="both"/>
              <w:rPr>
                <w:rFonts w:cstheme="minorHAnsi"/>
                <w:szCs w:val="20"/>
              </w:rPr>
            </w:pPr>
            <w:r w:rsidRPr="00C462A0">
              <w:rPr>
                <w:rFonts w:cstheme="minorHAnsi"/>
                <w:szCs w:val="20"/>
              </w:rPr>
              <w:t>Because ESG data is rarely subject to regulatory scrutiny</w:t>
            </w:r>
          </w:p>
          <w:p w14:paraId="566F4623" w14:textId="49181663" w:rsidR="00A32192" w:rsidRPr="00C462A0" w:rsidRDefault="00A32192" w:rsidP="00D05EE3">
            <w:pPr>
              <w:pStyle w:val="ListParagraph"/>
              <w:numPr>
                <w:ilvl w:val="0"/>
                <w:numId w:val="224"/>
              </w:numPr>
              <w:jc w:val="both"/>
              <w:rPr>
                <w:rFonts w:cstheme="minorHAnsi"/>
                <w:szCs w:val="20"/>
              </w:rPr>
            </w:pPr>
            <w:r w:rsidRPr="00C462A0">
              <w:rPr>
                <w:rFonts w:cstheme="minorHAnsi"/>
                <w:szCs w:val="20"/>
              </w:rPr>
              <w:t>Because renewable energy technologies eliminate cybersecurity concerns</w:t>
            </w:r>
            <w:r w:rsidR="00D05EE3" w:rsidRPr="00C462A0">
              <w:rPr>
                <w:rFonts w:cstheme="minorHAnsi"/>
                <w:szCs w:val="20"/>
              </w:rPr>
              <w:t>.</w:t>
            </w:r>
          </w:p>
          <w:p w14:paraId="3578F630" w14:textId="77777777" w:rsidR="00A32192" w:rsidRPr="00C462A0" w:rsidRDefault="00A32192" w:rsidP="00D05EE3">
            <w:pPr>
              <w:spacing w:line="276" w:lineRule="auto"/>
              <w:jc w:val="both"/>
              <w:rPr>
                <w:rFonts w:cstheme="minorHAnsi"/>
                <w:szCs w:val="20"/>
              </w:rPr>
            </w:pPr>
          </w:p>
          <w:p w14:paraId="1DD76C86" w14:textId="23E76471" w:rsidR="00D05EE3" w:rsidRPr="00C462A0" w:rsidRDefault="00D05EE3" w:rsidP="00D05EE3">
            <w:pPr>
              <w:spacing w:line="276" w:lineRule="auto"/>
              <w:jc w:val="both"/>
              <w:rPr>
                <w:rFonts w:cstheme="minorHAnsi"/>
                <w:i/>
                <w:iCs/>
                <w:szCs w:val="20"/>
              </w:rPr>
            </w:pPr>
            <w:r w:rsidRPr="00C462A0">
              <w:rPr>
                <w:rFonts w:cstheme="minorHAnsi"/>
                <w:i/>
                <w:iCs/>
                <w:szCs w:val="20"/>
              </w:rPr>
              <w:t>Answer key: 1. false; 2. b); 3. b).</w:t>
            </w:r>
          </w:p>
        </w:tc>
      </w:tr>
    </w:tbl>
    <w:p w14:paraId="63AA1E5A" w14:textId="77777777" w:rsidR="00A32192" w:rsidRPr="00C462A0" w:rsidRDefault="00A32192">
      <w:pPr>
        <w:rPr>
          <w:iCs/>
        </w:rPr>
      </w:pPr>
    </w:p>
    <w:p w14:paraId="7352382C" w14:textId="77777777" w:rsidR="0025064F" w:rsidRDefault="0025064F"/>
    <w:p w14:paraId="53585BA5" w14:textId="523DCDC0" w:rsidR="00C462A0" w:rsidRDefault="00C462A0"/>
    <w:p w14:paraId="0E522B80" w14:textId="77777777" w:rsidR="00C462A0" w:rsidRPr="00C462A0" w:rsidRDefault="00C462A0"/>
    <w:tbl>
      <w:tblPr>
        <w:tblStyle w:val="TableGrid"/>
        <w:tblW w:w="0" w:type="auto"/>
        <w:tblLook w:val="04A0" w:firstRow="1" w:lastRow="0" w:firstColumn="1" w:lastColumn="0" w:noHBand="0" w:noVBand="1"/>
      </w:tblPr>
      <w:tblGrid>
        <w:gridCol w:w="9628"/>
      </w:tblGrid>
      <w:tr w:rsidR="00CC7263" w:rsidRPr="00C462A0" w14:paraId="45A1E602" w14:textId="77777777" w:rsidTr="00CC7263">
        <w:tc>
          <w:tcPr>
            <w:tcW w:w="9628" w:type="dxa"/>
            <w:shd w:val="clear" w:color="auto" w:fill="FFFFFF" w:themeFill="background1"/>
          </w:tcPr>
          <w:p w14:paraId="0A825920" w14:textId="672E203E" w:rsidR="00CC7263" w:rsidRPr="00C462A0" w:rsidRDefault="00CC7263" w:rsidP="00980D68">
            <w:pPr>
              <w:pStyle w:val="Heading2"/>
              <w:numPr>
                <w:ilvl w:val="0"/>
                <w:numId w:val="0"/>
              </w:numPr>
              <w:spacing w:line="276" w:lineRule="auto"/>
              <w:rPr>
                <w:rFonts w:cstheme="minorHAnsi"/>
                <w:szCs w:val="20"/>
              </w:rPr>
            </w:pPr>
            <w:bookmarkStart w:id="22" w:name="_Toc227623404"/>
            <w:r w:rsidRPr="00C462A0">
              <w:lastRenderedPageBreak/>
              <w:t>Module 1: Conclusion and Self-Assessment</w:t>
            </w:r>
            <w:bookmarkEnd w:id="22"/>
          </w:p>
        </w:tc>
      </w:tr>
      <w:tr w:rsidR="00531361" w:rsidRPr="00C462A0" w14:paraId="52913B49" w14:textId="77777777" w:rsidTr="006203D4">
        <w:tc>
          <w:tcPr>
            <w:tcW w:w="9628" w:type="dxa"/>
            <w:shd w:val="clear" w:color="auto" w:fill="D9D9D9" w:themeFill="background1" w:themeFillShade="D9"/>
          </w:tcPr>
          <w:p w14:paraId="2AB3E627" w14:textId="17AF4DE3" w:rsidR="00531361" w:rsidRPr="00C462A0" w:rsidRDefault="00CC7263" w:rsidP="00980D68">
            <w:pPr>
              <w:spacing w:line="276" w:lineRule="auto"/>
              <w:rPr>
                <w:rFonts w:cstheme="minorHAnsi"/>
                <w:b/>
                <w:bCs/>
                <w:szCs w:val="20"/>
              </w:rPr>
            </w:pPr>
            <w:r w:rsidRPr="00C462A0">
              <w:rPr>
                <w:rFonts w:cstheme="minorHAnsi"/>
                <w:b/>
                <w:bCs/>
                <w:szCs w:val="20"/>
              </w:rPr>
              <w:t>Module Summary:</w:t>
            </w:r>
          </w:p>
        </w:tc>
      </w:tr>
      <w:tr w:rsidR="00531361" w:rsidRPr="00C462A0" w14:paraId="7A2CD4A8" w14:textId="77777777" w:rsidTr="006203D4">
        <w:tc>
          <w:tcPr>
            <w:tcW w:w="9628" w:type="dxa"/>
          </w:tcPr>
          <w:p w14:paraId="4CBF7D6A" w14:textId="278872EC" w:rsidR="00531361" w:rsidRPr="00C462A0" w:rsidRDefault="00D05EE3" w:rsidP="00D05EE3">
            <w:pPr>
              <w:spacing w:after="160" w:line="276" w:lineRule="auto"/>
              <w:jc w:val="both"/>
              <w:rPr>
                <w:rFonts w:cstheme="minorHAnsi"/>
                <w:bCs/>
                <w:szCs w:val="20"/>
              </w:rPr>
            </w:pPr>
            <w:r w:rsidRPr="00C462A0">
              <w:rPr>
                <w:rFonts w:cstheme="minorHAnsi"/>
                <w:bCs/>
                <w:szCs w:val="20"/>
              </w:rPr>
              <w:t>Module 1 presented cybersecurity as a structured, risk-driven discipline essential to protecting sustainable digital infrastructure. It opened with the CIA Triad, positioning confidentiality, integrity, and availability as the core security objectives for energy systems, IoT deployments, and ESG platforms. Grasping these principles allows professionals to clarify what needs protection before considering how it might be attacked.</w:t>
            </w:r>
          </w:p>
          <w:p w14:paraId="38927D80" w14:textId="77777777" w:rsidR="00D05EE3" w:rsidRPr="00C462A0" w:rsidRDefault="00D05EE3" w:rsidP="00D05EE3">
            <w:pPr>
              <w:pStyle w:val="NoSpacing"/>
              <w:jc w:val="both"/>
              <w:rPr>
                <w:rFonts w:cstheme="minorHAnsi"/>
                <w:bCs/>
                <w:sz w:val="20"/>
                <w:szCs w:val="20"/>
                <w:lang w:val="en-GB"/>
              </w:rPr>
            </w:pPr>
            <w:r w:rsidRPr="00C462A0">
              <w:rPr>
                <w:rFonts w:cstheme="minorHAnsi"/>
                <w:bCs/>
                <w:sz w:val="20"/>
                <w:szCs w:val="20"/>
                <w:lang w:val="en-GB"/>
              </w:rPr>
              <w:t>The module then explored the modern threat landscape, highlighting the evolving capabilities of threat actors and the increased exposure resulting from digital transformation, cloud adoption, and distributed sensor networks. Focus was placed on sustainable infrastructures, where operational disruption or data manipulation can lead to financial, regulatory, and societal consequences.</w:t>
            </w:r>
          </w:p>
          <w:p w14:paraId="66E56293" w14:textId="77777777" w:rsidR="00D05EE3" w:rsidRPr="00C462A0" w:rsidRDefault="00D05EE3" w:rsidP="00D05EE3">
            <w:pPr>
              <w:pStyle w:val="NoSpacing"/>
              <w:jc w:val="both"/>
              <w:rPr>
                <w:rFonts w:cstheme="minorHAnsi"/>
                <w:bCs/>
                <w:sz w:val="20"/>
                <w:szCs w:val="20"/>
                <w:lang w:val="en-GB"/>
              </w:rPr>
            </w:pPr>
            <w:r w:rsidRPr="00C462A0">
              <w:rPr>
                <w:rFonts w:cstheme="minorHAnsi"/>
                <w:bCs/>
                <w:sz w:val="20"/>
                <w:szCs w:val="20"/>
                <w:lang w:val="en-GB"/>
              </w:rPr>
              <w:t>In Topic 1.3, attention turned to modern attacker tactics and techniques (TTPs), highlighting structured adversary behaviour and frameworks such as the ATT&amp;CK model. Learners examined how attacks unfold through identifiable stages and how defensive strategies can be aligned accordingly.</w:t>
            </w:r>
          </w:p>
          <w:p w14:paraId="0903A1C2" w14:textId="77777777" w:rsidR="00D05EE3" w:rsidRPr="00C462A0" w:rsidRDefault="00D05EE3" w:rsidP="00D05EE3">
            <w:pPr>
              <w:pStyle w:val="NoSpacing"/>
              <w:jc w:val="both"/>
              <w:rPr>
                <w:rFonts w:cstheme="minorHAnsi"/>
                <w:bCs/>
                <w:sz w:val="20"/>
                <w:szCs w:val="20"/>
                <w:lang w:val="en-GB"/>
              </w:rPr>
            </w:pPr>
            <w:r w:rsidRPr="00C462A0">
              <w:rPr>
                <w:rFonts w:cstheme="minorHAnsi"/>
                <w:bCs/>
                <w:sz w:val="20"/>
                <w:szCs w:val="20"/>
                <w:lang w:val="en-GB"/>
              </w:rPr>
              <w:t>Finally, Topic 1.4 introduced cyber risk as the unifying concept that links threats, vulnerabilities, and impacts. Cybersecurity decisions need to be prioritised based on risk, ensuring that protection efforts remain aligned with business objectives, regulatory requirements, and sustainability goals.</w:t>
            </w:r>
          </w:p>
          <w:p w14:paraId="6B6148B8" w14:textId="77777777" w:rsidR="00D05EE3" w:rsidRPr="00C462A0" w:rsidRDefault="00D05EE3" w:rsidP="00D05EE3">
            <w:pPr>
              <w:pStyle w:val="NoSpacing"/>
              <w:jc w:val="both"/>
              <w:rPr>
                <w:rFonts w:cstheme="minorHAnsi"/>
                <w:bCs/>
                <w:sz w:val="20"/>
                <w:szCs w:val="20"/>
                <w:lang w:val="en-GB"/>
              </w:rPr>
            </w:pPr>
            <w:r w:rsidRPr="00C462A0">
              <w:rPr>
                <w:rFonts w:cstheme="minorHAnsi"/>
                <w:bCs/>
                <w:sz w:val="20"/>
                <w:szCs w:val="20"/>
                <w:lang w:val="en-GB"/>
              </w:rPr>
              <w:t>Taken together, these components provide the analytical foundation necessary for asset identification, threat modelling, and risk assessment within the Capstone Project.</w:t>
            </w:r>
          </w:p>
          <w:p w14:paraId="0E2FB25C" w14:textId="77777777" w:rsidR="00D05EE3" w:rsidRPr="00C462A0" w:rsidRDefault="00D05EE3" w:rsidP="00D05EE3">
            <w:pPr>
              <w:pStyle w:val="NoSpacing"/>
              <w:jc w:val="both"/>
              <w:rPr>
                <w:rFonts w:cstheme="minorHAnsi"/>
                <w:sz w:val="20"/>
                <w:szCs w:val="20"/>
                <w:lang w:val="en-GB"/>
              </w:rPr>
            </w:pPr>
          </w:p>
          <w:p w14:paraId="56DA1C1B" w14:textId="77777777" w:rsidR="00D05EE3" w:rsidRPr="00C462A0" w:rsidRDefault="00D05EE3" w:rsidP="00D05EE3">
            <w:pPr>
              <w:pStyle w:val="NoSpacing"/>
              <w:jc w:val="both"/>
              <w:rPr>
                <w:rFonts w:cstheme="minorHAnsi"/>
                <w:b/>
                <w:bCs/>
                <w:color w:val="00AC4D"/>
                <w:sz w:val="20"/>
                <w:szCs w:val="20"/>
                <w:lang w:val="en-GB"/>
              </w:rPr>
            </w:pPr>
            <w:r w:rsidRPr="00C462A0">
              <w:rPr>
                <w:rFonts w:cstheme="minorHAnsi"/>
                <w:b/>
                <w:bCs/>
                <w:color w:val="00AC4D"/>
                <w:sz w:val="20"/>
                <w:szCs w:val="20"/>
                <w:lang w:val="en-GB"/>
              </w:rPr>
              <w:t>Module Knowledge Quiz</w:t>
            </w:r>
          </w:p>
          <w:p w14:paraId="11D35535" w14:textId="7F8DBC78" w:rsidR="00D05EE3" w:rsidRPr="00C462A0" w:rsidRDefault="00D05EE3" w:rsidP="00D05EE3">
            <w:pPr>
              <w:pStyle w:val="NoSpacing"/>
              <w:numPr>
                <w:ilvl w:val="0"/>
                <w:numId w:val="225"/>
              </w:numPr>
              <w:jc w:val="both"/>
              <w:rPr>
                <w:rFonts w:cstheme="minorHAnsi"/>
                <w:color w:val="009889" w:themeColor="accent2"/>
                <w:sz w:val="20"/>
                <w:szCs w:val="20"/>
                <w:lang w:val="en-GB"/>
              </w:rPr>
            </w:pPr>
            <w:r w:rsidRPr="00C462A0">
              <w:rPr>
                <w:rFonts w:cstheme="minorHAnsi"/>
                <w:color w:val="009889" w:themeColor="accent2"/>
                <w:sz w:val="20"/>
                <w:szCs w:val="20"/>
                <w:lang w:val="en-GB"/>
              </w:rPr>
              <w:t xml:space="preserve">Which of the following scenarios represents a violation of integrity rather than confidentiality? </w:t>
            </w:r>
          </w:p>
          <w:p w14:paraId="737890E4" w14:textId="77777777" w:rsidR="00D05EE3" w:rsidRPr="00C462A0" w:rsidRDefault="00D05EE3" w:rsidP="00935A42">
            <w:pPr>
              <w:pStyle w:val="NoSpacing"/>
              <w:numPr>
                <w:ilvl w:val="0"/>
                <w:numId w:val="236"/>
              </w:numPr>
              <w:jc w:val="both"/>
              <w:rPr>
                <w:rFonts w:cstheme="minorHAnsi"/>
                <w:sz w:val="20"/>
                <w:szCs w:val="20"/>
                <w:lang w:val="en-GB"/>
              </w:rPr>
            </w:pPr>
            <w:r w:rsidRPr="00C462A0">
              <w:rPr>
                <w:rFonts w:cstheme="minorHAnsi"/>
                <w:sz w:val="20"/>
                <w:szCs w:val="20"/>
                <w:lang w:val="en-GB"/>
              </w:rPr>
              <w:t>An attacker steals employee passwords</w:t>
            </w:r>
          </w:p>
          <w:p w14:paraId="735B7555" w14:textId="77777777" w:rsidR="00D05EE3" w:rsidRPr="00C462A0" w:rsidRDefault="00D05EE3" w:rsidP="00935A42">
            <w:pPr>
              <w:pStyle w:val="NoSpacing"/>
              <w:numPr>
                <w:ilvl w:val="0"/>
                <w:numId w:val="236"/>
              </w:numPr>
              <w:jc w:val="both"/>
              <w:rPr>
                <w:rFonts w:cstheme="minorHAnsi"/>
                <w:sz w:val="20"/>
                <w:szCs w:val="20"/>
                <w:lang w:val="en-GB"/>
              </w:rPr>
            </w:pPr>
            <w:r w:rsidRPr="00C462A0">
              <w:rPr>
                <w:rFonts w:cstheme="minorHAnsi"/>
                <w:sz w:val="20"/>
                <w:szCs w:val="20"/>
                <w:lang w:val="en-GB"/>
              </w:rPr>
              <w:t>Sensor data is altered before being included in an ESG report</w:t>
            </w:r>
          </w:p>
          <w:p w14:paraId="16B13D7C" w14:textId="77777777" w:rsidR="00D05EE3" w:rsidRPr="00C462A0" w:rsidRDefault="00D05EE3" w:rsidP="00935A42">
            <w:pPr>
              <w:pStyle w:val="NoSpacing"/>
              <w:numPr>
                <w:ilvl w:val="0"/>
                <w:numId w:val="236"/>
              </w:numPr>
              <w:jc w:val="both"/>
              <w:rPr>
                <w:rFonts w:cstheme="minorHAnsi"/>
                <w:sz w:val="20"/>
                <w:szCs w:val="20"/>
                <w:lang w:val="en-GB"/>
              </w:rPr>
            </w:pPr>
            <w:r w:rsidRPr="00C462A0">
              <w:rPr>
                <w:rFonts w:cstheme="minorHAnsi"/>
                <w:sz w:val="20"/>
                <w:szCs w:val="20"/>
                <w:lang w:val="en-GB"/>
              </w:rPr>
              <w:t>A denial-of-service attack blocks access to a smart grid dashboard</w:t>
            </w:r>
          </w:p>
          <w:p w14:paraId="28907E69" w14:textId="77777777" w:rsidR="00D05EE3" w:rsidRPr="00C462A0" w:rsidRDefault="00D05EE3" w:rsidP="00935A42">
            <w:pPr>
              <w:pStyle w:val="NoSpacing"/>
              <w:numPr>
                <w:ilvl w:val="0"/>
                <w:numId w:val="236"/>
              </w:numPr>
              <w:jc w:val="both"/>
              <w:rPr>
                <w:rFonts w:cstheme="minorHAnsi"/>
                <w:sz w:val="20"/>
                <w:szCs w:val="20"/>
                <w:lang w:val="en-GB"/>
              </w:rPr>
            </w:pPr>
            <w:r w:rsidRPr="00C462A0">
              <w:rPr>
                <w:rFonts w:cstheme="minorHAnsi"/>
                <w:sz w:val="20"/>
                <w:szCs w:val="20"/>
                <w:lang w:val="en-GB"/>
              </w:rPr>
              <w:t>A firewall blocks incoming malicious traffic</w:t>
            </w:r>
          </w:p>
          <w:p w14:paraId="3B56C248" w14:textId="2CD6092E" w:rsidR="00D05EE3" w:rsidRPr="00C462A0" w:rsidRDefault="00D05EE3" w:rsidP="00D05EE3">
            <w:pPr>
              <w:pStyle w:val="NoSpacing"/>
              <w:numPr>
                <w:ilvl w:val="0"/>
                <w:numId w:val="225"/>
              </w:numPr>
              <w:jc w:val="both"/>
              <w:rPr>
                <w:rFonts w:cstheme="minorHAnsi"/>
                <w:color w:val="009889" w:themeColor="accent2"/>
                <w:sz w:val="20"/>
                <w:szCs w:val="20"/>
                <w:lang w:val="en-GB"/>
              </w:rPr>
            </w:pPr>
            <w:r w:rsidRPr="00C462A0">
              <w:rPr>
                <w:rFonts w:cstheme="minorHAnsi"/>
                <w:color w:val="009889" w:themeColor="accent2"/>
                <w:sz w:val="20"/>
                <w:szCs w:val="20"/>
                <w:lang w:val="en-GB"/>
              </w:rPr>
              <w:t xml:space="preserve">Which factor most significantly increases the attack surface in sustainable digital infrastructures? </w:t>
            </w:r>
          </w:p>
          <w:p w14:paraId="0A680619" w14:textId="77777777" w:rsidR="00D05EE3" w:rsidRPr="00C462A0" w:rsidRDefault="00D05EE3" w:rsidP="00935A42">
            <w:pPr>
              <w:pStyle w:val="NoSpacing"/>
              <w:numPr>
                <w:ilvl w:val="0"/>
                <w:numId w:val="237"/>
              </w:numPr>
              <w:ind w:left="720"/>
              <w:jc w:val="both"/>
              <w:rPr>
                <w:rFonts w:cstheme="minorHAnsi"/>
                <w:sz w:val="20"/>
                <w:szCs w:val="20"/>
                <w:lang w:val="en-GB"/>
              </w:rPr>
            </w:pPr>
            <w:r w:rsidRPr="00C462A0">
              <w:rPr>
                <w:rFonts w:cstheme="minorHAnsi"/>
                <w:sz w:val="20"/>
                <w:szCs w:val="20"/>
                <w:lang w:val="en-GB"/>
              </w:rPr>
              <w:t>Use of printed sustainability reports</w:t>
            </w:r>
          </w:p>
          <w:p w14:paraId="53BE9A90" w14:textId="77777777" w:rsidR="00D05EE3" w:rsidRPr="00C462A0" w:rsidRDefault="00D05EE3" w:rsidP="00935A42">
            <w:pPr>
              <w:pStyle w:val="NoSpacing"/>
              <w:numPr>
                <w:ilvl w:val="0"/>
                <w:numId w:val="237"/>
              </w:numPr>
              <w:ind w:left="720"/>
              <w:jc w:val="both"/>
              <w:rPr>
                <w:rFonts w:cstheme="minorHAnsi"/>
                <w:sz w:val="20"/>
                <w:szCs w:val="20"/>
                <w:lang w:val="en-GB"/>
              </w:rPr>
            </w:pPr>
            <w:r w:rsidRPr="00C462A0">
              <w:rPr>
                <w:rFonts w:cstheme="minorHAnsi"/>
                <w:sz w:val="20"/>
                <w:szCs w:val="20"/>
                <w:lang w:val="en-GB"/>
              </w:rPr>
              <w:t>Isolation from external networks</w:t>
            </w:r>
          </w:p>
          <w:p w14:paraId="523C69F7" w14:textId="77777777" w:rsidR="00D05EE3" w:rsidRPr="00C462A0" w:rsidRDefault="00D05EE3" w:rsidP="00935A42">
            <w:pPr>
              <w:pStyle w:val="NoSpacing"/>
              <w:numPr>
                <w:ilvl w:val="0"/>
                <w:numId w:val="237"/>
              </w:numPr>
              <w:ind w:left="720"/>
              <w:jc w:val="both"/>
              <w:rPr>
                <w:rFonts w:cstheme="minorHAnsi"/>
                <w:sz w:val="20"/>
                <w:szCs w:val="20"/>
                <w:lang w:val="en-GB"/>
              </w:rPr>
            </w:pPr>
            <w:r w:rsidRPr="00C462A0">
              <w:rPr>
                <w:rFonts w:cstheme="minorHAnsi"/>
                <w:sz w:val="20"/>
                <w:szCs w:val="20"/>
                <w:lang w:val="en-GB"/>
              </w:rPr>
              <w:t>Integration of IoT devices with cloud-based platforms</w:t>
            </w:r>
          </w:p>
          <w:p w14:paraId="72BA18E5" w14:textId="60D9EAE8" w:rsidR="00D05EE3" w:rsidRPr="00C462A0" w:rsidRDefault="00D05EE3" w:rsidP="00935A42">
            <w:pPr>
              <w:pStyle w:val="NoSpacing"/>
              <w:numPr>
                <w:ilvl w:val="0"/>
                <w:numId w:val="237"/>
              </w:numPr>
              <w:ind w:left="720"/>
              <w:jc w:val="both"/>
              <w:rPr>
                <w:rFonts w:cstheme="minorHAnsi"/>
                <w:sz w:val="20"/>
                <w:szCs w:val="20"/>
                <w:lang w:val="en-GB"/>
              </w:rPr>
            </w:pPr>
            <w:r w:rsidRPr="00C462A0">
              <w:rPr>
                <w:rFonts w:cstheme="minorHAnsi"/>
                <w:sz w:val="20"/>
                <w:szCs w:val="20"/>
                <w:lang w:val="en-GB"/>
              </w:rPr>
              <w:t>Manual record-keeping systems</w:t>
            </w:r>
            <w:r w:rsidR="00935A42" w:rsidRPr="00C462A0">
              <w:rPr>
                <w:rFonts w:cstheme="minorHAnsi"/>
                <w:sz w:val="20"/>
                <w:szCs w:val="20"/>
                <w:lang w:val="en-GB"/>
              </w:rPr>
              <w:t>.</w:t>
            </w:r>
          </w:p>
          <w:p w14:paraId="0833EA24" w14:textId="77777777" w:rsidR="00935A42" w:rsidRPr="00C462A0" w:rsidRDefault="00935A42" w:rsidP="00935A42">
            <w:pPr>
              <w:pStyle w:val="NoSpacing"/>
              <w:ind w:left="720"/>
              <w:jc w:val="both"/>
              <w:rPr>
                <w:rFonts w:cstheme="minorHAnsi"/>
                <w:sz w:val="20"/>
                <w:szCs w:val="20"/>
                <w:lang w:val="en-GB"/>
              </w:rPr>
            </w:pPr>
          </w:p>
          <w:p w14:paraId="60AB9EEC" w14:textId="5A052EEF" w:rsidR="00D05EE3" w:rsidRPr="00C462A0" w:rsidRDefault="00D05EE3" w:rsidP="00D05EE3">
            <w:pPr>
              <w:pStyle w:val="NoSpacing"/>
              <w:numPr>
                <w:ilvl w:val="0"/>
                <w:numId w:val="225"/>
              </w:numPr>
              <w:jc w:val="both"/>
              <w:rPr>
                <w:rFonts w:cstheme="minorHAnsi"/>
                <w:color w:val="009889" w:themeColor="accent2"/>
                <w:sz w:val="20"/>
                <w:szCs w:val="20"/>
                <w:lang w:val="en-GB"/>
              </w:rPr>
            </w:pPr>
            <w:r w:rsidRPr="00C462A0">
              <w:rPr>
                <w:rFonts w:cstheme="minorHAnsi"/>
                <w:color w:val="009889" w:themeColor="accent2"/>
                <w:sz w:val="20"/>
                <w:szCs w:val="20"/>
                <w:lang w:val="en-GB"/>
              </w:rPr>
              <w:t xml:space="preserve">Which of the following best illustrates lateral movement? </w:t>
            </w:r>
          </w:p>
          <w:p w14:paraId="32FCB4E1" w14:textId="77777777" w:rsidR="00D05EE3" w:rsidRPr="00C462A0" w:rsidRDefault="00D05EE3" w:rsidP="00935A42">
            <w:pPr>
              <w:pStyle w:val="NoSpacing"/>
              <w:numPr>
                <w:ilvl w:val="0"/>
                <w:numId w:val="238"/>
              </w:numPr>
              <w:jc w:val="both"/>
              <w:rPr>
                <w:rFonts w:cstheme="minorHAnsi"/>
                <w:sz w:val="20"/>
                <w:szCs w:val="20"/>
                <w:lang w:val="en-GB"/>
              </w:rPr>
            </w:pPr>
            <w:r w:rsidRPr="00C462A0">
              <w:rPr>
                <w:rFonts w:cstheme="minorHAnsi"/>
                <w:sz w:val="20"/>
                <w:szCs w:val="20"/>
                <w:lang w:val="en-GB"/>
              </w:rPr>
              <w:t>Sending phishing emails to gain first access</w:t>
            </w:r>
          </w:p>
          <w:p w14:paraId="23B3D9DB" w14:textId="77777777" w:rsidR="00D05EE3" w:rsidRPr="00C462A0" w:rsidRDefault="00D05EE3" w:rsidP="00935A42">
            <w:pPr>
              <w:pStyle w:val="NoSpacing"/>
              <w:numPr>
                <w:ilvl w:val="0"/>
                <w:numId w:val="238"/>
              </w:numPr>
              <w:jc w:val="both"/>
              <w:rPr>
                <w:rFonts w:cstheme="minorHAnsi"/>
                <w:sz w:val="20"/>
                <w:szCs w:val="20"/>
                <w:lang w:val="en-GB"/>
              </w:rPr>
            </w:pPr>
            <w:r w:rsidRPr="00C462A0">
              <w:rPr>
                <w:rFonts w:cstheme="minorHAnsi"/>
                <w:sz w:val="20"/>
                <w:szCs w:val="20"/>
                <w:lang w:val="en-GB"/>
              </w:rPr>
              <w:t>Encrypting files to demand ransom</w:t>
            </w:r>
          </w:p>
          <w:p w14:paraId="45B9704A" w14:textId="77777777" w:rsidR="00D05EE3" w:rsidRPr="00C462A0" w:rsidRDefault="00D05EE3" w:rsidP="00935A42">
            <w:pPr>
              <w:pStyle w:val="NoSpacing"/>
              <w:numPr>
                <w:ilvl w:val="0"/>
                <w:numId w:val="238"/>
              </w:numPr>
              <w:jc w:val="both"/>
              <w:rPr>
                <w:rFonts w:cstheme="minorHAnsi"/>
                <w:sz w:val="20"/>
                <w:szCs w:val="20"/>
                <w:lang w:val="en-GB"/>
              </w:rPr>
            </w:pPr>
            <w:r w:rsidRPr="00C462A0">
              <w:rPr>
                <w:rFonts w:cstheme="minorHAnsi"/>
                <w:sz w:val="20"/>
                <w:szCs w:val="20"/>
                <w:lang w:val="en-GB"/>
              </w:rPr>
              <w:t>Moving from a compromised user workstation to a production server</w:t>
            </w:r>
          </w:p>
          <w:p w14:paraId="76159687" w14:textId="76922D1F" w:rsidR="00D05EE3" w:rsidRPr="00C462A0" w:rsidRDefault="00D05EE3" w:rsidP="00935A42">
            <w:pPr>
              <w:pStyle w:val="NoSpacing"/>
              <w:numPr>
                <w:ilvl w:val="0"/>
                <w:numId w:val="238"/>
              </w:numPr>
              <w:jc w:val="both"/>
              <w:rPr>
                <w:rFonts w:cstheme="minorHAnsi"/>
                <w:sz w:val="20"/>
                <w:szCs w:val="20"/>
                <w:lang w:val="en-GB"/>
              </w:rPr>
            </w:pPr>
            <w:r w:rsidRPr="00C462A0">
              <w:rPr>
                <w:rFonts w:cstheme="minorHAnsi"/>
                <w:sz w:val="20"/>
                <w:szCs w:val="20"/>
                <w:lang w:val="en-GB"/>
              </w:rPr>
              <w:t>Scanning a public website for vulnerabilities</w:t>
            </w:r>
            <w:r w:rsidR="00935A42" w:rsidRPr="00C462A0">
              <w:rPr>
                <w:rFonts w:cstheme="minorHAnsi"/>
                <w:sz w:val="20"/>
                <w:szCs w:val="20"/>
                <w:lang w:val="en-GB"/>
              </w:rPr>
              <w:t>.</w:t>
            </w:r>
          </w:p>
          <w:p w14:paraId="6B851BE6" w14:textId="77777777" w:rsidR="00935A42" w:rsidRPr="00C462A0" w:rsidRDefault="00935A42" w:rsidP="00935A42">
            <w:pPr>
              <w:pStyle w:val="NoSpacing"/>
              <w:ind w:left="720"/>
              <w:jc w:val="both"/>
              <w:rPr>
                <w:rFonts w:cstheme="minorHAnsi"/>
                <w:sz w:val="20"/>
                <w:szCs w:val="20"/>
                <w:lang w:val="en-GB"/>
              </w:rPr>
            </w:pPr>
          </w:p>
          <w:p w14:paraId="6E200B60" w14:textId="19F6085E" w:rsidR="00D05EE3" w:rsidRPr="00C462A0" w:rsidRDefault="00D05EE3" w:rsidP="00D05EE3">
            <w:pPr>
              <w:pStyle w:val="NoSpacing"/>
              <w:numPr>
                <w:ilvl w:val="0"/>
                <w:numId w:val="225"/>
              </w:numPr>
              <w:jc w:val="both"/>
              <w:rPr>
                <w:rFonts w:cstheme="minorHAnsi"/>
                <w:color w:val="009889" w:themeColor="accent2"/>
                <w:sz w:val="20"/>
                <w:szCs w:val="20"/>
                <w:lang w:val="en-GB"/>
              </w:rPr>
            </w:pPr>
            <w:r w:rsidRPr="00C462A0">
              <w:rPr>
                <w:rFonts w:cstheme="minorHAnsi"/>
                <w:b/>
                <w:bCs/>
                <w:color w:val="009889" w:themeColor="accent2"/>
                <w:sz w:val="20"/>
                <w:szCs w:val="20"/>
                <w:lang w:val="en-GB"/>
              </w:rPr>
              <w:lastRenderedPageBreak/>
              <w:t xml:space="preserve">True or False: </w:t>
            </w:r>
            <w:r w:rsidRPr="00C462A0">
              <w:rPr>
                <w:rFonts w:cstheme="minorHAnsi"/>
                <w:color w:val="009889" w:themeColor="accent2"/>
                <w:sz w:val="20"/>
                <w:szCs w:val="20"/>
                <w:lang w:val="en-GB"/>
              </w:rPr>
              <w:t xml:space="preserve">Risk prioritisation ensures that organisations allocate cybersecurity resources to the most impactful threats first. </w:t>
            </w:r>
          </w:p>
          <w:p w14:paraId="5E615E7B" w14:textId="77777777" w:rsidR="00D05EE3" w:rsidRPr="00C462A0" w:rsidRDefault="00D05EE3" w:rsidP="00D05EE3">
            <w:pPr>
              <w:pStyle w:val="NoSpacing"/>
              <w:jc w:val="both"/>
              <w:rPr>
                <w:rFonts w:cstheme="minorHAnsi"/>
                <w:sz w:val="20"/>
                <w:szCs w:val="20"/>
                <w:lang w:val="en-GB"/>
              </w:rPr>
            </w:pPr>
          </w:p>
          <w:p w14:paraId="396E57B2" w14:textId="0782DE93" w:rsidR="00D05EE3" w:rsidRPr="00C462A0" w:rsidRDefault="00D05EE3" w:rsidP="00D05EE3">
            <w:pPr>
              <w:pStyle w:val="NoSpacing"/>
              <w:numPr>
                <w:ilvl w:val="0"/>
                <w:numId w:val="225"/>
              </w:numPr>
              <w:jc w:val="both"/>
              <w:rPr>
                <w:rFonts w:cstheme="minorHAnsi"/>
                <w:color w:val="009889" w:themeColor="accent2"/>
                <w:sz w:val="20"/>
                <w:szCs w:val="20"/>
                <w:lang w:val="en-GB"/>
              </w:rPr>
            </w:pPr>
            <w:r w:rsidRPr="00C462A0">
              <w:rPr>
                <w:rFonts w:cstheme="minorHAnsi"/>
                <w:color w:val="009889" w:themeColor="accent2"/>
                <w:sz w:val="20"/>
                <w:szCs w:val="20"/>
                <w:lang w:val="en-GB"/>
              </w:rPr>
              <w:t xml:space="preserve">An organisation identifies a vulnerability in a non-critical internal system with minimal business impact. The likelihood of exploitation is low. How would this risk most likely be classified? </w:t>
            </w:r>
          </w:p>
          <w:p w14:paraId="59272626" w14:textId="77777777" w:rsidR="00D05EE3" w:rsidRPr="00C462A0" w:rsidRDefault="00D05EE3" w:rsidP="00935A42">
            <w:pPr>
              <w:pStyle w:val="NoSpacing"/>
              <w:numPr>
                <w:ilvl w:val="0"/>
                <w:numId w:val="239"/>
              </w:numPr>
              <w:jc w:val="both"/>
              <w:rPr>
                <w:rFonts w:cstheme="minorHAnsi"/>
                <w:sz w:val="20"/>
                <w:szCs w:val="20"/>
                <w:lang w:val="en-GB"/>
              </w:rPr>
            </w:pPr>
            <w:r w:rsidRPr="00C462A0">
              <w:rPr>
                <w:rFonts w:cstheme="minorHAnsi"/>
                <w:sz w:val="20"/>
                <w:szCs w:val="20"/>
                <w:lang w:val="en-GB"/>
              </w:rPr>
              <w:t>Critical</w:t>
            </w:r>
          </w:p>
          <w:p w14:paraId="4DEF5B84" w14:textId="77777777" w:rsidR="00D05EE3" w:rsidRPr="00C462A0" w:rsidRDefault="00D05EE3" w:rsidP="00935A42">
            <w:pPr>
              <w:pStyle w:val="NoSpacing"/>
              <w:numPr>
                <w:ilvl w:val="0"/>
                <w:numId w:val="239"/>
              </w:numPr>
              <w:jc w:val="both"/>
              <w:rPr>
                <w:rFonts w:cstheme="minorHAnsi"/>
                <w:sz w:val="20"/>
                <w:szCs w:val="20"/>
                <w:lang w:val="en-GB"/>
              </w:rPr>
            </w:pPr>
            <w:r w:rsidRPr="00C462A0">
              <w:rPr>
                <w:rFonts w:cstheme="minorHAnsi"/>
                <w:sz w:val="20"/>
                <w:szCs w:val="20"/>
                <w:lang w:val="en-GB"/>
              </w:rPr>
              <w:t>High</w:t>
            </w:r>
          </w:p>
          <w:p w14:paraId="7296BD61" w14:textId="77777777" w:rsidR="00D05EE3" w:rsidRPr="00C462A0" w:rsidRDefault="00D05EE3" w:rsidP="00935A42">
            <w:pPr>
              <w:pStyle w:val="NoSpacing"/>
              <w:numPr>
                <w:ilvl w:val="0"/>
                <w:numId w:val="239"/>
              </w:numPr>
              <w:jc w:val="both"/>
              <w:rPr>
                <w:rFonts w:cstheme="minorHAnsi"/>
                <w:sz w:val="20"/>
                <w:szCs w:val="20"/>
                <w:lang w:val="en-GB"/>
              </w:rPr>
            </w:pPr>
            <w:r w:rsidRPr="00C462A0">
              <w:rPr>
                <w:rFonts w:cstheme="minorHAnsi"/>
                <w:sz w:val="20"/>
                <w:szCs w:val="20"/>
                <w:lang w:val="en-GB"/>
              </w:rPr>
              <w:t>Medium</w:t>
            </w:r>
          </w:p>
          <w:p w14:paraId="1BEC17B2" w14:textId="2CC0ABF9" w:rsidR="00D05EE3" w:rsidRPr="00C462A0" w:rsidRDefault="00D05EE3" w:rsidP="00935A42">
            <w:pPr>
              <w:pStyle w:val="NoSpacing"/>
              <w:numPr>
                <w:ilvl w:val="0"/>
                <w:numId w:val="239"/>
              </w:numPr>
              <w:jc w:val="both"/>
              <w:rPr>
                <w:rFonts w:cstheme="minorHAnsi"/>
                <w:sz w:val="20"/>
                <w:szCs w:val="20"/>
                <w:lang w:val="en-GB"/>
              </w:rPr>
            </w:pPr>
            <w:r w:rsidRPr="00C462A0">
              <w:rPr>
                <w:rFonts w:cstheme="minorHAnsi"/>
                <w:sz w:val="20"/>
                <w:szCs w:val="20"/>
                <w:lang w:val="en-GB"/>
              </w:rPr>
              <w:t>Low</w:t>
            </w:r>
            <w:r w:rsidR="00935A42" w:rsidRPr="00C462A0">
              <w:rPr>
                <w:rFonts w:cstheme="minorHAnsi"/>
                <w:sz w:val="20"/>
                <w:szCs w:val="20"/>
                <w:lang w:val="en-GB"/>
              </w:rPr>
              <w:t>.</w:t>
            </w:r>
          </w:p>
          <w:p w14:paraId="1D054BF6" w14:textId="77777777" w:rsidR="00935A42" w:rsidRPr="00C462A0" w:rsidRDefault="00935A42" w:rsidP="00935A42">
            <w:pPr>
              <w:pStyle w:val="NoSpacing"/>
              <w:ind w:left="720"/>
              <w:jc w:val="both"/>
              <w:rPr>
                <w:rFonts w:cstheme="minorHAnsi"/>
                <w:sz w:val="20"/>
                <w:szCs w:val="20"/>
                <w:lang w:val="en-GB"/>
              </w:rPr>
            </w:pPr>
          </w:p>
          <w:p w14:paraId="32A8A95F" w14:textId="51157CE4" w:rsidR="00D05EE3" w:rsidRPr="00C462A0" w:rsidRDefault="00D05EE3" w:rsidP="00D05EE3">
            <w:pPr>
              <w:pStyle w:val="NoSpacing"/>
              <w:numPr>
                <w:ilvl w:val="0"/>
                <w:numId w:val="225"/>
              </w:numPr>
              <w:jc w:val="both"/>
              <w:rPr>
                <w:rFonts w:cstheme="minorHAnsi"/>
                <w:color w:val="009889" w:themeColor="accent2"/>
                <w:sz w:val="20"/>
                <w:szCs w:val="20"/>
                <w:lang w:val="en-GB"/>
              </w:rPr>
            </w:pPr>
            <w:r w:rsidRPr="00C462A0">
              <w:rPr>
                <w:rFonts w:cstheme="minorHAnsi"/>
                <w:color w:val="009889" w:themeColor="accent2"/>
                <w:sz w:val="20"/>
                <w:szCs w:val="20"/>
                <w:lang w:val="en-GB"/>
              </w:rPr>
              <w:t xml:space="preserve">Which of the following is the primary objective of threat modelling? </w:t>
            </w:r>
          </w:p>
          <w:p w14:paraId="0B767B34" w14:textId="77777777" w:rsidR="00D05EE3" w:rsidRPr="00C462A0" w:rsidRDefault="00D05EE3" w:rsidP="00935A42">
            <w:pPr>
              <w:pStyle w:val="NoSpacing"/>
              <w:numPr>
                <w:ilvl w:val="0"/>
                <w:numId w:val="240"/>
              </w:numPr>
              <w:jc w:val="both"/>
              <w:rPr>
                <w:rFonts w:cstheme="minorHAnsi"/>
                <w:sz w:val="20"/>
                <w:szCs w:val="20"/>
                <w:lang w:val="en-GB"/>
              </w:rPr>
            </w:pPr>
            <w:r w:rsidRPr="00C462A0">
              <w:rPr>
                <w:rFonts w:cstheme="minorHAnsi"/>
                <w:sz w:val="20"/>
                <w:szCs w:val="20"/>
                <w:lang w:val="en-GB"/>
              </w:rPr>
              <w:t>To eliminate all possible vulnerabilities</w:t>
            </w:r>
          </w:p>
          <w:p w14:paraId="5B613DA0" w14:textId="77777777" w:rsidR="00D05EE3" w:rsidRPr="00C462A0" w:rsidRDefault="00D05EE3" w:rsidP="00935A42">
            <w:pPr>
              <w:pStyle w:val="NoSpacing"/>
              <w:numPr>
                <w:ilvl w:val="0"/>
                <w:numId w:val="240"/>
              </w:numPr>
              <w:jc w:val="both"/>
              <w:rPr>
                <w:rFonts w:cstheme="minorHAnsi"/>
                <w:sz w:val="20"/>
                <w:szCs w:val="20"/>
                <w:lang w:val="en-GB"/>
              </w:rPr>
            </w:pPr>
            <w:r w:rsidRPr="00C462A0">
              <w:rPr>
                <w:rFonts w:cstheme="minorHAnsi"/>
                <w:sz w:val="20"/>
                <w:szCs w:val="20"/>
                <w:lang w:val="en-GB"/>
              </w:rPr>
              <w:t>To identify and evaluate potential attack paths against critical assets</w:t>
            </w:r>
          </w:p>
          <w:p w14:paraId="3C8604C2" w14:textId="77777777" w:rsidR="00D05EE3" w:rsidRPr="00C462A0" w:rsidRDefault="00D05EE3" w:rsidP="00935A42">
            <w:pPr>
              <w:pStyle w:val="NoSpacing"/>
              <w:numPr>
                <w:ilvl w:val="0"/>
                <w:numId w:val="240"/>
              </w:numPr>
              <w:jc w:val="both"/>
              <w:rPr>
                <w:rFonts w:cstheme="minorHAnsi"/>
                <w:sz w:val="20"/>
                <w:szCs w:val="20"/>
                <w:lang w:val="en-GB"/>
              </w:rPr>
            </w:pPr>
            <w:r w:rsidRPr="00C462A0">
              <w:rPr>
                <w:rFonts w:cstheme="minorHAnsi"/>
                <w:sz w:val="20"/>
                <w:szCs w:val="20"/>
                <w:lang w:val="en-GB"/>
              </w:rPr>
              <w:t>To reduce IT operating costs</w:t>
            </w:r>
          </w:p>
          <w:p w14:paraId="7C7153F3" w14:textId="36A32B4B" w:rsidR="00D05EE3" w:rsidRPr="00C462A0" w:rsidRDefault="00D05EE3" w:rsidP="00935A42">
            <w:pPr>
              <w:pStyle w:val="NoSpacing"/>
              <w:numPr>
                <w:ilvl w:val="0"/>
                <w:numId w:val="240"/>
              </w:numPr>
              <w:jc w:val="both"/>
              <w:rPr>
                <w:rFonts w:cstheme="minorHAnsi"/>
                <w:sz w:val="20"/>
                <w:szCs w:val="20"/>
                <w:lang w:val="en-GB"/>
              </w:rPr>
            </w:pPr>
            <w:r w:rsidRPr="00C462A0">
              <w:rPr>
                <w:rFonts w:cstheme="minorHAnsi"/>
                <w:sz w:val="20"/>
                <w:szCs w:val="20"/>
                <w:lang w:val="en-GB"/>
              </w:rPr>
              <w:t>To ensure software development speed</w:t>
            </w:r>
            <w:r w:rsidR="00935A42" w:rsidRPr="00C462A0">
              <w:rPr>
                <w:rFonts w:cstheme="minorHAnsi"/>
                <w:sz w:val="20"/>
                <w:szCs w:val="20"/>
                <w:lang w:val="en-GB"/>
              </w:rPr>
              <w:t>.</w:t>
            </w:r>
          </w:p>
          <w:p w14:paraId="7D68EAE6" w14:textId="77777777" w:rsidR="00935A42" w:rsidRPr="00C462A0" w:rsidRDefault="00935A42" w:rsidP="00935A42">
            <w:pPr>
              <w:pStyle w:val="NoSpacing"/>
              <w:ind w:left="720"/>
              <w:jc w:val="both"/>
              <w:rPr>
                <w:rFonts w:cstheme="minorHAnsi"/>
                <w:sz w:val="20"/>
                <w:szCs w:val="20"/>
                <w:lang w:val="en-GB"/>
              </w:rPr>
            </w:pPr>
          </w:p>
          <w:p w14:paraId="1D01B997" w14:textId="549AC8C8" w:rsidR="00D05EE3" w:rsidRPr="00C462A0" w:rsidRDefault="00D05EE3" w:rsidP="00D05EE3">
            <w:pPr>
              <w:pStyle w:val="NoSpacing"/>
              <w:numPr>
                <w:ilvl w:val="0"/>
                <w:numId w:val="225"/>
              </w:numPr>
              <w:jc w:val="both"/>
              <w:rPr>
                <w:rFonts w:cstheme="minorHAnsi"/>
                <w:color w:val="009889" w:themeColor="accent2"/>
                <w:sz w:val="20"/>
                <w:szCs w:val="20"/>
                <w:lang w:val="en-GB"/>
              </w:rPr>
            </w:pPr>
            <w:r w:rsidRPr="00C462A0">
              <w:rPr>
                <w:rFonts w:cstheme="minorHAnsi"/>
                <w:color w:val="009889" w:themeColor="accent2"/>
                <w:sz w:val="20"/>
                <w:szCs w:val="20"/>
                <w:lang w:val="en-GB"/>
              </w:rPr>
              <w:t xml:space="preserve">Why is cyber risk management particularly relevant for ESG reporting platforms? </w:t>
            </w:r>
          </w:p>
          <w:p w14:paraId="66399398" w14:textId="77777777" w:rsidR="00D05EE3" w:rsidRPr="00C462A0" w:rsidRDefault="00D05EE3" w:rsidP="00935A42">
            <w:pPr>
              <w:pStyle w:val="NoSpacing"/>
              <w:numPr>
                <w:ilvl w:val="0"/>
                <w:numId w:val="241"/>
              </w:numPr>
              <w:jc w:val="both"/>
              <w:rPr>
                <w:rFonts w:cstheme="minorHAnsi"/>
                <w:sz w:val="20"/>
                <w:szCs w:val="20"/>
                <w:lang w:val="en-GB"/>
              </w:rPr>
            </w:pPr>
            <w:r w:rsidRPr="00C462A0">
              <w:rPr>
                <w:rFonts w:cstheme="minorHAnsi"/>
                <w:sz w:val="20"/>
                <w:szCs w:val="20"/>
                <w:lang w:val="en-GB"/>
              </w:rPr>
              <w:t>Because ESG systems never connect to external users</w:t>
            </w:r>
          </w:p>
          <w:p w14:paraId="49E021D5" w14:textId="77777777" w:rsidR="00D05EE3" w:rsidRPr="00C462A0" w:rsidRDefault="00D05EE3" w:rsidP="00935A42">
            <w:pPr>
              <w:pStyle w:val="NoSpacing"/>
              <w:numPr>
                <w:ilvl w:val="0"/>
                <w:numId w:val="241"/>
              </w:numPr>
              <w:jc w:val="both"/>
              <w:rPr>
                <w:rFonts w:cstheme="minorHAnsi"/>
                <w:sz w:val="20"/>
                <w:szCs w:val="20"/>
                <w:lang w:val="en-GB"/>
              </w:rPr>
            </w:pPr>
            <w:r w:rsidRPr="00C462A0">
              <w:rPr>
                <w:rFonts w:cstheme="minorHAnsi"/>
                <w:sz w:val="20"/>
                <w:szCs w:val="20"/>
                <w:lang w:val="en-GB"/>
              </w:rPr>
              <w:t>Because inaccurate or manipulated data may lead to regulatory and reputational consequences</w:t>
            </w:r>
          </w:p>
          <w:p w14:paraId="367ECCA2" w14:textId="77777777" w:rsidR="00D05EE3" w:rsidRPr="00C462A0" w:rsidRDefault="00D05EE3" w:rsidP="00935A42">
            <w:pPr>
              <w:pStyle w:val="NoSpacing"/>
              <w:numPr>
                <w:ilvl w:val="0"/>
                <w:numId w:val="241"/>
              </w:numPr>
              <w:jc w:val="both"/>
              <w:rPr>
                <w:rFonts w:cstheme="minorHAnsi"/>
                <w:sz w:val="20"/>
                <w:szCs w:val="20"/>
                <w:lang w:val="en-GB"/>
              </w:rPr>
            </w:pPr>
            <w:r w:rsidRPr="00C462A0">
              <w:rPr>
                <w:rFonts w:cstheme="minorHAnsi"/>
                <w:sz w:val="20"/>
                <w:szCs w:val="20"/>
                <w:lang w:val="en-GB"/>
              </w:rPr>
              <w:t>Because ESG data is not subject to compliance obligations</w:t>
            </w:r>
          </w:p>
          <w:p w14:paraId="397D3E0A" w14:textId="4BDE9FBE" w:rsidR="00D05EE3" w:rsidRPr="00C462A0" w:rsidRDefault="00D05EE3" w:rsidP="00935A42">
            <w:pPr>
              <w:pStyle w:val="NoSpacing"/>
              <w:numPr>
                <w:ilvl w:val="0"/>
                <w:numId w:val="241"/>
              </w:numPr>
              <w:jc w:val="both"/>
              <w:rPr>
                <w:rFonts w:cstheme="minorHAnsi"/>
                <w:sz w:val="20"/>
                <w:szCs w:val="20"/>
                <w:lang w:val="en-GB"/>
              </w:rPr>
            </w:pPr>
            <w:r w:rsidRPr="00C462A0">
              <w:rPr>
                <w:rFonts w:cstheme="minorHAnsi"/>
                <w:sz w:val="20"/>
                <w:szCs w:val="20"/>
                <w:lang w:val="en-GB"/>
              </w:rPr>
              <w:t>Because ESG systems are technically simple</w:t>
            </w:r>
            <w:r w:rsidR="00935A42" w:rsidRPr="00C462A0">
              <w:rPr>
                <w:rFonts w:cstheme="minorHAnsi"/>
                <w:sz w:val="20"/>
                <w:szCs w:val="20"/>
                <w:lang w:val="en-GB"/>
              </w:rPr>
              <w:t>.</w:t>
            </w:r>
          </w:p>
          <w:p w14:paraId="05F7FE79" w14:textId="77777777" w:rsidR="00935A42" w:rsidRPr="00C462A0" w:rsidRDefault="00935A42" w:rsidP="00935A42">
            <w:pPr>
              <w:pStyle w:val="NoSpacing"/>
              <w:ind w:left="720"/>
              <w:jc w:val="both"/>
              <w:rPr>
                <w:rFonts w:cstheme="minorHAnsi"/>
                <w:sz w:val="20"/>
                <w:szCs w:val="20"/>
                <w:lang w:val="en-GB"/>
              </w:rPr>
            </w:pPr>
          </w:p>
          <w:p w14:paraId="6CFA52E0" w14:textId="69348605" w:rsidR="00D05EE3" w:rsidRPr="00C462A0" w:rsidRDefault="00D05EE3" w:rsidP="00D05EE3">
            <w:pPr>
              <w:pStyle w:val="NoSpacing"/>
              <w:numPr>
                <w:ilvl w:val="0"/>
                <w:numId w:val="225"/>
              </w:numPr>
              <w:jc w:val="both"/>
              <w:rPr>
                <w:rFonts w:cstheme="minorHAnsi"/>
                <w:color w:val="009889" w:themeColor="accent2"/>
                <w:sz w:val="20"/>
                <w:szCs w:val="20"/>
                <w:lang w:val="en-GB"/>
              </w:rPr>
            </w:pPr>
            <w:r w:rsidRPr="00C462A0">
              <w:rPr>
                <w:rFonts w:cstheme="minorHAnsi"/>
                <w:color w:val="009889" w:themeColor="accent2"/>
                <w:sz w:val="20"/>
                <w:szCs w:val="20"/>
                <w:lang w:val="en-GB"/>
              </w:rPr>
              <w:t xml:space="preserve">Which action best reflects a risk-based cybersecurity decision? </w:t>
            </w:r>
          </w:p>
          <w:p w14:paraId="5A4A56B5" w14:textId="77777777" w:rsidR="00D05EE3" w:rsidRPr="00C462A0" w:rsidRDefault="00D05EE3" w:rsidP="00935A42">
            <w:pPr>
              <w:pStyle w:val="NoSpacing"/>
              <w:numPr>
                <w:ilvl w:val="0"/>
                <w:numId w:val="242"/>
              </w:numPr>
              <w:jc w:val="both"/>
              <w:rPr>
                <w:rFonts w:cstheme="minorHAnsi"/>
                <w:sz w:val="20"/>
                <w:szCs w:val="20"/>
                <w:lang w:val="en-GB"/>
              </w:rPr>
            </w:pPr>
            <w:r w:rsidRPr="00C462A0">
              <w:rPr>
                <w:rFonts w:cstheme="minorHAnsi"/>
                <w:sz w:val="20"/>
                <w:szCs w:val="20"/>
                <w:lang w:val="en-GB"/>
              </w:rPr>
              <w:t>Purchasing every available security product</w:t>
            </w:r>
          </w:p>
          <w:p w14:paraId="70ED36FE" w14:textId="77777777" w:rsidR="00D05EE3" w:rsidRPr="00C462A0" w:rsidRDefault="00D05EE3" w:rsidP="00935A42">
            <w:pPr>
              <w:pStyle w:val="NoSpacing"/>
              <w:numPr>
                <w:ilvl w:val="0"/>
                <w:numId w:val="242"/>
              </w:numPr>
              <w:jc w:val="both"/>
              <w:rPr>
                <w:rFonts w:cstheme="minorHAnsi"/>
                <w:sz w:val="20"/>
                <w:szCs w:val="20"/>
                <w:lang w:val="en-GB"/>
              </w:rPr>
            </w:pPr>
            <w:r w:rsidRPr="00C462A0">
              <w:rPr>
                <w:rFonts w:cstheme="minorHAnsi"/>
                <w:sz w:val="20"/>
                <w:szCs w:val="20"/>
                <w:lang w:val="en-GB"/>
              </w:rPr>
              <w:t>Focusing exclusively on technical vulnerabilities</w:t>
            </w:r>
          </w:p>
          <w:p w14:paraId="576394ED" w14:textId="77777777" w:rsidR="00D05EE3" w:rsidRPr="00C462A0" w:rsidRDefault="00D05EE3" w:rsidP="00935A42">
            <w:pPr>
              <w:pStyle w:val="NoSpacing"/>
              <w:numPr>
                <w:ilvl w:val="0"/>
                <w:numId w:val="242"/>
              </w:numPr>
              <w:jc w:val="both"/>
              <w:rPr>
                <w:rFonts w:cstheme="minorHAnsi"/>
                <w:sz w:val="20"/>
                <w:szCs w:val="20"/>
                <w:lang w:val="en-GB"/>
              </w:rPr>
            </w:pPr>
            <w:r w:rsidRPr="00C462A0">
              <w:rPr>
                <w:rFonts w:cstheme="minorHAnsi"/>
                <w:sz w:val="20"/>
                <w:szCs w:val="20"/>
                <w:lang w:val="en-GB"/>
              </w:rPr>
              <w:t>Implementing stronger controls on systems supporting critical energy operations</w:t>
            </w:r>
          </w:p>
          <w:p w14:paraId="22551C3F" w14:textId="675891CF" w:rsidR="00D05EE3" w:rsidRPr="00C462A0" w:rsidRDefault="00D05EE3" w:rsidP="00935A42">
            <w:pPr>
              <w:pStyle w:val="NoSpacing"/>
              <w:numPr>
                <w:ilvl w:val="0"/>
                <w:numId w:val="242"/>
              </w:numPr>
              <w:jc w:val="both"/>
              <w:rPr>
                <w:rFonts w:cstheme="minorHAnsi"/>
                <w:sz w:val="20"/>
                <w:szCs w:val="20"/>
                <w:lang w:val="en-GB"/>
              </w:rPr>
            </w:pPr>
            <w:r w:rsidRPr="00C462A0">
              <w:rPr>
                <w:rFonts w:cstheme="minorHAnsi"/>
                <w:sz w:val="20"/>
                <w:szCs w:val="20"/>
                <w:lang w:val="en-GB"/>
              </w:rPr>
              <w:t>Applying identical controls to all assets regardless of importance</w:t>
            </w:r>
            <w:r w:rsidR="00935A42" w:rsidRPr="00C462A0">
              <w:rPr>
                <w:rFonts w:cstheme="minorHAnsi"/>
                <w:sz w:val="20"/>
                <w:szCs w:val="20"/>
                <w:lang w:val="en-GB"/>
              </w:rPr>
              <w:t>.</w:t>
            </w:r>
          </w:p>
          <w:p w14:paraId="36294FB0" w14:textId="77777777" w:rsidR="00D05EE3" w:rsidRPr="00C462A0" w:rsidRDefault="00D05EE3" w:rsidP="00935A42">
            <w:pPr>
              <w:pStyle w:val="NoSpacing"/>
              <w:jc w:val="both"/>
              <w:rPr>
                <w:rFonts w:cstheme="minorHAnsi"/>
                <w:sz w:val="20"/>
                <w:szCs w:val="20"/>
                <w:lang w:val="en-GB"/>
              </w:rPr>
            </w:pPr>
          </w:p>
          <w:p w14:paraId="11DFFD97" w14:textId="16D025E8" w:rsidR="00935A42" w:rsidRPr="00C462A0" w:rsidRDefault="00935A42" w:rsidP="00935A42">
            <w:pPr>
              <w:pStyle w:val="NoSpacing"/>
              <w:jc w:val="both"/>
              <w:rPr>
                <w:rFonts w:cstheme="minorHAnsi"/>
                <w:i/>
                <w:iCs/>
                <w:sz w:val="20"/>
                <w:szCs w:val="20"/>
                <w:lang w:val="en-GB"/>
              </w:rPr>
            </w:pPr>
            <w:r w:rsidRPr="00C462A0">
              <w:rPr>
                <w:rFonts w:cstheme="minorHAnsi"/>
                <w:i/>
                <w:iCs/>
                <w:sz w:val="20"/>
                <w:szCs w:val="20"/>
                <w:lang w:val="en-GB"/>
              </w:rPr>
              <w:t xml:space="preserve">Answer key: 1. b); 2. c); 3. c); 4. true; 5. d); 6. b); 7. b); 8. c). </w:t>
            </w:r>
          </w:p>
          <w:p w14:paraId="4C510EC5" w14:textId="77777777" w:rsidR="00935A42" w:rsidRPr="00C462A0" w:rsidRDefault="00935A42" w:rsidP="00935A42">
            <w:pPr>
              <w:pStyle w:val="NoSpacing"/>
              <w:jc w:val="both"/>
              <w:rPr>
                <w:rFonts w:cstheme="minorHAnsi"/>
                <w:i/>
                <w:iCs/>
                <w:sz w:val="20"/>
                <w:szCs w:val="20"/>
                <w:lang w:val="en-GB"/>
              </w:rPr>
            </w:pPr>
          </w:p>
          <w:p w14:paraId="69E2F29E" w14:textId="77777777" w:rsidR="00D05EE3" w:rsidRPr="00C462A0" w:rsidRDefault="00D05EE3" w:rsidP="00D05EE3">
            <w:pPr>
              <w:pStyle w:val="NoSpacing"/>
              <w:jc w:val="both"/>
              <w:rPr>
                <w:rFonts w:cstheme="minorHAnsi"/>
                <w:sz w:val="20"/>
                <w:szCs w:val="20"/>
                <w:lang w:val="en-GB"/>
              </w:rPr>
            </w:pPr>
            <w:r w:rsidRPr="00C462A0">
              <w:rPr>
                <w:rFonts w:cstheme="minorHAnsi"/>
                <w:b/>
                <w:color w:val="00AC4E" w:themeColor="accent1"/>
                <w:sz w:val="20"/>
                <w:szCs w:val="20"/>
                <w:lang w:val="en-GB"/>
              </w:rPr>
              <w:t xml:space="preserve">Applied Scenario </w:t>
            </w:r>
          </w:p>
          <w:p w14:paraId="428295E1" w14:textId="032951D5" w:rsidR="00D05EE3" w:rsidRPr="00C462A0" w:rsidRDefault="00D05EE3" w:rsidP="00D05EE3">
            <w:pPr>
              <w:pStyle w:val="NoSpacing"/>
              <w:jc w:val="both"/>
              <w:rPr>
                <w:rFonts w:cstheme="minorHAnsi"/>
                <w:b/>
                <w:bCs/>
                <w:color w:val="009889" w:themeColor="accent2"/>
                <w:sz w:val="20"/>
                <w:szCs w:val="20"/>
                <w:lang w:val="en-GB"/>
              </w:rPr>
            </w:pPr>
            <w:r w:rsidRPr="00C462A0">
              <w:rPr>
                <w:rFonts w:cstheme="minorHAnsi"/>
                <w:b/>
                <w:bCs/>
                <w:color w:val="009889" w:themeColor="accent2"/>
                <w:sz w:val="20"/>
                <w:szCs w:val="20"/>
                <w:lang w:val="en-GB"/>
              </w:rPr>
              <w:t>Scenario</w:t>
            </w:r>
            <w:r w:rsidR="00935A42" w:rsidRPr="00C462A0">
              <w:rPr>
                <w:rFonts w:cstheme="minorHAnsi"/>
                <w:b/>
                <w:bCs/>
                <w:color w:val="009889" w:themeColor="accent2"/>
                <w:sz w:val="20"/>
                <w:szCs w:val="20"/>
                <w:lang w:val="en-GB"/>
              </w:rPr>
              <w:t xml:space="preserve"> 1:</w:t>
            </w:r>
          </w:p>
          <w:p w14:paraId="26BCA398" w14:textId="77777777" w:rsidR="00D05EE3" w:rsidRPr="00C462A0" w:rsidRDefault="00D05EE3" w:rsidP="00D05EE3">
            <w:pPr>
              <w:pStyle w:val="NoSpacing"/>
              <w:jc w:val="both"/>
              <w:rPr>
                <w:rFonts w:cstheme="minorHAnsi"/>
                <w:sz w:val="20"/>
                <w:szCs w:val="20"/>
                <w:lang w:val="en-GB"/>
              </w:rPr>
            </w:pPr>
            <w:r w:rsidRPr="00C462A0">
              <w:rPr>
                <w:rFonts w:cstheme="minorHAnsi"/>
                <w:sz w:val="20"/>
                <w:szCs w:val="20"/>
                <w:lang w:val="en-GB"/>
              </w:rPr>
              <w:t>A regional energy provider has deployed:</w:t>
            </w:r>
          </w:p>
          <w:p w14:paraId="2DDCC34E" w14:textId="77777777" w:rsidR="00D05EE3" w:rsidRPr="00C462A0" w:rsidRDefault="00D05EE3" w:rsidP="00D05EE3">
            <w:pPr>
              <w:pStyle w:val="NoSpacing"/>
              <w:numPr>
                <w:ilvl w:val="0"/>
                <w:numId w:val="233"/>
              </w:numPr>
              <w:jc w:val="both"/>
              <w:rPr>
                <w:rFonts w:cstheme="minorHAnsi"/>
                <w:sz w:val="20"/>
                <w:szCs w:val="20"/>
                <w:lang w:val="en-GB"/>
              </w:rPr>
            </w:pPr>
            <w:r w:rsidRPr="00C462A0">
              <w:rPr>
                <w:rFonts w:cstheme="minorHAnsi"/>
                <w:sz w:val="20"/>
                <w:szCs w:val="20"/>
                <w:lang w:val="en-GB"/>
              </w:rPr>
              <w:t>IoT-enabled smart meters across its distribution network</w:t>
            </w:r>
          </w:p>
          <w:p w14:paraId="093D4CF3" w14:textId="77777777" w:rsidR="00D05EE3" w:rsidRPr="00C462A0" w:rsidRDefault="00D05EE3" w:rsidP="00D05EE3">
            <w:pPr>
              <w:pStyle w:val="NoSpacing"/>
              <w:numPr>
                <w:ilvl w:val="0"/>
                <w:numId w:val="233"/>
              </w:numPr>
              <w:jc w:val="both"/>
              <w:rPr>
                <w:rFonts w:cstheme="minorHAnsi"/>
                <w:sz w:val="20"/>
                <w:szCs w:val="20"/>
                <w:lang w:val="en-GB"/>
              </w:rPr>
            </w:pPr>
            <w:r w:rsidRPr="00C462A0">
              <w:rPr>
                <w:rFonts w:cstheme="minorHAnsi"/>
                <w:sz w:val="20"/>
                <w:szCs w:val="20"/>
                <w:lang w:val="en-GB"/>
              </w:rPr>
              <w:t>A cloud-based ESG reporting platform</w:t>
            </w:r>
          </w:p>
          <w:p w14:paraId="0FBDAFF1" w14:textId="77777777" w:rsidR="00D05EE3" w:rsidRPr="00C462A0" w:rsidRDefault="00D05EE3" w:rsidP="00D05EE3">
            <w:pPr>
              <w:pStyle w:val="NoSpacing"/>
              <w:numPr>
                <w:ilvl w:val="0"/>
                <w:numId w:val="233"/>
              </w:numPr>
              <w:jc w:val="both"/>
              <w:rPr>
                <w:rFonts w:cstheme="minorHAnsi"/>
                <w:sz w:val="20"/>
                <w:szCs w:val="20"/>
                <w:lang w:val="en-GB"/>
              </w:rPr>
            </w:pPr>
            <w:r w:rsidRPr="00C462A0">
              <w:rPr>
                <w:rFonts w:cstheme="minorHAnsi"/>
                <w:sz w:val="20"/>
                <w:szCs w:val="20"/>
                <w:lang w:val="en-GB"/>
              </w:rPr>
              <w:t>Remote maintenance access for operational staff</w:t>
            </w:r>
          </w:p>
          <w:p w14:paraId="7B1363B9" w14:textId="77777777" w:rsidR="00D05EE3" w:rsidRPr="00C462A0" w:rsidRDefault="00D05EE3" w:rsidP="00D05EE3">
            <w:pPr>
              <w:pStyle w:val="NoSpacing"/>
              <w:jc w:val="both"/>
              <w:rPr>
                <w:rFonts w:cstheme="minorHAnsi"/>
                <w:sz w:val="20"/>
                <w:szCs w:val="20"/>
                <w:lang w:val="en-GB"/>
              </w:rPr>
            </w:pPr>
            <w:r w:rsidRPr="00C462A0">
              <w:rPr>
                <w:rFonts w:cstheme="minorHAnsi"/>
                <w:sz w:val="20"/>
                <w:szCs w:val="20"/>
                <w:lang w:val="en-GB"/>
              </w:rPr>
              <w:t>Recently, the organisation identified phishing attempts targeting ESG analysts and unusual traffic between smart meters and the cloud API.</w:t>
            </w:r>
          </w:p>
          <w:p w14:paraId="0DF59007" w14:textId="77777777" w:rsidR="00935A42" w:rsidRPr="00C462A0" w:rsidRDefault="00935A42" w:rsidP="00D05EE3">
            <w:pPr>
              <w:pStyle w:val="NoSpacing"/>
              <w:jc w:val="both"/>
              <w:rPr>
                <w:rFonts w:cstheme="minorHAnsi"/>
                <w:b/>
                <w:bCs/>
                <w:sz w:val="20"/>
                <w:szCs w:val="20"/>
                <w:lang w:val="en-GB"/>
              </w:rPr>
            </w:pPr>
          </w:p>
          <w:p w14:paraId="31E5B2BC" w14:textId="73F80C1C" w:rsidR="00D05EE3" w:rsidRPr="00C462A0" w:rsidRDefault="00935A42" w:rsidP="00D05EE3">
            <w:pPr>
              <w:pStyle w:val="NoSpacing"/>
              <w:jc w:val="both"/>
              <w:rPr>
                <w:rFonts w:cstheme="minorHAnsi"/>
                <w:b/>
                <w:bCs/>
                <w:sz w:val="20"/>
                <w:szCs w:val="20"/>
                <w:lang w:val="en-GB"/>
              </w:rPr>
            </w:pPr>
            <w:r w:rsidRPr="00C462A0">
              <w:rPr>
                <w:rFonts w:cstheme="minorHAnsi"/>
                <w:b/>
                <w:bCs/>
                <w:sz w:val="20"/>
                <w:szCs w:val="20"/>
                <w:lang w:val="en-GB"/>
              </w:rPr>
              <w:t>Learner</w:t>
            </w:r>
            <w:r w:rsidR="00D05EE3" w:rsidRPr="00C462A0">
              <w:rPr>
                <w:rFonts w:cstheme="minorHAnsi"/>
                <w:b/>
                <w:bCs/>
                <w:sz w:val="20"/>
                <w:szCs w:val="20"/>
                <w:lang w:val="en-GB"/>
              </w:rPr>
              <w:t xml:space="preserve"> Task</w:t>
            </w:r>
          </w:p>
          <w:p w14:paraId="540699F5" w14:textId="77777777" w:rsidR="00D05EE3" w:rsidRPr="00C462A0" w:rsidRDefault="00D05EE3" w:rsidP="00D05EE3">
            <w:pPr>
              <w:pStyle w:val="NoSpacing"/>
              <w:numPr>
                <w:ilvl w:val="0"/>
                <w:numId w:val="234"/>
              </w:numPr>
              <w:jc w:val="both"/>
              <w:rPr>
                <w:rFonts w:cstheme="minorHAnsi"/>
                <w:sz w:val="20"/>
                <w:szCs w:val="20"/>
                <w:lang w:val="en-GB"/>
              </w:rPr>
            </w:pPr>
            <w:r w:rsidRPr="00C462A0">
              <w:rPr>
                <w:rFonts w:cstheme="minorHAnsi"/>
                <w:sz w:val="20"/>
                <w:szCs w:val="20"/>
                <w:lang w:val="en-GB"/>
              </w:rPr>
              <w:t>Identify two critical assets within this environment.</w:t>
            </w:r>
          </w:p>
          <w:p w14:paraId="1C4D26AB" w14:textId="77777777" w:rsidR="00D05EE3" w:rsidRPr="00C462A0" w:rsidRDefault="00D05EE3" w:rsidP="00D05EE3">
            <w:pPr>
              <w:pStyle w:val="NoSpacing"/>
              <w:numPr>
                <w:ilvl w:val="0"/>
                <w:numId w:val="234"/>
              </w:numPr>
              <w:jc w:val="both"/>
              <w:rPr>
                <w:rFonts w:cstheme="minorHAnsi"/>
                <w:sz w:val="20"/>
                <w:szCs w:val="20"/>
                <w:lang w:val="en-GB"/>
              </w:rPr>
            </w:pPr>
            <w:r w:rsidRPr="00C462A0">
              <w:rPr>
                <w:rFonts w:cstheme="minorHAnsi"/>
                <w:sz w:val="20"/>
                <w:szCs w:val="20"/>
                <w:lang w:val="en-GB"/>
              </w:rPr>
              <w:t>Describe one possible attacker tactic and one related technique.</w:t>
            </w:r>
          </w:p>
          <w:p w14:paraId="56D13FB8" w14:textId="77777777" w:rsidR="00D05EE3" w:rsidRPr="00C462A0" w:rsidRDefault="00D05EE3" w:rsidP="00D05EE3">
            <w:pPr>
              <w:pStyle w:val="NoSpacing"/>
              <w:numPr>
                <w:ilvl w:val="0"/>
                <w:numId w:val="234"/>
              </w:numPr>
              <w:jc w:val="both"/>
              <w:rPr>
                <w:rFonts w:cstheme="minorHAnsi"/>
                <w:sz w:val="20"/>
                <w:szCs w:val="20"/>
                <w:lang w:val="en-GB"/>
              </w:rPr>
            </w:pPr>
            <w:r w:rsidRPr="00C462A0">
              <w:rPr>
                <w:rFonts w:cstheme="minorHAnsi"/>
                <w:sz w:val="20"/>
                <w:szCs w:val="20"/>
                <w:lang w:val="en-GB"/>
              </w:rPr>
              <w:t>Explain the potential business and societal impact if the attack were successful.</w:t>
            </w:r>
          </w:p>
          <w:p w14:paraId="34864844" w14:textId="77777777" w:rsidR="00D05EE3" w:rsidRPr="00C462A0" w:rsidRDefault="00D05EE3" w:rsidP="00D05EE3">
            <w:pPr>
              <w:pStyle w:val="NoSpacing"/>
              <w:numPr>
                <w:ilvl w:val="0"/>
                <w:numId w:val="234"/>
              </w:numPr>
              <w:jc w:val="both"/>
              <w:rPr>
                <w:rFonts w:cstheme="minorHAnsi"/>
                <w:sz w:val="20"/>
                <w:szCs w:val="20"/>
                <w:lang w:val="en-GB"/>
              </w:rPr>
            </w:pPr>
            <w:r w:rsidRPr="00C462A0">
              <w:rPr>
                <w:rFonts w:cstheme="minorHAnsi"/>
                <w:sz w:val="20"/>
                <w:szCs w:val="20"/>
                <w:lang w:val="en-GB"/>
              </w:rPr>
              <w:t>Indicate whether you would classify the risk as low, medium, or high, and justify your reasoning.</w:t>
            </w:r>
          </w:p>
          <w:p w14:paraId="1E8F2B0D" w14:textId="77777777" w:rsidR="00D05EE3" w:rsidRPr="00C462A0" w:rsidRDefault="00D05EE3" w:rsidP="00D05EE3">
            <w:pPr>
              <w:pStyle w:val="NoSpacing"/>
              <w:jc w:val="both"/>
              <w:rPr>
                <w:rFonts w:cstheme="minorHAnsi"/>
                <w:sz w:val="20"/>
                <w:szCs w:val="20"/>
                <w:lang w:val="en-GB"/>
              </w:rPr>
            </w:pPr>
            <w:r w:rsidRPr="00C462A0">
              <w:rPr>
                <w:rFonts w:cstheme="minorHAnsi"/>
                <w:sz w:val="20"/>
                <w:szCs w:val="20"/>
                <w:lang w:val="en-GB"/>
              </w:rPr>
              <w:lastRenderedPageBreak/>
              <w:t>Write a structured response (10–12 sentences) integrating concepts from:</w:t>
            </w:r>
          </w:p>
          <w:p w14:paraId="75735D19" w14:textId="77777777" w:rsidR="00D05EE3" w:rsidRPr="00C462A0" w:rsidRDefault="00D05EE3" w:rsidP="00D05EE3">
            <w:pPr>
              <w:pStyle w:val="NoSpacing"/>
              <w:numPr>
                <w:ilvl w:val="0"/>
                <w:numId w:val="235"/>
              </w:numPr>
              <w:jc w:val="both"/>
              <w:rPr>
                <w:rFonts w:cstheme="minorHAnsi"/>
                <w:sz w:val="20"/>
                <w:szCs w:val="20"/>
                <w:lang w:val="en-GB"/>
              </w:rPr>
            </w:pPr>
            <w:r w:rsidRPr="00C462A0">
              <w:rPr>
                <w:rFonts w:cstheme="minorHAnsi"/>
                <w:sz w:val="20"/>
                <w:szCs w:val="20"/>
                <w:lang w:val="en-GB"/>
              </w:rPr>
              <w:t>CIA Triad (Topic 1.1)</w:t>
            </w:r>
          </w:p>
          <w:p w14:paraId="65C77DF1" w14:textId="77777777" w:rsidR="00D05EE3" w:rsidRPr="00C462A0" w:rsidRDefault="00D05EE3" w:rsidP="00D05EE3">
            <w:pPr>
              <w:pStyle w:val="NoSpacing"/>
              <w:numPr>
                <w:ilvl w:val="0"/>
                <w:numId w:val="235"/>
              </w:numPr>
              <w:jc w:val="both"/>
              <w:rPr>
                <w:rFonts w:cstheme="minorHAnsi"/>
                <w:sz w:val="20"/>
                <w:szCs w:val="20"/>
                <w:lang w:val="en-GB"/>
              </w:rPr>
            </w:pPr>
            <w:r w:rsidRPr="00C462A0">
              <w:rPr>
                <w:rFonts w:cstheme="minorHAnsi"/>
                <w:sz w:val="20"/>
                <w:szCs w:val="20"/>
                <w:lang w:val="en-GB"/>
              </w:rPr>
              <w:t>Threat Landscape (Topic 1.2)</w:t>
            </w:r>
          </w:p>
          <w:p w14:paraId="31377C1D" w14:textId="77777777" w:rsidR="00D05EE3" w:rsidRPr="00C462A0" w:rsidRDefault="00D05EE3" w:rsidP="00D05EE3">
            <w:pPr>
              <w:pStyle w:val="NoSpacing"/>
              <w:numPr>
                <w:ilvl w:val="0"/>
                <w:numId w:val="235"/>
              </w:numPr>
              <w:jc w:val="both"/>
              <w:rPr>
                <w:rFonts w:cstheme="minorHAnsi"/>
                <w:sz w:val="20"/>
                <w:szCs w:val="20"/>
                <w:lang w:val="en-GB"/>
              </w:rPr>
            </w:pPr>
            <w:r w:rsidRPr="00C462A0">
              <w:rPr>
                <w:rFonts w:cstheme="minorHAnsi"/>
                <w:sz w:val="20"/>
                <w:szCs w:val="20"/>
                <w:lang w:val="en-GB"/>
              </w:rPr>
              <w:t>TTPs (Topic 1.3)</w:t>
            </w:r>
          </w:p>
          <w:p w14:paraId="38A13E26" w14:textId="77777777" w:rsidR="00D05EE3" w:rsidRPr="00C462A0" w:rsidRDefault="00D05EE3" w:rsidP="00D05EE3">
            <w:pPr>
              <w:pStyle w:val="NoSpacing"/>
              <w:numPr>
                <w:ilvl w:val="0"/>
                <w:numId w:val="235"/>
              </w:numPr>
              <w:jc w:val="both"/>
              <w:rPr>
                <w:rFonts w:cstheme="minorHAnsi"/>
                <w:sz w:val="20"/>
                <w:szCs w:val="20"/>
                <w:lang w:val="en-GB"/>
              </w:rPr>
            </w:pPr>
            <w:r w:rsidRPr="00C462A0">
              <w:rPr>
                <w:rFonts w:cstheme="minorHAnsi"/>
                <w:sz w:val="20"/>
                <w:szCs w:val="20"/>
                <w:lang w:val="en-GB"/>
              </w:rPr>
              <w:t>Cyber Risk (Topic 1.4)</w:t>
            </w:r>
          </w:p>
          <w:p w14:paraId="1CDA1AF0" w14:textId="77777777" w:rsidR="00D05EE3" w:rsidRPr="00C462A0" w:rsidRDefault="00D05EE3" w:rsidP="00D05EE3">
            <w:pPr>
              <w:pStyle w:val="NoSpacing"/>
              <w:ind w:left="720"/>
              <w:jc w:val="both"/>
              <w:rPr>
                <w:rFonts w:cstheme="minorHAnsi"/>
                <w:sz w:val="20"/>
                <w:szCs w:val="20"/>
                <w:lang w:val="en-GB"/>
              </w:rPr>
            </w:pPr>
          </w:p>
          <w:p w14:paraId="488C34F8" w14:textId="77777777" w:rsidR="00935A42" w:rsidRPr="00C462A0" w:rsidRDefault="00D05EE3" w:rsidP="00D05EE3">
            <w:pPr>
              <w:pStyle w:val="NoSpacing"/>
              <w:jc w:val="both"/>
              <w:rPr>
                <w:rFonts w:cstheme="minorHAnsi"/>
                <w:b/>
                <w:bCs/>
                <w:color w:val="009889" w:themeColor="accent2"/>
                <w:sz w:val="20"/>
                <w:szCs w:val="20"/>
                <w:lang w:val="en-GB"/>
              </w:rPr>
            </w:pPr>
            <w:r w:rsidRPr="00C462A0">
              <w:rPr>
                <w:rFonts w:cstheme="minorHAnsi"/>
                <w:b/>
                <w:bCs/>
                <w:color w:val="009889" w:themeColor="accent2"/>
                <w:sz w:val="20"/>
                <w:szCs w:val="20"/>
                <w:lang w:val="en-GB"/>
              </w:rPr>
              <w:t xml:space="preserve">Scenario 2: </w:t>
            </w:r>
          </w:p>
          <w:p w14:paraId="76482893" w14:textId="24075673" w:rsidR="00D05EE3" w:rsidRPr="00C462A0" w:rsidRDefault="00D05EE3" w:rsidP="00D05EE3">
            <w:pPr>
              <w:pStyle w:val="NoSpacing"/>
              <w:jc w:val="both"/>
              <w:rPr>
                <w:rFonts w:cstheme="minorHAnsi"/>
                <w:sz w:val="20"/>
                <w:szCs w:val="20"/>
                <w:lang w:val="en-GB"/>
              </w:rPr>
            </w:pPr>
            <w:r w:rsidRPr="00C462A0">
              <w:rPr>
                <w:rFonts w:cstheme="minorHAnsi"/>
                <w:b/>
                <w:bCs/>
                <w:sz w:val="20"/>
                <w:szCs w:val="20"/>
                <w:lang w:val="en-GB"/>
              </w:rPr>
              <w:t>Use Case Threat Modelling Exercise</w:t>
            </w:r>
          </w:p>
          <w:p w14:paraId="76A6DB02" w14:textId="7A6C533E" w:rsidR="00531361" w:rsidRPr="00C462A0" w:rsidRDefault="00D05EE3" w:rsidP="00935A42">
            <w:pPr>
              <w:spacing w:after="160" w:line="276" w:lineRule="auto"/>
              <w:jc w:val="both"/>
              <w:rPr>
                <w:rFonts w:cstheme="minorHAnsi"/>
                <w:szCs w:val="20"/>
              </w:rPr>
            </w:pPr>
            <w:r w:rsidRPr="00C462A0">
              <w:rPr>
                <w:rFonts w:cstheme="minorHAnsi"/>
                <w:szCs w:val="20"/>
              </w:rPr>
              <w:t>In addition to the previous scenario, review the example use case and threat modelling document provided by the trainer (Example of a use case threat modelling 1.pdf). The example illustrates how a business process can be modelled as a use case and how its attack surfaces, threats, and attack vectors can be identified</w:t>
            </w:r>
            <w:r w:rsidR="00935A42" w:rsidRPr="00C462A0">
              <w:rPr>
                <w:rFonts w:cstheme="minorHAnsi"/>
                <w:szCs w:val="20"/>
              </w:rPr>
              <w:t>.</w:t>
            </w:r>
          </w:p>
        </w:tc>
      </w:tr>
    </w:tbl>
    <w:p w14:paraId="24E737D4" w14:textId="77777777" w:rsidR="00531361" w:rsidRPr="00C462A0" w:rsidRDefault="00531361" w:rsidP="00980D68">
      <w:pPr>
        <w:spacing w:line="276" w:lineRule="auto"/>
        <w:rPr>
          <w:rFonts w:cstheme="minorHAnsi"/>
          <w:szCs w:val="20"/>
        </w:rPr>
      </w:pPr>
    </w:p>
    <w:p w14:paraId="3B9642FC" w14:textId="77777777" w:rsidR="00BB1CD7" w:rsidRDefault="00BB1CD7" w:rsidP="00980D68">
      <w:pPr>
        <w:spacing w:line="276" w:lineRule="auto"/>
        <w:rPr>
          <w:rFonts w:cstheme="minorHAnsi"/>
          <w:szCs w:val="20"/>
        </w:rPr>
      </w:pPr>
    </w:p>
    <w:p w14:paraId="56D84F4C" w14:textId="77777777" w:rsidR="00C462A0" w:rsidRDefault="00C462A0" w:rsidP="00980D68">
      <w:pPr>
        <w:spacing w:line="276" w:lineRule="auto"/>
        <w:rPr>
          <w:rFonts w:cstheme="minorHAnsi"/>
          <w:szCs w:val="20"/>
        </w:rPr>
      </w:pPr>
    </w:p>
    <w:p w14:paraId="621A1B4E" w14:textId="77777777" w:rsidR="00C462A0" w:rsidRDefault="00C462A0" w:rsidP="00980D68">
      <w:pPr>
        <w:spacing w:line="276" w:lineRule="auto"/>
        <w:rPr>
          <w:rFonts w:cstheme="minorHAnsi"/>
          <w:szCs w:val="20"/>
        </w:rPr>
      </w:pPr>
    </w:p>
    <w:p w14:paraId="0C857B61" w14:textId="77777777" w:rsidR="00C462A0" w:rsidRDefault="00C462A0" w:rsidP="00980D68">
      <w:pPr>
        <w:spacing w:line="276" w:lineRule="auto"/>
        <w:rPr>
          <w:rFonts w:cstheme="minorHAnsi"/>
          <w:szCs w:val="20"/>
        </w:rPr>
      </w:pPr>
    </w:p>
    <w:p w14:paraId="26DC02C6" w14:textId="77777777" w:rsidR="00C462A0" w:rsidRDefault="00C462A0" w:rsidP="00980D68">
      <w:pPr>
        <w:spacing w:line="276" w:lineRule="auto"/>
        <w:rPr>
          <w:rFonts w:cstheme="minorHAnsi"/>
          <w:szCs w:val="20"/>
        </w:rPr>
      </w:pPr>
    </w:p>
    <w:p w14:paraId="32457748" w14:textId="77777777" w:rsidR="00C462A0" w:rsidRDefault="00C462A0" w:rsidP="00980D68">
      <w:pPr>
        <w:spacing w:line="276" w:lineRule="auto"/>
        <w:rPr>
          <w:rFonts w:cstheme="minorHAnsi"/>
          <w:szCs w:val="20"/>
        </w:rPr>
      </w:pPr>
    </w:p>
    <w:p w14:paraId="7D9A82BD" w14:textId="77777777" w:rsidR="00C462A0" w:rsidRDefault="00C462A0" w:rsidP="00980D68">
      <w:pPr>
        <w:spacing w:line="276" w:lineRule="auto"/>
        <w:rPr>
          <w:rFonts w:cstheme="minorHAnsi"/>
          <w:szCs w:val="20"/>
        </w:rPr>
      </w:pPr>
    </w:p>
    <w:p w14:paraId="496D4E9E" w14:textId="77777777" w:rsidR="00C462A0" w:rsidRDefault="00C462A0" w:rsidP="00980D68">
      <w:pPr>
        <w:spacing w:line="276" w:lineRule="auto"/>
        <w:rPr>
          <w:rFonts w:cstheme="minorHAnsi"/>
          <w:szCs w:val="20"/>
        </w:rPr>
      </w:pPr>
    </w:p>
    <w:p w14:paraId="70A1C9C0" w14:textId="77777777" w:rsidR="00C462A0" w:rsidRDefault="00C462A0" w:rsidP="00980D68">
      <w:pPr>
        <w:spacing w:line="276" w:lineRule="auto"/>
        <w:rPr>
          <w:rFonts w:cstheme="minorHAnsi"/>
          <w:szCs w:val="20"/>
        </w:rPr>
      </w:pPr>
    </w:p>
    <w:p w14:paraId="01085263" w14:textId="77777777" w:rsidR="00C462A0" w:rsidRDefault="00C462A0" w:rsidP="00980D68">
      <w:pPr>
        <w:spacing w:line="276" w:lineRule="auto"/>
        <w:rPr>
          <w:rFonts w:cstheme="minorHAnsi"/>
          <w:szCs w:val="20"/>
        </w:rPr>
      </w:pPr>
    </w:p>
    <w:p w14:paraId="2A78DF64" w14:textId="77777777" w:rsidR="00C462A0" w:rsidRDefault="00C462A0" w:rsidP="00980D68">
      <w:pPr>
        <w:spacing w:line="276" w:lineRule="auto"/>
        <w:rPr>
          <w:rFonts w:cstheme="minorHAnsi"/>
          <w:szCs w:val="20"/>
        </w:rPr>
      </w:pPr>
    </w:p>
    <w:p w14:paraId="0C2D9BEB" w14:textId="77777777" w:rsidR="00C462A0" w:rsidRDefault="00C462A0" w:rsidP="00980D68">
      <w:pPr>
        <w:spacing w:line="276" w:lineRule="auto"/>
        <w:rPr>
          <w:rFonts w:cstheme="minorHAnsi"/>
          <w:szCs w:val="20"/>
        </w:rPr>
      </w:pPr>
    </w:p>
    <w:p w14:paraId="788F0B80" w14:textId="77777777" w:rsidR="00C462A0" w:rsidRDefault="00C462A0" w:rsidP="00980D68">
      <w:pPr>
        <w:spacing w:line="276" w:lineRule="auto"/>
        <w:rPr>
          <w:rFonts w:cstheme="minorHAnsi"/>
          <w:szCs w:val="20"/>
        </w:rPr>
      </w:pPr>
    </w:p>
    <w:p w14:paraId="3509E4EA" w14:textId="77777777" w:rsidR="00C462A0" w:rsidRDefault="00C462A0" w:rsidP="00980D68">
      <w:pPr>
        <w:spacing w:line="276" w:lineRule="auto"/>
        <w:rPr>
          <w:rFonts w:cstheme="minorHAnsi"/>
          <w:szCs w:val="20"/>
        </w:rPr>
      </w:pPr>
    </w:p>
    <w:p w14:paraId="255848CB" w14:textId="77777777" w:rsidR="00C462A0" w:rsidRDefault="00C462A0" w:rsidP="00980D68">
      <w:pPr>
        <w:spacing w:line="276" w:lineRule="auto"/>
        <w:rPr>
          <w:rFonts w:cstheme="minorHAnsi"/>
          <w:szCs w:val="20"/>
        </w:rPr>
      </w:pPr>
    </w:p>
    <w:p w14:paraId="18EEBA94" w14:textId="77777777" w:rsidR="00C462A0" w:rsidRPr="00C462A0" w:rsidRDefault="00C462A0" w:rsidP="00980D68">
      <w:pPr>
        <w:spacing w:line="276" w:lineRule="auto"/>
        <w:rPr>
          <w:rFonts w:cstheme="minorHAnsi"/>
          <w:szCs w:val="20"/>
        </w:rPr>
      </w:pPr>
    </w:p>
    <w:p w14:paraId="743031C4" w14:textId="77777777" w:rsidR="00BB1CD7" w:rsidRPr="00C462A0" w:rsidRDefault="00BB1CD7" w:rsidP="00980D68">
      <w:pPr>
        <w:spacing w:line="276" w:lineRule="auto"/>
        <w:rPr>
          <w:rFonts w:cstheme="minorHAnsi"/>
          <w:szCs w:val="20"/>
        </w:rPr>
      </w:pPr>
    </w:p>
    <w:p w14:paraId="70484130" w14:textId="77777777" w:rsidR="00BB1CD7" w:rsidRPr="00C462A0" w:rsidRDefault="00BB1CD7" w:rsidP="00980D68">
      <w:pPr>
        <w:spacing w:line="276" w:lineRule="auto"/>
        <w:rPr>
          <w:rFonts w:cstheme="minorHAnsi"/>
          <w:szCs w:val="20"/>
        </w:rPr>
      </w:pPr>
    </w:p>
    <w:p w14:paraId="181090AC" w14:textId="77777777" w:rsidR="00BB1CD7" w:rsidRPr="00C462A0" w:rsidRDefault="00BB1CD7" w:rsidP="00980D68">
      <w:pPr>
        <w:spacing w:line="276" w:lineRule="auto"/>
        <w:rPr>
          <w:rFonts w:cstheme="minorHAnsi"/>
          <w:szCs w:val="20"/>
        </w:rPr>
      </w:pPr>
    </w:p>
    <w:p w14:paraId="55559129" w14:textId="3C5A1A17" w:rsidR="00531361" w:rsidRPr="00C462A0" w:rsidRDefault="00531361" w:rsidP="00980D68">
      <w:pPr>
        <w:pStyle w:val="Heading1"/>
        <w:numPr>
          <w:ilvl w:val="0"/>
          <w:numId w:val="0"/>
        </w:numPr>
        <w:spacing w:line="276" w:lineRule="auto"/>
        <w:ind w:left="426" w:hanging="360"/>
        <w:rPr>
          <w:sz w:val="40"/>
          <w:szCs w:val="40"/>
        </w:rPr>
      </w:pPr>
      <w:bookmarkStart w:id="23" w:name="_Toc227623405"/>
      <w:r w:rsidRPr="00C462A0">
        <w:rPr>
          <w:sz w:val="40"/>
          <w:szCs w:val="40"/>
        </w:rPr>
        <w:lastRenderedPageBreak/>
        <w:t xml:space="preserve">MODULE 2: </w:t>
      </w:r>
      <w:r w:rsidR="00877F0A" w:rsidRPr="00C462A0">
        <w:rPr>
          <w:sz w:val="40"/>
          <w:szCs w:val="40"/>
        </w:rPr>
        <w:t>Sustainable Systems Security</w:t>
      </w:r>
      <w:bookmarkEnd w:id="23"/>
    </w:p>
    <w:tbl>
      <w:tblPr>
        <w:tblStyle w:val="TableGrid"/>
        <w:tblW w:w="0" w:type="auto"/>
        <w:tblLook w:val="04A0" w:firstRow="1" w:lastRow="0" w:firstColumn="1" w:lastColumn="0" w:noHBand="0" w:noVBand="1"/>
      </w:tblPr>
      <w:tblGrid>
        <w:gridCol w:w="9628"/>
      </w:tblGrid>
      <w:tr w:rsidR="00531361" w:rsidRPr="00C462A0" w14:paraId="75F8FD5B" w14:textId="77777777" w:rsidTr="006203D4">
        <w:trPr>
          <w:trHeight w:val="300"/>
        </w:trPr>
        <w:tc>
          <w:tcPr>
            <w:tcW w:w="9628" w:type="dxa"/>
            <w:shd w:val="clear" w:color="auto" w:fill="D9D9D9" w:themeFill="background1" w:themeFillShade="D9"/>
          </w:tcPr>
          <w:p w14:paraId="221E0D82" w14:textId="75F7128F" w:rsidR="00531361" w:rsidRPr="00C462A0" w:rsidRDefault="00531361" w:rsidP="00980D68">
            <w:pPr>
              <w:spacing w:line="276" w:lineRule="auto"/>
              <w:rPr>
                <w:rFonts w:cstheme="minorHAnsi"/>
                <w:b/>
                <w:bCs/>
                <w:szCs w:val="20"/>
              </w:rPr>
            </w:pPr>
            <w:r w:rsidRPr="00C462A0">
              <w:rPr>
                <w:rFonts w:cstheme="minorHAnsi"/>
                <w:b/>
                <w:bCs/>
                <w:szCs w:val="20"/>
              </w:rPr>
              <w:t xml:space="preserve">Module Overview: </w:t>
            </w:r>
          </w:p>
        </w:tc>
      </w:tr>
      <w:tr w:rsidR="00877F0A" w:rsidRPr="00C462A0" w14:paraId="1A1BE7AE" w14:textId="77777777" w:rsidTr="006203D4">
        <w:trPr>
          <w:trHeight w:val="300"/>
        </w:trPr>
        <w:tc>
          <w:tcPr>
            <w:tcW w:w="9628" w:type="dxa"/>
          </w:tcPr>
          <w:p w14:paraId="6C1C70AF" w14:textId="5C46462E" w:rsidR="00877F0A" w:rsidRPr="00C462A0" w:rsidRDefault="00877F0A" w:rsidP="00877F0A">
            <w:pPr>
              <w:spacing w:after="160"/>
              <w:jc w:val="both"/>
              <w:rPr>
                <w:rFonts w:cstheme="minorHAnsi"/>
                <w:szCs w:val="20"/>
              </w:rPr>
            </w:pPr>
            <w:r w:rsidRPr="00C462A0">
              <w:t>This module explores cybersecurity challenges that are specific to sustainable digital infrastructures, including energy management systems, IoT environments, smart grids, and ESG platforms. It provides learners with sector-focused threat analysis and risk-modelling approaches to assess vulnerabilities and apply appropriate security frameworks in sustainability-driven contexts.</w:t>
            </w:r>
          </w:p>
        </w:tc>
      </w:tr>
      <w:tr w:rsidR="00877F0A" w:rsidRPr="00C462A0" w14:paraId="301F500E" w14:textId="77777777" w:rsidTr="00AA562D">
        <w:trPr>
          <w:trHeight w:val="300"/>
        </w:trPr>
        <w:tc>
          <w:tcPr>
            <w:tcW w:w="9628" w:type="dxa"/>
            <w:shd w:val="clear" w:color="auto" w:fill="D9D9D9" w:themeFill="background1" w:themeFillShade="D9"/>
          </w:tcPr>
          <w:p w14:paraId="3B93CCA9" w14:textId="48A164D4" w:rsidR="00877F0A" w:rsidRPr="00C462A0" w:rsidRDefault="00877F0A" w:rsidP="00877F0A">
            <w:pPr>
              <w:spacing w:line="276" w:lineRule="auto"/>
              <w:rPr>
                <w:rFonts w:cstheme="minorHAnsi"/>
                <w:szCs w:val="20"/>
              </w:rPr>
            </w:pPr>
            <w:r w:rsidRPr="00C462A0">
              <w:rPr>
                <w:rFonts w:cstheme="minorHAnsi"/>
                <w:b/>
                <w:bCs/>
                <w:szCs w:val="20"/>
              </w:rPr>
              <w:t>Module learning outcomes:</w:t>
            </w:r>
            <w:r w:rsidRPr="00C462A0">
              <w:rPr>
                <w:rFonts w:cstheme="minorHAnsi"/>
                <w:szCs w:val="20"/>
              </w:rPr>
              <w:t xml:space="preserve"> </w:t>
            </w:r>
          </w:p>
        </w:tc>
      </w:tr>
      <w:tr w:rsidR="00877F0A" w:rsidRPr="00C462A0" w14:paraId="66EE3D29" w14:textId="77777777" w:rsidTr="006203D4">
        <w:trPr>
          <w:trHeight w:val="300"/>
        </w:trPr>
        <w:tc>
          <w:tcPr>
            <w:tcW w:w="9628" w:type="dxa"/>
          </w:tcPr>
          <w:p w14:paraId="5E5827D7" w14:textId="77777777" w:rsidR="00877F0A" w:rsidRPr="00C462A0" w:rsidRDefault="00877F0A" w:rsidP="00877F0A">
            <w:pPr>
              <w:pStyle w:val="NoSpacing"/>
              <w:numPr>
                <w:ilvl w:val="0"/>
                <w:numId w:val="119"/>
              </w:numPr>
              <w:jc w:val="both"/>
              <w:rPr>
                <w:sz w:val="20"/>
                <w:szCs w:val="20"/>
                <w:lang w:val="en-GB"/>
              </w:rPr>
            </w:pPr>
            <w:r w:rsidRPr="00C462A0">
              <w:rPr>
                <w:sz w:val="20"/>
                <w:szCs w:val="20"/>
                <w:lang w:val="en-GB"/>
              </w:rPr>
              <w:t>Analyse sector-specific cybersecurity scenarios (e.g., energy systems, IoT, ESG platforms) and assess associated threat landscapes.</w:t>
            </w:r>
          </w:p>
          <w:p w14:paraId="76FD554B" w14:textId="77777777" w:rsidR="00877F0A" w:rsidRPr="00C462A0" w:rsidRDefault="00877F0A" w:rsidP="00877F0A">
            <w:pPr>
              <w:pStyle w:val="NoSpacing"/>
              <w:numPr>
                <w:ilvl w:val="0"/>
                <w:numId w:val="119"/>
              </w:numPr>
              <w:jc w:val="both"/>
              <w:rPr>
                <w:sz w:val="20"/>
                <w:szCs w:val="20"/>
                <w:lang w:val="en-GB"/>
              </w:rPr>
            </w:pPr>
            <w:r w:rsidRPr="00C462A0">
              <w:rPr>
                <w:sz w:val="20"/>
                <w:szCs w:val="20"/>
                <w:lang w:val="en-GB"/>
              </w:rPr>
              <w:t>Select and apply appropriate threat modelling techniques to evaluate risks within sustainable system environments.</w:t>
            </w:r>
          </w:p>
          <w:p w14:paraId="6FBE178D" w14:textId="77777777" w:rsidR="00877F0A" w:rsidRPr="00C462A0" w:rsidRDefault="00877F0A" w:rsidP="00877F0A">
            <w:pPr>
              <w:pStyle w:val="NoSpacing"/>
              <w:numPr>
                <w:ilvl w:val="0"/>
                <w:numId w:val="119"/>
              </w:numPr>
              <w:jc w:val="both"/>
              <w:rPr>
                <w:sz w:val="20"/>
                <w:szCs w:val="20"/>
                <w:lang w:val="en-GB"/>
              </w:rPr>
            </w:pPr>
            <w:r w:rsidRPr="00C462A0">
              <w:rPr>
                <w:sz w:val="20"/>
                <w:szCs w:val="20"/>
                <w:lang w:val="en-GB"/>
              </w:rPr>
              <w:t>Identify and assess cyber risks affecting ESG-related platforms and digital infrastructures.</w:t>
            </w:r>
          </w:p>
          <w:p w14:paraId="233C9A0A" w14:textId="6A9A7F6B" w:rsidR="00877F0A" w:rsidRPr="00C462A0" w:rsidRDefault="00877F0A" w:rsidP="00877F0A">
            <w:pPr>
              <w:numPr>
                <w:ilvl w:val="0"/>
                <w:numId w:val="119"/>
              </w:numPr>
              <w:spacing w:line="276" w:lineRule="auto"/>
              <w:jc w:val="both"/>
              <w:rPr>
                <w:rFonts w:cstheme="minorHAnsi"/>
                <w:szCs w:val="20"/>
              </w:rPr>
            </w:pPr>
            <w:r w:rsidRPr="00C462A0">
              <w:rPr>
                <w:szCs w:val="20"/>
              </w:rPr>
              <w:t>Select and justify suitable cybersecurity frameworks and implement a structured cyber risk modelling process for ESG contexts.</w:t>
            </w:r>
          </w:p>
        </w:tc>
      </w:tr>
      <w:tr w:rsidR="00877F0A" w:rsidRPr="00C462A0" w14:paraId="328152AE" w14:textId="77777777" w:rsidTr="00AA562D">
        <w:trPr>
          <w:trHeight w:val="400"/>
        </w:trPr>
        <w:tc>
          <w:tcPr>
            <w:tcW w:w="9628" w:type="dxa"/>
            <w:shd w:val="clear" w:color="auto" w:fill="D9D9D9" w:themeFill="background1" w:themeFillShade="D9"/>
          </w:tcPr>
          <w:p w14:paraId="094B8D88" w14:textId="55D92A15" w:rsidR="00877F0A" w:rsidRPr="00C462A0" w:rsidRDefault="00877F0A" w:rsidP="00877F0A">
            <w:pPr>
              <w:spacing w:line="276" w:lineRule="auto"/>
              <w:rPr>
                <w:rFonts w:cstheme="minorHAnsi"/>
                <w:b/>
                <w:bCs/>
                <w:szCs w:val="20"/>
              </w:rPr>
            </w:pPr>
            <w:r w:rsidRPr="00C462A0">
              <w:rPr>
                <w:rFonts w:cstheme="minorHAnsi"/>
                <w:b/>
                <w:bCs/>
                <w:szCs w:val="20"/>
              </w:rPr>
              <w:t>Estimated workload:</w:t>
            </w:r>
          </w:p>
        </w:tc>
      </w:tr>
      <w:tr w:rsidR="00877F0A" w:rsidRPr="00C462A0" w14:paraId="1215A353" w14:textId="77777777" w:rsidTr="006203D4">
        <w:trPr>
          <w:trHeight w:val="550"/>
        </w:trPr>
        <w:tc>
          <w:tcPr>
            <w:tcW w:w="9628" w:type="dxa"/>
            <w:vMerge w:val="restart"/>
          </w:tcPr>
          <w:p w14:paraId="7DC22138" w14:textId="1A78196E" w:rsidR="00877F0A" w:rsidRPr="00C462A0" w:rsidRDefault="00877F0A" w:rsidP="00877F0A">
            <w:pPr>
              <w:pStyle w:val="NoSpacing"/>
              <w:jc w:val="both"/>
              <w:rPr>
                <w:lang w:val="en-GB"/>
              </w:rPr>
            </w:pPr>
            <w:r w:rsidRPr="00C462A0">
              <w:rPr>
                <w:lang w:val="en-GB"/>
              </w:rPr>
              <w:t>Lecture hours (F2F):  8 hours</w:t>
            </w:r>
          </w:p>
          <w:p w14:paraId="1B8149F2" w14:textId="77777777" w:rsidR="00877F0A" w:rsidRPr="00C462A0" w:rsidRDefault="00877F0A" w:rsidP="00877F0A">
            <w:pPr>
              <w:pStyle w:val="NoSpacing"/>
              <w:jc w:val="both"/>
              <w:rPr>
                <w:lang w:val="en-GB"/>
              </w:rPr>
            </w:pPr>
            <w:r w:rsidRPr="00C462A0">
              <w:rPr>
                <w:lang w:val="en-GB"/>
              </w:rPr>
              <w:t xml:space="preserve">Self-study: 8 hours </w:t>
            </w:r>
          </w:p>
          <w:p w14:paraId="49FE9245" w14:textId="77777777" w:rsidR="00877F0A" w:rsidRPr="00C462A0" w:rsidRDefault="00877F0A" w:rsidP="00877F0A">
            <w:pPr>
              <w:pStyle w:val="NoSpacing"/>
              <w:jc w:val="both"/>
              <w:rPr>
                <w:lang w:val="en-GB"/>
              </w:rPr>
            </w:pPr>
            <w:r w:rsidRPr="00C462A0">
              <w:rPr>
                <w:lang w:val="en-GB"/>
              </w:rPr>
              <w:t>Practical application (if applicable): 6 hours</w:t>
            </w:r>
          </w:p>
          <w:p w14:paraId="2859A4D7" w14:textId="463E343D" w:rsidR="00877F0A" w:rsidRPr="00C462A0" w:rsidRDefault="00877F0A" w:rsidP="00877F0A">
            <w:pPr>
              <w:spacing w:line="276" w:lineRule="auto"/>
              <w:jc w:val="both"/>
              <w:rPr>
                <w:rFonts w:cstheme="minorHAnsi"/>
                <w:szCs w:val="20"/>
              </w:rPr>
            </w:pPr>
            <w:r w:rsidRPr="00C462A0">
              <w:t>Assessment link: This module contributes the sector-specific threat analysis, vulnerability evaluation, and framework alignment components required for the Capstone Project.</w:t>
            </w:r>
          </w:p>
        </w:tc>
      </w:tr>
      <w:tr w:rsidR="00877F0A" w:rsidRPr="00C462A0" w14:paraId="7D93E434" w14:textId="77777777" w:rsidTr="00AA562D">
        <w:trPr>
          <w:trHeight w:val="326"/>
        </w:trPr>
        <w:tc>
          <w:tcPr>
            <w:tcW w:w="9628" w:type="dxa"/>
            <w:shd w:val="clear" w:color="auto" w:fill="D9D9D9" w:themeFill="background1" w:themeFillShade="D9"/>
          </w:tcPr>
          <w:p w14:paraId="759F5BDB" w14:textId="1A01E5CA" w:rsidR="00877F0A" w:rsidRPr="00C462A0" w:rsidRDefault="00877F0A" w:rsidP="00877F0A">
            <w:pPr>
              <w:spacing w:line="276" w:lineRule="auto"/>
              <w:rPr>
                <w:rFonts w:cstheme="minorHAnsi"/>
                <w:b/>
                <w:bCs/>
                <w:szCs w:val="20"/>
              </w:rPr>
            </w:pPr>
            <w:r w:rsidRPr="00C462A0">
              <w:rPr>
                <w:rFonts w:cstheme="minorHAnsi"/>
                <w:b/>
                <w:bCs/>
                <w:szCs w:val="20"/>
              </w:rPr>
              <w:t>Practical focus / deliverable:</w:t>
            </w:r>
          </w:p>
        </w:tc>
      </w:tr>
      <w:tr w:rsidR="00877F0A" w:rsidRPr="00C462A0" w14:paraId="7A4507B5" w14:textId="77777777" w:rsidTr="006203D4">
        <w:trPr>
          <w:trHeight w:val="550"/>
        </w:trPr>
        <w:tc>
          <w:tcPr>
            <w:tcW w:w="9628" w:type="dxa"/>
          </w:tcPr>
          <w:p w14:paraId="63276B1C" w14:textId="29F07B1E" w:rsidR="00877F0A" w:rsidRPr="00C462A0" w:rsidRDefault="00877F0A" w:rsidP="00877F0A">
            <w:pPr>
              <w:spacing w:after="160" w:line="276" w:lineRule="auto"/>
              <w:jc w:val="both"/>
              <w:rPr>
                <w:rFonts w:cstheme="minorHAnsi"/>
                <w:szCs w:val="20"/>
              </w:rPr>
            </w:pPr>
            <w:r w:rsidRPr="00C462A0">
              <w:t>Learners carry out a structured threat landscape analysis for the assigned sustainable system case study, identify sector-specific vulnerabilities, and align mitigation measures with an appropriate cybersecurity framework.</w:t>
            </w:r>
          </w:p>
        </w:tc>
      </w:tr>
    </w:tbl>
    <w:p w14:paraId="6AE28D10" w14:textId="77777777" w:rsidR="00AA562D" w:rsidRPr="00C462A0" w:rsidRDefault="00AA562D" w:rsidP="00980D68">
      <w:pPr>
        <w:spacing w:line="276" w:lineRule="auto"/>
      </w:pPr>
      <w:r w:rsidRPr="00C462A0">
        <w:br w:type="page"/>
      </w:r>
    </w:p>
    <w:tbl>
      <w:tblPr>
        <w:tblStyle w:val="TableGrid"/>
        <w:tblW w:w="0" w:type="auto"/>
        <w:tblLook w:val="04A0" w:firstRow="1" w:lastRow="0" w:firstColumn="1" w:lastColumn="0" w:noHBand="0" w:noVBand="1"/>
      </w:tblPr>
      <w:tblGrid>
        <w:gridCol w:w="9628"/>
      </w:tblGrid>
      <w:tr w:rsidR="00877F0A" w:rsidRPr="00C462A0" w14:paraId="2A25B1B5" w14:textId="77777777" w:rsidTr="00877F0A">
        <w:trPr>
          <w:trHeight w:val="300"/>
        </w:trPr>
        <w:tc>
          <w:tcPr>
            <w:tcW w:w="9628" w:type="dxa"/>
          </w:tcPr>
          <w:p w14:paraId="3AF6D3BC" w14:textId="3EB5A755" w:rsidR="00877F0A" w:rsidRPr="00C462A0" w:rsidRDefault="00877F0A" w:rsidP="00877F0A">
            <w:pPr>
              <w:pStyle w:val="Heading2"/>
              <w:numPr>
                <w:ilvl w:val="0"/>
                <w:numId w:val="0"/>
              </w:numPr>
              <w:rPr>
                <w:b/>
                <w:bCs/>
              </w:rPr>
            </w:pPr>
            <w:bookmarkStart w:id="24" w:name="_Toc227623406"/>
            <w:r w:rsidRPr="00C462A0">
              <w:rPr>
                <w:b/>
                <w:bCs/>
              </w:rPr>
              <w:lastRenderedPageBreak/>
              <w:t>Topic 2.1: Threat Landscape of Energy Management Systems</w:t>
            </w:r>
            <w:bookmarkEnd w:id="24"/>
          </w:p>
        </w:tc>
      </w:tr>
      <w:tr w:rsidR="00877F0A" w:rsidRPr="00C462A0" w14:paraId="28885DCE" w14:textId="77777777" w:rsidTr="00877F0A">
        <w:trPr>
          <w:trHeight w:val="300"/>
        </w:trPr>
        <w:tc>
          <w:tcPr>
            <w:tcW w:w="9628" w:type="dxa"/>
            <w:shd w:val="clear" w:color="auto" w:fill="D9D9D9" w:themeFill="background1" w:themeFillShade="D9"/>
          </w:tcPr>
          <w:p w14:paraId="2FA35889" w14:textId="507C9EF5" w:rsidR="00877F0A" w:rsidRPr="00C462A0" w:rsidRDefault="00877F0A" w:rsidP="00877F0A">
            <w:pPr>
              <w:pStyle w:val="NormalWeb"/>
              <w:spacing w:before="0" w:beforeAutospacing="0" w:after="0" w:afterAutospacing="0"/>
              <w:jc w:val="both"/>
              <w:rPr>
                <w:rFonts w:asciiTheme="minorHAnsi" w:hAnsiTheme="minorHAnsi" w:cstheme="minorHAnsi"/>
                <w:b/>
                <w:iCs/>
                <w:sz w:val="20"/>
                <w:szCs w:val="20"/>
                <w:lang w:val="en-GB"/>
              </w:rPr>
            </w:pPr>
            <w:r w:rsidRPr="00C462A0">
              <w:rPr>
                <w:rFonts w:asciiTheme="minorHAnsi" w:hAnsiTheme="minorHAnsi" w:cstheme="minorHAnsi"/>
                <w:b/>
                <w:iCs/>
                <w:sz w:val="20"/>
                <w:szCs w:val="20"/>
                <w:lang w:val="en-GB"/>
              </w:rPr>
              <w:t>Short introduction:</w:t>
            </w:r>
          </w:p>
        </w:tc>
      </w:tr>
      <w:tr w:rsidR="00877F0A" w:rsidRPr="00C462A0" w14:paraId="5410FC01" w14:textId="77777777" w:rsidTr="00877F0A">
        <w:trPr>
          <w:trHeight w:val="300"/>
        </w:trPr>
        <w:tc>
          <w:tcPr>
            <w:tcW w:w="9628" w:type="dxa"/>
          </w:tcPr>
          <w:p w14:paraId="6D543F65" w14:textId="6E33AE93" w:rsidR="00877F0A" w:rsidRPr="00C462A0" w:rsidRDefault="00877F0A" w:rsidP="00877F0A">
            <w:pPr>
              <w:pStyle w:val="NormalWeb"/>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Energy Management Systems (EMS) play a central role in monitoring, controlling, and optimising energy production and consumption across industrial facilities, smart grids, and renewable energy infrastructures. As these systems continue to integrate IoT devices, cloud platforms, and remote access capabilities, their exposure to cyber threats increases significantly. Understanding the threat landscape surrounding EMS is therefore essential to maintaining operational resilience, sustainability, and regulatory compliance.</w:t>
            </w:r>
          </w:p>
        </w:tc>
      </w:tr>
      <w:tr w:rsidR="00877F0A" w:rsidRPr="00C462A0" w14:paraId="43E9A8DB" w14:textId="77777777" w:rsidTr="00877F0A">
        <w:trPr>
          <w:trHeight w:val="300"/>
        </w:trPr>
        <w:tc>
          <w:tcPr>
            <w:tcW w:w="9628" w:type="dxa"/>
            <w:shd w:val="clear" w:color="auto" w:fill="D9D9D9" w:themeFill="background1" w:themeFillShade="D9"/>
          </w:tcPr>
          <w:p w14:paraId="606954DE" w14:textId="4CB27C45" w:rsidR="00877F0A" w:rsidRPr="00C462A0" w:rsidRDefault="00877F0A" w:rsidP="00877F0A">
            <w:pPr>
              <w:rPr>
                <w:rFonts w:cstheme="minorHAnsi"/>
                <w:b/>
                <w:szCs w:val="20"/>
              </w:rPr>
            </w:pPr>
            <w:r w:rsidRPr="00C462A0">
              <w:rPr>
                <w:rFonts w:cstheme="minorHAnsi"/>
                <w:b/>
                <w:szCs w:val="20"/>
              </w:rPr>
              <w:t xml:space="preserve">Theory &amp; Knowledge: </w:t>
            </w:r>
          </w:p>
        </w:tc>
      </w:tr>
      <w:tr w:rsidR="00877F0A" w:rsidRPr="00C462A0" w14:paraId="2396F487" w14:textId="77777777" w:rsidTr="00877F0A">
        <w:trPr>
          <w:trHeight w:val="300"/>
        </w:trPr>
        <w:tc>
          <w:tcPr>
            <w:tcW w:w="9628" w:type="dxa"/>
          </w:tcPr>
          <w:p w14:paraId="733590D5" w14:textId="77777777" w:rsidR="00877F0A" w:rsidRPr="00C462A0" w:rsidRDefault="00877F0A" w:rsidP="00877F0A">
            <w:pPr>
              <w:jc w:val="both"/>
              <w:rPr>
                <w:rFonts w:cstheme="minorHAnsi"/>
                <w:iCs/>
                <w:szCs w:val="20"/>
              </w:rPr>
            </w:pPr>
            <w:r w:rsidRPr="00C462A0">
              <w:rPr>
                <w:rFonts w:cstheme="minorHAnsi"/>
                <w:iCs/>
                <w:szCs w:val="20"/>
              </w:rPr>
              <w:t>Energy Management Systems combine Information Technology (IT) components, such as cloud dashboards and analytics platforms, with Operational Technology (OT), including smart meters, Programmable Logic Controllers (PLCs), and supervisory control systems. This convergence improves efficiency and sustainability, but it also introduces more complex attack surfaces.</w:t>
            </w:r>
          </w:p>
          <w:p w14:paraId="69023762" w14:textId="77777777" w:rsidR="00877F0A" w:rsidRPr="00C462A0" w:rsidRDefault="00877F0A" w:rsidP="00877F0A">
            <w:pPr>
              <w:pStyle w:val="NormalWeb"/>
              <w:spacing w:before="40" w:beforeAutospacing="0" w:after="4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Unlike traditional IT systems, EMS environments often operate in real time and support critical infrastructure. Any disruption can directly affect energy distribution, industrial processes, or renewable energy generation. For this reason, the threat landscape should be assessed not only from a technical perspective but also in terms of safety, environmental stability, and broader societal impact.</w:t>
            </w:r>
          </w:p>
          <w:p w14:paraId="15139C1F" w14:textId="41933F3F" w:rsidR="00877F0A" w:rsidRPr="00C462A0" w:rsidRDefault="00877F0A" w:rsidP="00877F0A">
            <w:pPr>
              <w:pStyle w:val="NormalWeb"/>
              <w:numPr>
                <w:ilvl w:val="0"/>
                <w:numId w:val="306"/>
              </w:numPr>
              <w:spacing w:before="40" w:beforeAutospacing="0" w:after="0" w:afterAutospacing="0"/>
              <w:jc w:val="both"/>
              <w:rPr>
                <w:rFonts w:asciiTheme="minorHAnsi" w:hAnsiTheme="minorHAnsi" w:cstheme="minorHAnsi"/>
                <w:b/>
                <w:bCs/>
                <w:color w:val="009889" w:themeColor="accent2"/>
                <w:sz w:val="20"/>
                <w:szCs w:val="20"/>
                <w:lang w:val="en-GB" w:eastAsia="en-GB"/>
              </w:rPr>
            </w:pPr>
            <w:r w:rsidRPr="00C462A0">
              <w:rPr>
                <w:rFonts w:asciiTheme="minorHAnsi" w:hAnsiTheme="minorHAnsi" w:cstheme="minorHAnsi"/>
                <w:b/>
                <w:bCs/>
                <w:color w:val="009889" w:themeColor="accent2"/>
                <w:sz w:val="20"/>
                <w:szCs w:val="20"/>
                <w:lang w:val="en-GB" w:eastAsia="en-GB"/>
              </w:rPr>
              <w:t>Structural Characteristics of EMS Environments</w:t>
            </w:r>
          </w:p>
          <w:p w14:paraId="2C590BDB" w14:textId="77777777" w:rsidR="00877F0A" w:rsidRPr="00C462A0" w:rsidRDefault="00877F0A" w:rsidP="00B84598">
            <w:pPr>
              <w:rPr>
                <w:b/>
                <w:bCs/>
                <w:lang w:eastAsia="en-GB"/>
              </w:rPr>
            </w:pPr>
            <w:r w:rsidRPr="00C462A0">
              <w:t>Energy Management Systems typically include:</w:t>
            </w:r>
          </w:p>
          <w:p w14:paraId="6F28AC0B" w14:textId="77777777" w:rsidR="00877F0A" w:rsidRPr="00C462A0" w:rsidRDefault="00877F0A" w:rsidP="00B84598">
            <w:pPr>
              <w:pStyle w:val="ListParagraph"/>
              <w:numPr>
                <w:ilvl w:val="0"/>
                <w:numId w:val="427"/>
              </w:numPr>
            </w:pPr>
            <w:r w:rsidRPr="00C462A0">
              <w:t>Field devices, such as sensors, smart meters, smart meter gateways, and actuators.</w:t>
            </w:r>
          </w:p>
          <w:p w14:paraId="065D19E3" w14:textId="77777777" w:rsidR="00877F0A" w:rsidRPr="00C462A0" w:rsidRDefault="00877F0A" w:rsidP="00B84598">
            <w:pPr>
              <w:pStyle w:val="ListParagraph"/>
              <w:numPr>
                <w:ilvl w:val="0"/>
                <w:numId w:val="427"/>
              </w:numPr>
            </w:pPr>
            <w:r w:rsidRPr="00C462A0">
              <w:t>Control systems, including SCADA components and PLCs.</w:t>
            </w:r>
          </w:p>
          <w:p w14:paraId="3CB6BE8E" w14:textId="77777777" w:rsidR="00877F0A" w:rsidRPr="00C462A0" w:rsidRDefault="00877F0A" w:rsidP="00B84598">
            <w:pPr>
              <w:pStyle w:val="ListParagraph"/>
              <w:numPr>
                <w:ilvl w:val="0"/>
                <w:numId w:val="427"/>
              </w:numPr>
            </w:pPr>
            <w:r w:rsidRPr="00C462A0">
              <w:t>Communication networks, often based on legacy protocols.</w:t>
            </w:r>
          </w:p>
          <w:p w14:paraId="49B9240E" w14:textId="77777777" w:rsidR="00877F0A" w:rsidRPr="00C462A0" w:rsidRDefault="00877F0A" w:rsidP="00B84598">
            <w:pPr>
              <w:pStyle w:val="ListParagraph"/>
              <w:numPr>
                <w:ilvl w:val="0"/>
                <w:numId w:val="427"/>
              </w:numPr>
            </w:pPr>
            <w:r w:rsidRPr="00C462A0">
              <w:t>Centralised monitoring and analytics platforms.</w:t>
            </w:r>
          </w:p>
          <w:p w14:paraId="5EA8F816" w14:textId="77777777" w:rsidR="00877F0A" w:rsidRPr="00C462A0" w:rsidRDefault="00877F0A" w:rsidP="00B84598">
            <w:pPr>
              <w:pStyle w:val="ListParagraph"/>
              <w:numPr>
                <w:ilvl w:val="0"/>
                <w:numId w:val="427"/>
              </w:numPr>
            </w:pPr>
            <w:r w:rsidRPr="00C462A0">
              <w:t>Remote maintenance interfaces.</w:t>
            </w:r>
          </w:p>
          <w:p w14:paraId="06F504F7" w14:textId="00CC2CB5" w:rsidR="00B84598" w:rsidRPr="00C462A0" w:rsidRDefault="00877F0A" w:rsidP="00B84598">
            <w:pPr>
              <w:spacing w:after="160"/>
            </w:pPr>
            <w:r w:rsidRPr="00C462A0">
              <w:t>The coexistence of legacy OT technologies and modern IP-based systems creates hybrid environments that may lack consistent security controls. Legacy devices often rely on limited authentication mechanisms or unencrypted communication, increasing overall vulnerability.</w:t>
            </w:r>
          </w:p>
          <w:p w14:paraId="74050F9A" w14:textId="49087B2C" w:rsidR="00877F0A" w:rsidRPr="00C462A0" w:rsidRDefault="00877F0A" w:rsidP="00210B7E">
            <w:pPr>
              <w:pStyle w:val="NormalWeb"/>
              <w:keepNext/>
              <w:spacing w:before="40" w:beforeAutospacing="0" w:after="40"/>
              <w:jc w:val="center"/>
              <w:rPr>
                <w:rFonts w:asciiTheme="minorHAnsi" w:hAnsiTheme="minorHAnsi" w:cstheme="minorHAnsi"/>
                <w:sz w:val="20"/>
                <w:szCs w:val="20"/>
                <w:lang w:val="en-GB"/>
              </w:rPr>
            </w:pPr>
            <w:r w:rsidRPr="00C462A0">
              <w:rPr>
                <w:rFonts w:asciiTheme="minorHAnsi" w:hAnsiTheme="minorHAnsi" w:cstheme="minorHAnsi"/>
                <w:noProof/>
                <w:sz w:val="20"/>
                <w:szCs w:val="20"/>
                <w:lang w:val="en-GB"/>
              </w:rPr>
              <w:drawing>
                <wp:inline distT="0" distB="0" distL="0" distR="0" wp14:anchorId="226354C6" wp14:editId="48793A22">
                  <wp:extent cx="3434756" cy="2609850"/>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rotWithShape="1">
                          <a:blip r:embed="rId45">
                            <a:extLst>
                              <a:ext uri="{BEBA8EAE-BF5A-486C-A8C5-ECC9F3942E4B}">
                                <a14:imgProps xmlns:a14="http://schemas.microsoft.com/office/drawing/2010/main">
                                  <a14:imgLayer r:embed="rId46">
                                    <a14:imgEffect>
                                      <a14:sharpenSoften amount="25000"/>
                                    </a14:imgEffect>
                                  </a14:imgLayer>
                                </a14:imgProps>
                              </a:ext>
                            </a:extLst>
                          </a:blip>
                          <a:srcRect l="18364" t="12186" r="18370" b="15691"/>
                          <a:stretch>
                            <a:fillRect/>
                          </a:stretch>
                        </pic:blipFill>
                        <pic:spPr bwMode="auto">
                          <a:xfrm>
                            <a:off x="0" y="0"/>
                            <a:ext cx="3455845" cy="2625874"/>
                          </a:xfrm>
                          <a:prstGeom prst="rect">
                            <a:avLst/>
                          </a:prstGeom>
                          <a:noFill/>
                          <a:ln>
                            <a:noFill/>
                          </a:ln>
                          <a:extLst>
                            <a:ext uri="{53640926-AAD7-44D8-BBD7-CCE9431645EC}">
                              <a14:shadowObscured xmlns:a14="http://schemas.microsoft.com/office/drawing/2010/main"/>
                            </a:ext>
                          </a:extLst>
                        </pic:spPr>
                      </pic:pic>
                    </a:graphicData>
                  </a:graphic>
                </wp:inline>
              </w:drawing>
            </w:r>
          </w:p>
          <w:p w14:paraId="09CB4B42" w14:textId="77777777" w:rsidR="00B84598" w:rsidRDefault="00B84598" w:rsidP="00877F0A">
            <w:pPr>
              <w:pStyle w:val="Caption"/>
              <w:jc w:val="center"/>
              <w:rPr>
                <w:rFonts w:cstheme="minorHAnsi"/>
                <w:b w:val="0"/>
                <w:bCs w:val="0"/>
                <w:sz w:val="18"/>
                <w:szCs w:val="18"/>
              </w:rPr>
            </w:pPr>
            <w:bookmarkStart w:id="25" w:name="_Toc227623445"/>
          </w:p>
          <w:p w14:paraId="01347E16" w14:textId="3662DD29" w:rsidR="00877F0A" w:rsidRPr="00C462A0" w:rsidRDefault="00877F0A" w:rsidP="00B84598">
            <w:pPr>
              <w:pStyle w:val="Caption"/>
              <w:jc w:val="center"/>
              <w:rPr>
                <w:rFonts w:cstheme="minorHAnsi"/>
                <w:b w:val="0"/>
                <w:bCs w:val="0"/>
                <w:sz w:val="18"/>
                <w:szCs w:val="18"/>
              </w:rPr>
            </w:pPr>
            <w:r w:rsidRPr="00C462A0">
              <w:rPr>
                <w:rFonts w:cstheme="minorHAnsi"/>
                <w:b w:val="0"/>
                <w:bCs w:val="0"/>
                <w:sz w:val="18"/>
                <w:szCs w:val="18"/>
              </w:rPr>
              <w:lastRenderedPageBreak/>
              <w:t xml:space="preserve">Figure </w:t>
            </w:r>
            <w:r w:rsidRPr="00C462A0">
              <w:rPr>
                <w:rFonts w:cstheme="minorHAnsi"/>
                <w:b w:val="0"/>
                <w:bCs w:val="0"/>
                <w:sz w:val="18"/>
                <w:szCs w:val="18"/>
              </w:rPr>
              <w:fldChar w:fldCharType="begin"/>
            </w:r>
            <w:r w:rsidRPr="00C462A0">
              <w:rPr>
                <w:rFonts w:cstheme="minorHAnsi"/>
                <w:b w:val="0"/>
                <w:bCs w:val="0"/>
                <w:sz w:val="18"/>
                <w:szCs w:val="18"/>
              </w:rPr>
              <w:instrText xml:space="preserve"> SEQ Figure \* ARABIC </w:instrText>
            </w:r>
            <w:r w:rsidRPr="00C462A0">
              <w:rPr>
                <w:rFonts w:cstheme="minorHAnsi"/>
                <w:b w:val="0"/>
                <w:bCs w:val="0"/>
                <w:sz w:val="18"/>
                <w:szCs w:val="18"/>
              </w:rPr>
              <w:fldChar w:fldCharType="separate"/>
            </w:r>
            <w:r w:rsidRPr="00C462A0">
              <w:rPr>
                <w:rFonts w:cstheme="minorHAnsi"/>
                <w:b w:val="0"/>
                <w:bCs w:val="0"/>
                <w:sz w:val="18"/>
                <w:szCs w:val="18"/>
              </w:rPr>
              <w:t>8</w:t>
            </w:r>
            <w:r w:rsidRPr="00C462A0">
              <w:rPr>
                <w:rFonts w:cstheme="minorHAnsi"/>
                <w:b w:val="0"/>
                <w:bCs w:val="0"/>
                <w:sz w:val="18"/>
                <w:szCs w:val="18"/>
              </w:rPr>
              <w:fldChar w:fldCharType="end"/>
            </w:r>
            <w:r w:rsidRPr="00C462A0">
              <w:rPr>
                <w:rFonts w:cstheme="minorHAnsi"/>
                <w:b w:val="0"/>
                <w:bCs w:val="0"/>
                <w:sz w:val="18"/>
                <w:szCs w:val="18"/>
              </w:rPr>
              <w:t>. Layered architecture of an energy management system. Field devices, control systems, networks, and cloud analytics interact to support monitoring and operational management (source: Author)</w:t>
            </w:r>
            <w:bookmarkEnd w:id="25"/>
          </w:p>
          <w:p w14:paraId="24278F28" w14:textId="77777777" w:rsidR="00B84598" w:rsidRDefault="00B84598" w:rsidP="00B84598">
            <w:pPr>
              <w:jc w:val="both"/>
              <w:rPr>
                <w:i/>
                <w:iCs/>
                <w:sz w:val="18"/>
                <w:szCs w:val="20"/>
              </w:rPr>
            </w:pPr>
          </w:p>
          <w:p w14:paraId="376E350C" w14:textId="6714CDC9" w:rsidR="00B84598" w:rsidRPr="00B84598" w:rsidRDefault="00B84598" w:rsidP="00B84598">
            <w:pPr>
              <w:jc w:val="both"/>
              <w:rPr>
                <w:i/>
                <w:iCs/>
                <w:sz w:val="18"/>
                <w:szCs w:val="20"/>
              </w:rPr>
            </w:pPr>
            <w:r w:rsidRPr="00B84598">
              <w:rPr>
                <w:i/>
                <w:iCs/>
                <w:sz w:val="18"/>
                <w:szCs w:val="20"/>
              </w:rPr>
              <w:t>This diagram</w:t>
            </w:r>
            <w:r w:rsidRPr="00B84598">
              <w:rPr>
                <w:i/>
                <w:iCs/>
                <w:sz w:val="18"/>
                <w:szCs w:val="20"/>
              </w:rPr>
              <w:t xml:space="preserve"> above</w:t>
            </w:r>
            <w:r w:rsidRPr="00B84598">
              <w:rPr>
                <w:i/>
                <w:iCs/>
                <w:sz w:val="18"/>
                <w:szCs w:val="20"/>
              </w:rPr>
              <w:t xml:space="preserve"> illustrates the hierarchical architecture of an Energy Management System (EMS), detailing the data flow from physical hardware to cloud analytics.</w:t>
            </w:r>
            <w:r w:rsidRPr="00B84598">
              <w:rPr>
                <w:i/>
                <w:iCs/>
                <w:sz w:val="18"/>
                <w:szCs w:val="20"/>
              </w:rPr>
              <w:t xml:space="preserve"> </w:t>
            </w:r>
            <w:r w:rsidRPr="00B84598">
              <w:rPr>
                <w:i/>
                <w:iCs/>
                <w:sz w:val="18"/>
                <w:szCs w:val="20"/>
              </w:rPr>
              <w:t>The Hierarchical Layers</w:t>
            </w:r>
            <w:r w:rsidRPr="00B84598">
              <w:rPr>
                <w:i/>
                <w:iCs/>
                <w:sz w:val="18"/>
                <w:szCs w:val="20"/>
              </w:rPr>
              <w:t xml:space="preserve">. </w:t>
            </w:r>
            <w:r w:rsidRPr="00B84598">
              <w:rPr>
                <w:i/>
                <w:iCs/>
                <w:sz w:val="18"/>
                <w:szCs w:val="20"/>
              </w:rPr>
              <w:t>Field Devices: Sensors, smart meters, and PLCs collect raw data on utility usage and local machine operations.</w:t>
            </w:r>
            <w:r w:rsidRPr="00B84598">
              <w:rPr>
                <w:i/>
                <w:iCs/>
                <w:sz w:val="18"/>
                <w:szCs w:val="20"/>
              </w:rPr>
              <w:t xml:space="preserve"> </w:t>
            </w:r>
            <w:r w:rsidRPr="00B84598">
              <w:rPr>
                <w:i/>
                <w:iCs/>
                <w:sz w:val="18"/>
                <w:szCs w:val="20"/>
              </w:rPr>
              <w:t>Control Systems (SCADA): The "local brain" that monitors data in real-time and provides a human-machine interface for on-site equipment control.</w:t>
            </w:r>
            <w:r w:rsidRPr="00B84598">
              <w:rPr>
                <w:i/>
                <w:iCs/>
                <w:sz w:val="18"/>
                <w:szCs w:val="20"/>
              </w:rPr>
              <w:t xml:space="preserve"> </w:t>
            </w:r>
            <w:r w:rsidRPr="00B84598">
              <w:rPr>
                <w:i/>
                <w:iCs/>
                <w:sz w:val="18"/>
                <w:szCs w:val="20"/>
              </w:rPr>
              <w:t>Communication Network: Bridges hardware to the internet using industrial protocols (Modbus/BACnet) and secure routing.</w:t>
            </w:r>
            <w:r w:rsidRPr="00B84598">
              <w:rPr>
                <w:i/>
                <w:iCs/>
                <w:sz w:val="18"/>
                <w:szCs w:val="20"/>
              </w:rPr>
              <w:t xml:space="preserve"> </w:t>
            </w:r>
            <w:r w:rsidRPr="00B84598">
              <w:rPr>
                <w:i/>
                <w:iCs/>
                <w:sz w:val="18"/>
                <w:szCs w:val="20"/>
              </w:rPr>
              <w:t>Cloud &amp; Dashboard: Processes data for long-term storage and advanced analytics, visualizing performance through reports and alerts.</w:t>
            </w:r>
            <w:r w:rsidRPr="00B84598">
              <w:rPr>
                <w:i/>
                <w:iCs/>
                <w:sz w:val="18"/>
                <w:szCs w:val="20"/>
              </w:rPr>
              <w:t xml:space="preserve"> </w:t>
            </w:r>
          </w:p>
          <w:p w14:paraId="07B3B839" w14:textId="77777777" w:rsidR="00B84598" w:rsidRDefault="00B84598" w:rsidP="00B84598">
            <w:pPr>
              <w:rPr>
                <w:rFonts w:cstheme="minorHAnsi"/>
                <w:iCs/>
                <w:szCs w:val="20"/>
              </w:rPr>
            </w:pPr>
          </w:p>
          <w:p w14:paraId="55D5BE46" w14:textId="19F5D9DD" w:rsidR="00877F0A" w:rsidRPr="00C462A0" w:rsidRDefault="00877F0A" w:rsidP="00B84598">
            <w:pPr>
              <w:rPr>
                <w:rFonts w:cstheme="minorHAnsi"/>
                <w:iCs/>
                <w:szCs w:val="20"/>
              </w:rPr>
            </w:pPr>
            <w:r w:rsidRPr="00C462A0">
              <w:rPr>
                <w:rFonts w:cstheme="minorHAnsi"/>
                <w:iCs/>
                <w:szCs w:val="20"/>
              </w:rPr>
              <w:t>The network types of an EMS are several, as shown in the picture below</w:t>
            </w:r>
          </w:p>
          <w:p w14:paraId="03F16AB0" w14:textId="77777777" w:rsidR="00877F0A" w:rsidRPr="00C462A0" w:rsidRDefault="00877F0A" w:rsidP="00210B7E">
            <w:pPr>
              <w:pStyle w:val="NormalWeb"/>
              <w:keepNext/>
              <w:spacing w:before="40" w:beforeAutospacing="0" w:after="40"/>
              <w:jc w:val="center"/>
              <w:rPr>
                <w:rFonts w:asciiTheme="minorHAnsi" w:hAnsiTheme="minorHAnsi" w:cstheme="minorHAnsi"/>
                <w:sz w:val="20"/>
                <w:szCs w:val="20"/>
                <w:lang w:val="en-GB"/>
              </w:rPr>
            </w:pPr>
            <w:r w:rsidRPr="00C462A0">
              <w:rPr>
                <w:rFonts w:asciiTheme="minorHAnsi" w:hAnsiTheme="minorHAnsi" w:cstheme="minorHAnsi"/>
                <w:iCs/>
                <w:noProof/>
                <w:sz w:val="20"/>
                <w:szCs w:val="20"/>
                <w:lang w:val="en-GB"/>
              </w:rPr>
              <w:drawing>
                <wp:inline distT="0" distB="0" distL="0" distR="0" wp14:anchorId="46288C9B" wp14:editId="1CA6F672">
                  <wp:extent cx="5461669" cy="3437280"/>
                  <wp:effectExtent l="0" t="0" r="0" b="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47">
                            <a:clrChange>
                              <a:clrFrom>
                                <a:srgbClr val="FBFBFD"/>
                              </a:clrFrom>
                              <a:clrTo>
                                <a:srgbClr val="FBFBFD">
                                  <a:alpha val="0"/>
                                </a:srgbClr>
                              </a:clrTo>
                            </a:clrChange>
                          </a:blip>
                          <a:srcRect l="1380" t="2703" r="986" b="5236"/>
                          <a:stretch/>
                        </pic:blipFill>
                        <pic:spPr bwMode="auto">
                          <a:xfrm>
                            <a:off x="0" y="0"/>
                            <a:ext cx="5464219" cy="3438885"/>
                          </a:xfrm>
                          <a:prstGeom prst="rect">
                            <a:avLst/>
                          </a:prstGeom>
                          <a:noFill/>
                          <a:ln>
                            <a:noFill/>
                          </a:ln>
                        </pic:spPr>
                      </pic:pic>
                    </a:graphicData>
                  </a:graphic>
                </wp:inline>
              </w:drawing>
            </w:r>
          </w:p>
          <w:p w14:paraId="5F96860D" w14:textId="2CA8E4CA" w:rsidR="00877F0A" w:rsidRDefault="00877F0A" w:rsidP="00877F0A">
            <w:pPr>
              <w:pStyle w:val="Caption"/>
              <w:jc w:val="center"/>
              <w:rPr>
                <w:rFonts w:cstheme="minorHAnsi"/>
                <w:b w:val="0"/>
                <w:bCs w:val="0"/>
                <w:sz w:val="18"/>
                <w:szCs w:val="18"/>
              </w:rPr>
            </w:pPr>
            <w:bookmarkStart w:id="26" w:name="_Toc227623446"/>
            <w:r w:rsidRPr="00C462A0">
              <w:rPr>
                <w:rFonts w:cstheme="minorHAnsi"/>
                <w:b w:val="0"/>
                <w:bCs w:val="0"/>
                <w:sz w:val="18"/>
                <w:szCs w:val="18"/>
              </w:rPr>
              <w:t xml:space="preserve">Figure </w:t>
            </w:r>
            <w:r w:rsidRPr="00C462A0">
              <w:rPr>
                <w:rFonts w:cstheme="minorHAnsi"/>
                <w:b w:val="0"/>
                <w:bCs w:val="0"/>
                <w:sz w:val="18"/>
                <w:szCs w:val="18"/>
              </w:rPr>
              <w:fldChar w:fldCharType="begin"/>
            </w:r>
            <w:r w:rsidRPr="00C462A0">
              <w:rPr>
                <w:rFonts w:cstheme="minorHAnsi"/>
                <w:b w:val="0"/>
                <w:bCs w:val="0"/>
                <w:sz w:val="18"/>
                <w:szCs w:val="18"/>
              </w:rPr>
              <w:instrText xml:space="preserve"> SEQ Figure \* ARABIC </w:instrText>
            </w:r>
            <w:r w:rsidRPr="00C462A0">
              <w:rPr>
                <w:rFonts w:cstheme="minorHAnsi"/>
                <w:b w:val="0"/>
                <w:bCs w:val="0"/>
                <w:sz w:val="18"/>
                <w:szCs w:val="18"/>
              </w:rPr>
              <w:fldChar w:fldCharType="separate"/>
            </w:r>
            <w:r w:rsidRPr="00C462A0">
              <w:rPr>
                <w:rFonts w:cstheme="minorHAnsi"/>
                <w:b w:val="0"/>
                <w:bCs w:val="0"/>
                <w:sz w:val="18"/>
                <w:szCs w:val="18"/>
              </w:rPr>
              <w:t>9</w:t>
            </w:r>
            <w:r w:rsidRPr="00C462A0">
              <w:rPr>
                <w:rFonts w:cstheme="minorHAnsi"/>
                <w:b w:val="0"/>
                <w:bCs w:val="0"/>
                <w:sz w:val="18"/>
                <w:szCs w:val="18"/>
              </w:rPr>
              <w:fldChar w:fldCharType="end"/>
            </w:r>
            <w:r w:rsidRPr="00C462A0">
              <w:rPr>
                <w:rFonts w:cstheme="minorHAnsi"/>
                <w:b w:val="0"/>
                <w:bCs w:val="0"/>
                <w:sz w:val="18"/>
                <w:szCs w:val="18"/>
              </w:rPr>
              <w:t>. Smart metering network architecture connecting HAN, LMN, and WAN through a secure smart meter gateway for data exchange and management (source: Author)</w:t>
            </w:r>
            <w:bookmarkEnd w:id="26"/>
          </w:p>
          <w:p w14:paraId="048C19DD" w14:textId="77777777" w:rsidR="00B84598" w:rsidRDefault="00B84598" w:rsidP="00B84598"/>
          <w:p w14:paraId="2CA18FB1" w14:textId="77777777" w:rsidR="00877F0A" w:rsidRPr="00B84598" w:rsidRDefault="00877F0A" w:rsidP="00877F0A">
            <w:pPr>
              <w:pStyle w:val="NormalWeb"/>
              <w:numPr>
                <w:ilvl w:val="0"/>
                <w:numId w:val="256"/>
              </w:numPr>
              <w:spacing w:before="40" w:after="40"/>
              <w:jc w:val="both"/>
              <w:rPr>
                <w:rFonts w:asciiTheme="minorHAnsi" w:hAnsiTheme="minorHAnsi" w:cstheme="minorHAnsi"/>
                <w:i/>
                <w:sz w:val="20"/>
                <w:szCs w:val="20"/>
                <w:lang w:val="en-GB"/>
              </w:rPr>
            </w:pPr>
            <w:r w:rsidRPr="00B84598">
              <w:rPr>
                <w:rFonts w:asciiTheme="minorHAnsi" w:hAnsiTheme="minorHAnsi" w:cstheme="minorHAnsi"/>
                <w:i/>
                <w:sz w:val="20"/>
                <w:szCs w:val="20"/>
                <w:lang w:val="en-GB"/>
              </w:rPr>
              <w:t>WAN: Wide Area Network (either public or private), including HES</w:t>
            </w:r>
          </w:p>
          <w:p w14:paraId="4D125384" w14:textId="77777777" w:rsidR="00877F0A" w:rsidRPr="00B84598" w:rsidRDefault="00877F0A" w:rsidP="00877F0A">
            <w:pPr>
              <w:pStyle w:val="NormalWeb"/>
              <w:numPr>
                <w:ilvl w:val="0"/>
                <w:numId w:val="256"/>
              </w:numPr>
              <w:spacing w:before="40" w:after="40"/>
              <w:jc w:val="both"/>
              <w:rPr>
                <w:rFonts w:asciiTheme="minorHAnsi" w:hAnsiTheme="minorHAnsi" w:cstheme="minorHAnsi"/>
                <w:i/>
                <w:sz w:val="20"/>
                <w:szCs w:val="20"/>
                <w:lang w:val="en-GB"/>
              </w:rPr>
            </w:pPr>
            <w:r w:rsidRPr="00B84598">
              <w:rPr>
                <w:rFonts w:asciiTheme="minorHAnsi" w:hAnsiTheme="minorHAnsi" w:cstheme="minorHAnsi"/>
                <w:i/>
                <w:sz w:val="20"/>
                <w:szCs w:val="20"/>
                <w:lang w:val="en-GB"/>
              </w:rPr>
              <w:t>LMN: Local Metrological Network (Neighbour Network NN &amp; Local Network LN)</w:t>
            </w:r>
          </w:p>
          <w:p w14:paraId="531ABD1A" w14:textId="77777777" w:rsidR="00877F0A" w:rsidRPr="00B84598" w:rsidRDefault="00877F0A" w:rsidP="00877F0A">
            <w:pPr>
              <w:pStyle w:val="NormalWeb"/>
              <w:numPr>
                <w:ilvl w:val="0"/>
                <w:numId w:val="256"/>
              </w:numPr>
              <w:spacing w:before="40" w:after="40"/>
              <w:jc w:val="both"/>
              <w:rPr>
                <w:rFonts w:asciiTheme="minorHAnsi" w:hAnsiTheme="minorHAnsi" w:cstheme="minorHAnsi"/>
                <w:i/>
                <w:sz w:val="20"/>
                <w:szCs w:val="20"/>
                <w:lang w:val="en-GB"/>
              </w:rPr>
            </w:pPr>
            <w:r w:rsidRPr="00B84598">
              <w:rPr>
                <w:rFonts w:asciiTheme="minorHAnsi" w:hAnsiTheme="minorHAnsi" w:cstheme="minorHAnsi"/>
                <w:i/>
                <w:sz w:val="20"/>
                <w:szCs w:val="20"/>
                <w:lang w:val="en-GB"/>
              </w:rPr>
              <w:t>HAN: Home Area Network</w:t>
            </w:r>
          </w:p>
          <w:p w14:paraId="43D57998" w14:textId="77777777" w:rsidR="00877F0A" w:rsidRPr="00B84598" w:rsidRDefault="00877F0A" w:rsidP="00877F0A">
            <w:pPr>
              <w:pStyle w:val="NormalWeb"/>
              <w:numPr>
                <w:ilvl w:val="0"/>
                <w:numId w:val="256"/>
              </w:numPr>
              <w:spacing w:before="40" w:after="40"/>
              <w:jc w:val="both"/>
              <w:rPr>
                <w:rFonts w:asciiTheme="minorHAnsi" w:hAnsiTheme="minorHAnsi" w:cstheme="minorHAnsi"/>
                <w:i/>
                <w:sz w:val="20"/>
                <w:szCs w:val="20"/>
                <w:lang w:val="en-GB"/>
              </w:rPr>
            </w:pPr>
            <w:r w:rsidRPr="00B84598">
              <w:rPr>
                <w:rFonts w:asciiTheme="minorHAnsi" w:hAnsiTheme="minorHAnsi" w:cstheme="minorHAnsi"/>
                <w:i/>
                <w:sz w:val="20"/>
                <w:szCs w:val="20"/>
                <w:lang w:val="en-GB"/>
              </w:rPr>
              <w:t>HES: Head End System (administration and data management)</w:t>
            </w:r>
          </w:p>
          <w:p w14:paraId="6FA68C51" w14:textId="77777777" w:rsidR="00877F0A" w:rsidRPr="00B84598" w:rsidRDefault="00877F0A" w:rsidP="00877F0A">
            <w:pPr>
              <w:pStyle w:val="NormalWeb"/>
              <w:spacing w:before="40" w:after="40"/>
              <w:jc w:val="both"/>
              <w:rPr>
                <w:rFonts w:asciiTheme="minorHAnsi" w:hAnsiTheme="minorHAnsi" w:cstheme="minorHAnsi"/>
                <w:i/>
                <w:sz w:val="20"/>
                <w:szCs w:val="20"/>
                <w:lang w:val="en-GB"/>
              </w:rPr>
            </w:pPr>
            <w:r w:rsidRPr="00B84598">
              <w:rPr>
                <w:rFonts w:asciiTheme="minorHAnsi" w:hAnsiTheme="minorHAnsi" w:cstheme="minorHAnsi"/>
                <w:i/>
                <w:sz w:val="20"/>
                <w:szCs w:val="20"/>
                <w:lang w:val="en-GB"/>
              </w:rPr>
              <w:t>The diagram outlines the communication stack of a smart metering infrastructure, moving from wide-area connectivity down to devices within a home. At the top sits the WAN, which can operate over public or private networks and links distributed field components with the Head End System, the platform that handles device administration and centralised data management.</w:t>
            </w:r>
          </w:p>
          <w:p w14:paraId="6361DFEE" w14:textId="77777777" w:rsidR="00877F0A" w:rsidRPr="00C462A0" w:rsidRDefault="00877F0A" w:rsidP="00877F0A">
            <w:pPr>
              <w:pStyle w:val="NormalWeb"/>
              <w:spacing w:before="40" w:after="4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lastRenderedPageBreak/>
              <w:t>Between the WAN and the smart metering gateway, data flows through a secure channel designed to preserve confidentiality and integrity, ensuring that what travels upstream and downstream remains protected in transit. The gateway then marks a clear boundary inside the local environment. It separates the Home Area Network, where residential loads and energy assets communicate within the customer premises, from the Local Metrological Network, which includes the Neighbour Network and the Local Network that interconnects the metering devices.</w:t>
            </w:r>
          </w:p>
          <w:p w14:paraId="3CD8ABDE" w14:textId="77777777" w:rsidR="00877F0A" w:rsidRPr="00C462A0" w:rsidRDefault="00877F0A" w:rsidP="00877F0A">
            <w:pPr>
              <w:pStyle w:val="NormalWeb"/>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This layered segmentation defines how information can move. It limits lateral exposure, supports incremental scaling as more devices come online, and enables controlled data exchange across the broader smart energy ecosystem.</w:t>
            </w:r>
          </w:p>
          <w:p w14:paraId="5F462788" w14:textId="77777777" w:rsidR="00877F0A" w:rsidRPr="00C462A0" w:rsidRDefault="00877F0A" w:rsidP="00877F0A">
            <w:pPr>
              <w:pStyle w:val="NormalWeb"/>
              <w:spacing w:before="0" w:beforeAutospacing="0" w:after="0" w:afterAutospacing="0"/>
              <w:jc w:val="both"/>
              <w:rPr>
                <w:rFonts w:asciiTheme="minorHAnsi" w:hAnsiTheme="minorHAnsi" w:cstheme="minorHAnsi"/>
                <w:iCs/>
                <w:sz w:val="20"/>
                <w:szCs w:val="20"/>
                <w:lang w:val="en-GB"/>
              </w:rPr>
            </w:pPr>
          </w:p>
          <w:p w14:paraId="21677BFA" w14:textId="77777777" w:rsidR="00877F0A" w:rsidRPr="00C462A0" w:rsidRDefault="00877F0A" w:rsidP="00877F0A">
            <w:pPr>
              <w:pStyle w:val="NormalWeb"/>
              <w:numPr>
                <w:ilvl w:val="0"/>
                <w:numId w:val="306"/>
              </w:numPr>
              <w:spacing w:before="0" w:beforeAutospacing="0" w:after="0" w:afterAutospacing="0"/>
              <w:rPr>
                <w:rFonts w:asciiTheme="minorHAnsi" w:hAnsiTheme="minorHAnsi" w:cstheme="minorHAnsi"/>
                <w:b/>
                <w:bCs/>
                <w:color w:val="009889" w:themeColor="accent2"/>
                <w:sz w:val="20"/>
                <w:szCs w:val="20"/>
                <w:lang w:val="en-GB" w:eastAsia="en-GB"/>
              </w:rPr>
            </w:pPr>
            <w:r w:rsidRPr="00C462A0">
              <w:rPr>
                <w:rFonts w:asciiTheme="minorHAnsi" w:hAnsiTheme="minorHAnsi" w:cstheme="minorHAnsi"/>
                <w:b/>
                <w:bCs/>
                <w:color w:val="009889" w:themeColor="accent2"/>
                <w:sz w:val="20"/>
                <w:szCs w:val="20"/>
                <w:lang w:val="en-GB" w:eastAsia="en-GB"/>
              </w:rPr>
              <w:t>Primary Threat Actors Targeting</w:t>
            </w:r>
            <w:r w:rsidRPr="00C462A0">
              <w:rPr>
                <w:rFonts w:asciiTheme="minorHAnsi" w:hAnsiTheme="minorHAnsi" w:cstheme="minorHAnsi"/>
                <w:b/>
                <w:color w:val="009889" w:themeColor="accent2"/>
                <w:sz w:val="20"/>
                <w:szCs w:val="20"/>
                <w:lang w:val="en-GB" w:eastAsia="en-GB"/>
              </w:rPr>
              <w:t xml:space="preserve"> </w:t>
            </w:r>
            <w:r w:rsidRPr="00C462A0">
              <w:rPr>
                <w:rFonts w:asciiTheme="minorHAnsi" w:hAnsiTheme="minorHAnsi" w:cstheme="minorHAnsi"/>
                <w:b/>
                <w:bCs/>
                <w:color w:val="009889" w:themeColor="accent2"/>
                <w:sz w:val="20"/>
                <w:szCs w:val="20"/>
                <w:lang w:val="en-GB" w:eastAsia="en-GB"/>
              </w:rPr>
              <w:t>EMS</w:t>
            </w:r>
          </w:p>
          <w:p w14:paraId="1A0BEB0F" w14:textId="77777777" w:rsidR="00877F0A" w:rsidRPr="00C462A0" w:rsidRDefault="00877F0A" w:rsidP="00877F0A">
            <w:pPr>
              <w:pStyle w:val="NormalWeb"/>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Energy infrastructures represent attractive targets for:</w:t>
            </w:r>
          </w:p>
          <w:p w14:paraId="56454BA1" w14:textId="77777777" w:rsidR="00877F0A" w:rsidRPr="00C462A0" w:rsidRDefault="00877F0A" w:rsidP="00877F0A">
            <w:pPr>
              <w:pStyle w:val="NormalWeb"/>
              <w:numPr>
                <w:ilvl w:val="0"/>
                <w:numId w:val="247"/>
              </w:numPr>
              <w:spacing w:before="40" w:beforeAutospacing="0" w:after="4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State-sponsored actors, seeking geopolitical leverage.</w:t>
            </w:r>
          </w:p>
          <w:p w14:paraId="3B734DA2" w14:textId="77777777" w:rsidR="00877F0A" w:rsidRPr="00C462A0" w:rsidRDefault="00877F0A" w:rsidP="00877F0A">
            <w:pPr>
              <w:pStyle w:val="NormalWeb"/>
              <w:numPr>
                <w:ilvl w:val="0"/>
                <w:numId w:val="247"/>
              </w:numPr>
              <w:spacing w:before="40" w:beforeAutospacing="0" w:after="4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Cybercriminal groups, pursuing ransomware or extortion.</w:t>
            </w:r>
          </w:p>
          <w:p w14:paraId="51761A24" w14:textId="77777777" w:rsidR="00877F0A" w:rsidRPr="00C462A0" w:rsidRDefault="00877F0A" w:rsidP="00877F0A">
            <w:pPr>
              <w:pStyle w:val="NormalWeb"/>
              <w:numPr>
                <w:ilvl w:val="0"/>
                <w:numId w:val="247"/>
              </w:numPr>
              <w:spacing w:before="40" w:beforeAutospacing="0" w:after="4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Hacktivists, driven by political or environmental motives.</w:t>
            </w:r>
          </w:p>
          <w:p w14:paraId="3AD5AC33" w14:textId="77777777" w:rsidR="00877F0A" w:rsidRPr="00C462A0" w:rsidRDefault="00877F0A" w:rsidP="00877F0A">
            <w:pPr>
              <w:pStyle w:val="NormalWeb"/>
              <w:numPr>
                <w:ilvl w:val="0"/>
                <w:numId w:val="247"/>
              </w:numPr>
              <w:spacing w:before="40" w:beforeAutospacing="0" w:after="4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Insider threats, including negligent or malicious employees.</w:t>
            </w:r>
          </w:p>
          <w:p w14:paraId="323BE131" w14:textId="16B002E3" w:rsidR="00877F0A" w:rsidRPr="00C462A0" w:rsidRDefault="00877F0A" w:rsidP="00877F0A">
            <w:pPr>
              <w:pStyle w:val="NormalWeb"/>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 xml:space="preserve">ENISA identifies critical infrastructure as a high-priority target due to its systemic importance. In a similar way, the Cybersecurity and Infrastructure Security Agency </w:t>
            </w:r>
            <w:r w:rsidR="00B84598" w:rsidRPr="00C462A0">
              <w:rPr>
                <w:rFonts w:asciiTheme="minorHAnsi" w:hAnsiTheme="minorHAnsi" w:cstheme="minorHAnsi"/>
                <w:iCs/>
                <w:sz w:val="20"/>
                <w:szCs w:val="20"/>
                <w:lang w:val="en-GB"/>
              </w:rPr>
              <w:t>recognise</w:t>
            </w:r>
            <w:r w:rsidRPr="00C462A0">
              <w:rPr>
                <w:rFonts w:asciiTheme="minorHAnsi" w:hAnsiTheme="minorHAnsi" w:cstheme="minorHAnsi"/>
                <w:iCs/>
                <w:sz w:val="20"/>
                <w:szCs w:val="20"/>
                <w:lang w:val="en-GB"/>
              </w:rPr>
              <w:t xml:space="preserve"> energy systems as part of national critical infrastructure sectors.</w:t>
            </w:r>
          </w:p>
          <w:p w14:paraId="3E3AE546" w14:textId="77777777" w:rsidR="00877F0A" w:rsidRPr="00C462A0" w:rsidRDefault="00877F0A" w:rsidP="00877F0A">
            <w:pPr>
              <w:pStyle w:val="NormalWeb"/>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These actors may exploit vulnerabilities for disruption, espionage, or financial gain.</w:t>
            </w:r>
          </w:p>
          <w:p w14:paraId="747A8B6A" w14:textId="77777777" w:rsidR="00877F0A" w:rsidRPr="00C462A0" w:rsidRDefault="00877F0A" w:rsidP="00210B7E">
            <w:pPr>
              <w:pStyle w:val="NormalWeb"/>
              <w:spacing w:before="0" w:beforeAutospacing="0" w:after="0" w:afterAutospacing="0"/>
              <w:rPr>
                <w:rFonts w:asciiTheme="minorHAnsi" w:hAnsiTheme="minorHAnsi" w:cstheme="minorHAnsi"/>
                <w:iCs/>
                <w:sz w:val="20"/>
                <w:szCs w:val="20"/>
                <w:lang w:val="en-GB"/>
              </w:rPr>
            </w:pPr>
          </w:p>
          <w:p w14:paraId="1C434B4F" w14:textId="77777777" w:rsidR="00877F0A" w:rsidRPr="00C462A0" w:rsidRDefault="00877F0A" w:rsidP="00877F0A">
            <w:pPr>
              <w:pStyle w:val="NormalWeb"/>
              <w:numPr>
                <w:ilvl w:val="0"/>
                <w:numId w:val="306"/>
              </w:numPr>
              <w:spacing w:before="0" w:beforeAutospacing="0" w:after="0" w:afterAutospacing="0"/>
              <w:rPr>
                <w:rFonts w:asciiTheme="minorHAnsi" w:hAnsiTheme="minorHAnsi" w:cstheme="minorHAnsi"/>
                <w:iCs/>
                <w:color w:val="009889" w:themeColor="accent2"/>
                <w:sz w:val="20"/>
                <w:szCs w:val="20"/>
                <w:lang w:val="en-GB"/>
              </w:rPr>
            </w:pPr>
            <w:r w:rsidRPr="00C462A0">
              <w:rPr>
                <w:rFonts w:asciiTheme="minorHAnsi" w:hAnsiTheme="minorHAnsi" w:cstheme="minorHAnsi"/>
                <w:b/>
                <w:bCs/>
                <w:color w:val="009889" w:themeColor="accent2"/>
                <w:sz w:val="20"/>
                <w:szCs w:val="20"/>
                <w:lang w:val="en-GB" w:eastAsia="en-GB"/>
              </w:rPr>
              <w:t>Common Attack Vectors and Techniques</w:t>
            </w:r>
          </w:p>
          <w:p w14:paraId="5CACDB75" w14:textId="77777777" w:rsidR="00877F0A" w:rsidRPr="00C462A0" w:rsidRDefault="00877F0A" w:rsidP="00877F0A">
            <w:pPr>
              <w:pStyle w:val="NormalWeb"/>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EMS are exposed to several recurring attack vectors:</w:t>
            </w:r>
          </w:p>
          <w:p w14:paraId="6E6BF576" w14:textId="77777777" w:rsidR="00877F0A" w:rsidRPr="00C462A0" w:rsidRDefault="00877F0A" w:rsidP="00877F0A">
            <w:pPr>
              <w:pStyle w:val="NormalWeb"/>
              <w:numPr>
                <w:ilvl w:val="0"/>
                <w:numId w:val="248"/>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b/>
                <w:bCs/>
                <w:iCs/>
                <w:sz w:val="20"/>
                <w:szCs w:val="20"/>
                <w:lang w:val="en-GB"/>
              </w:rPr>
              <w:t>Remote Access Exploitation</w:t>
            </w:r>
            <w:r w:rsidRPr="00C462A0">
              <w:rPr>
                <w:rFonts w:asciiTheme="minorHAnsi" w:hAnsiTheme="minorHAnsi" w:cstheme="minorHAnsi"/>
                <w:iCs/>
                <w:sz w:val="20"/>
                <w:szCs w:val="20"/>
                <w:lang w:val="en-GB"/>
              </w:rPr>
              <w:t>:</w:t>
            </w:r>
            <w:r w:rsidRPr="00C462A0">
              <w:rPr>
                <w:rFonts w:asciiTheme="minorHAnsi" w:hAnsiTheme="minorHAnsi" w:cstheme="minorHAnsi"/>
                <w:b/>
                <w:bCs/>
                <w:iCs/>
                <w:sz w:val="20"/>
                <w:szCs w:val="20"/>
                <w:lang w:val="en-GB"/>
              </w:rPr>
              <w:t xml:space="preserve"> </w:t>
            </w:r>
            <w:r w:rsidRPr="00C462A0">
              <w:rPr>
                <w:rFonts w:asciiTheme="minorHAnsi" w:hAnsiTheme="minorHAnsi" w:cstheme="minorHAnsi"/>
                <w:iCs/>
                <w:sz w:val="20"/>
                <w:szCs w:val="20"/>
                <w:lang w:val="en-GB"/>
              </w:rPr>
              <w:t>Unsecured remote maintenance interfaces or VPN gateways can provide attackers with a path for initial access.</w:t>
            </w:r>
          </w:p>
          <w:p w14:paraId="3EB4A787" w14:textId="77777777" w:rsidR="00877F0A" w:rsidRPr="00C462A0" w:rsidRDefault="00877F0A" w:rsidP="00877F0A">
            <w:pPr>
              <w:pStyle w:val="NormalWeb"/>
              <w:numPr>
                <w:ilvl w:val="0"/>
                <w:numId w:val="248"/>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b/>
                <w:bCs/>
                <w:iCs/>
                <w:sz w:val="20"/>
                <w:szCs w:val="20"/>
                <w:lang w:val="en-GB"/>
              </w:rPr>
              <w:t>Phishing and Credential Compromise</w:t>
            </w:r>
            <w:r w:rsidRPr="00C462A0">
              <w:rPr>
                <w:rFonts w:asciiTheme="minorHAnsi" w:hAnsiTheme="minorHAnsi" w:cstheme="minorHAnsi"/>
                <w:iCs/>
                <w:sz w:val="20"/>
                <w:szCs w:val="20"/>
                <w:lang w:val="en-GB"/>
              </w:rPr>
              <w:t>: Administrative personnel responsible for monitoring dashboards may be targeted through spear-phishing campaigns.</w:t>
            </w:r>
          </w:p>
          <w:p w14:paraId="338BC308" w14:textId="77777777" w:rsidR="00877F0A" w:rsidRPr="00C462A0" w:rsidRDefault="00877F0A" w:rsidP="00877F0A">
            <w:pPr>
              <w:pStyle w:val="NormalWeb"/>
              <w:numPr>
                <w:ilvl w:val="0"/>
                <w:numId w:val="248"/>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b/>
                <w:bCs/>
                <w:iCs/>
                <w:sz w:val="20"/>
                <w:szCs w:val="20"/>
                <w:lang w:val="en-GB"/>
              </w:rPr>
              <w:t>Malware and Ransomware Deployment</w:t>
            </w:r>
            <w:r w:rsidRPr="00C462A0">
              <w:rPr>
                <w:rFonts w:asciiTheme="minorHAnsi" w:hAnsiTheme="minorHAnsi" w:cstheme="minorHAnsi"/>
                <w:iCs/>
                <w:sz w:val="20"/>
                <w:szCs w:val="20"/>
                <w:lang w:val="en-GB"/>
              </w:rPr>
              <w:t>: Ransomware aimed at control systems can interrupt operations and demand payment.</w:t>
            </w:r>
          </w:p>
          <w:p w14:paraId="13C5CD58" w14:textId="77777777" w:rsidR="00877F0A" w:rsidRPr="00C462A0" w:rsidRDefault="00877F0A" w:rsidP="00877F0A">
            <w:pPr>
              <w:pStyle w:val="NormalWeb"/>
              <w:numPr>
                <w:ilvl w:val="0"/>
                <w:numId w:val="248"/>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b/>
                <w:bCs/>
                <w:iCs/>
                <w:sz w:val="20"/>
                <w:szCs w:val="20"/>
                <w:lang w:val="en-GB"/>
              </w:rPr>
              <w:t>Supply Chain Compromise</w:t>
            </w:r>
            <w:r w:rsidRPr="00C462A0">
              <w:rPr>
                <w:rFonts w:asciiTheme="minorHAnsi" w:hAnsiTheme="minorHAnsi" w:cstheme="minorHAnsi"/>
                <w:iCs/>
                <w:sz w:val="20"/>
                <w:szCs w:val="20"/>
                <w:lang w:val="en-GB"/>
              </w:rPr>
              <w:t>: Compromised firmware updates or third-party components can introduce malicious code into the environment.</w:t>
            </w:r>
          </w:p>
          <w:p w14:paraId="26636EBB" w14:textId="77777777" w:rsidR="00877F0A" w:rsidRPr="00C462A0" w:rsidRDefault="00877F0A" w:rsidP="00877F0A">
            <w:pPr>
              <w:pStyle w:val="NormalWeb"/>
              <w:numPr>
                <w:ilvl w:val="0"/>
                <w:numId w:val="248"/>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b/>
                <w:bCs/>
                <w:iCs/>
                <w:sz w:val="20"/>
                <w:szCs w:val="20"/>
                <w:lang w:val="en-GB"/>
              </w:rPr>
              <w:t>Exploitation of Legacy Protocols</w:t>
            </w:r>
            <w:r w:rsidRPr="00C462A0">
              <w:rPr>
                <w:rFonts w:asciiTheme="minorHAnsi" w:hAnsiTheme="minorHAnsi" w:cstheme="minorHAnsi"/>
                <w:iCs/>
                <w:sz w:val="20"/>
                <w:szCs w:val="20"/>
                <w:lang w:val="en-GB"/>
              </w:rPr>
              <w:t>: Industrial protocols that lack encryption or authentication may allow command injection or traffic interception.</w:t>
            </w:r>
          </w:p>
          <w:p w14:paraId="4F9BB388" w14:textId="77777777" w:rsidR="00877F0A" w:rsidRPr="00C462A0" w:rsidRDefault="00877F0A" w:rsidP="00877F0A">
            <w:pPr>
              <w:pStyle w:val="NormalWeb"/>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The MITRE Corporation ATT&amp;CK for ICS (Industrial Control Systems) matrix offers a structured way to map these techniques to attacker tactics specific to industrial environments.</w:t>
            </w:r>
          </w:p>
          <w:p w14:paraId="234339B5" w14:textId="77777777" w:rsidR="00877F0A" w:rsidRPr="00C462A0" w:rsidRDefault="00877F0A" w:rsidP="00877F0A">
            <w:pPr>
              <w:pStyle w:val="NormalWeb"/>
              <w:spacing w:before="0" w:beforeAutospacing="0" w:after="0" w:afterAutospacing="0"/>
              <w:jc w:val="both"/>
              <w:rPr>
                <w:rFonts w:asciiTheme="minorHAnsi" w:hAnsiTheme="minorHAnsi" w:cstheme="minorHAnsi"/>
                <w:iCs/>
                <w:sz w:val="20"/>
                <w:szCs w:val="20"/>
                <w:lang w:val="en-GB"/>
              </w:rPr>
            </w:pPr>
          </w:p>
          <w:p w14:paraId="65098B4D" w14:textId="77777777" w:rsidR="00877F0A" w:rsidRPr="00C462A0" w:rsidRDefault="00877F0A" w:rsidP="00210B7E">
            <w:pPr>
              <w:pStyle w:val="NormalWeb"/>
              <w:keepNext/>
              <w:spacing w:before="0" w:beforeAutospacing="0" w:after="0" w:afterAutospacing="0"/>
              <w:jc w:val="center"/>
              <w:rPr>
                <w:rFonts w:asciiTheme="minorHAnsi" w:hAnsiTheme="minorHAnsi" w:cstheme="minorHAnsi"/>
                <w:sz w:val="20"/>
                <w:szCs w:val="20"/>
                <w:lang w:val="en-GB"/>
              </w:rPr>
            </w:pPr>
            <w:r w:rsidRPr="00C462A0">
              <w:rPr>
                <w:rFonts w:asciiTheme="minorHAnsi" w:hAnsiTheme="minorHAnsi" w:cstheme="minorHAnsi"/>
                <w:noProof/>
                <w:sz w:val="20"/>
                <w:szCs w:val="20"/>
                <w:lang w:val="en-GB"/>
              </w:rPr>
              <w:lastRenderedPageBreak/>
              <w:drawing>
                <wp:inline distT="0" distB="0" distL="0" distR="0" wp14:anchorId="4C49289D" wp14:editId="220AA63D">
                  <wp:extent cx="4774545" cy="2791691"/>
                  <wp:effectExtent l="0" t="0" r="7620" b="889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icPr>
                        <pic:blipFill>
                          <a:blip r:embed="rId48"/>
                          <a:srcRect t="6262" r="2149" b="17668"/>
                          <a:stretch/>
                        </pic:blipFill>
                        <pic:spPr bwMode="auto">
                          <a:xfrm>
                            <a:off x="0" y="0"/>
                            <a:ext cx="4799493" cy="2806278"/>
                          </a:xfrm>
                          <a:prstGeom prst="rect">
                            <a:avLst/>
                          </a:prstGeom>
                          <a:noFill/>
                          <a:ln>
                            <a:noFill/>
                          </a:ln>
                        </pic:spPr>
                      </pic:pic>
                    </a:graphicData>
                  </a:graphic>
                </wp:inline>
              </w:drawing>
            </w:r>
          </w:p>
          <w:p w14:paraId="3A31EBCE" w14:textId="30BE9D3A" w:rsidR="00877F0A" w:rsidRPr="00C462A0" w:rsidRDefault="00877F0A" w:rsidP="00877F0A">
            <w:pPr>
              <w:pStyle w:val="Caption"/>
              <w:jc w:val="center"/>
              <w:rPr>
                <w:rFonts w:cstheme="minorHAnsi"/>
                <w:b w:val="0"/>
                <w:bCs w:val="0"/>
                <w:sz w:val="18"/>
                <w:szCs w:val="18"/>
              </w:rPr>
            </w:pPr>
            <w:bookmarkStart w:id="27" w:name="_Toc227623447"/>
            <w:r w:rsidRPr="00C462A0">
              <w:rPr>
                <w:rFonts w:cstheme="minorHAnsi"/>
                <w:b w:val="0"/>
                <w:bCs w:val="0"/>
                <w:sz w:val="18"/>
                <w:szCs w:val="18"/>
              </w:rPr>
              <w:t xml:space="preserve">Figure </w:t>
            </w:r>
            <w:r w:rsidRPr="00C462A0">
              <w:rPr>
                <w:rFonts w:cstheme="minorHAnsi"/>
                <w:b w:val="0"/>
                <w:bCs w:val="0"/>
                <w:sz w:val="18"/>
                <w:szCs w:val="18"/>
              </w:rPr>
              <w:fldChar w:fldCharType="begin"/>
            </w:r>
            <w:r w:rsidRPr="00C462A0">
              <w:rPr>
                <w:rFonts w:cstheme="minorHAnsi"/>
                <w:b w:val="0"/>
                <w:bCs w:val="0"/>
                <w:sz w:val="18"/>
                <w:szCs w:val="18"/>
              </w:rPr>
              <w:instrText xml:space="preserve"> SEQ Figure \* ARABIC </w:instrText>
            </w:r>
            <w:r w:rsidRPr="00C462A0">
              <w:rPr>
                <w:rFonts w:cstheme="minorHAnsi"/>
                <w:b w:val="0"/>
                <w:bCs w:val="0"/>
                <w:sz w:val="18"/>
                <w:szCs w:val="18"/>
              </w:rPr>
              <w:fldChar w:fldCharType="separate"/>
            </w:r>
            <w:r w:rsidRPr="00C462A0">
              <w:rPr>
                <w:rFonts w:cstheme="minorHAnsi"/>
                <w:b w:val="0"/>
                <w:bCs w:val="0"/>
                <w:sz w:val="18"/>
                <w:szCs w:val="18"/>
              </w:rPr>
              <w:t>10</w:t>
            </w:r>
            <w:r w:rsidRPr="00C462A0">
              <w:rPr>
                <w:rFonts w:cstheme="minorHAnsi"/>
                <w:b w:val="0"/>
                <w:bCs w:val="0"/>
                <w:sz w:val="18"/>
                <w:szCs w:val="18"/>
              </w:rPr>
              <w:fldChar w:fldCharType="end"/>
            </w:r>
            <w:r w:rsidRPr="00C462A0">
              <w:rPr>
                <w:rFonts w:cstheme="minorHAnsi"/>
                <w:b w:val="0"/>
                <w:bCs w:val="0"/>
                <w:sz w:val="18"/>
                <w:szCs w:val="18"/>
              </w:rPr>
              <w:t>. Typical attack path in an Energy Management System</w:t>
            </w:r>
            <w:r w:rsidR="00B84598">
              <w:rPr>
                <w:rFonts w:cstheme="minorHAnsi"/>
                <w:b w:val="0"/>
                <w:bCs w:val="0"/>
                <w:sz w:val="18"/>
                <w:szCs w:val="18"/>
              </w:rPr>
              <w:t xml:space="preserve"> (source: Author)</w:t>
            </w:r>
            <w:r w:rsidRPr="00C462A0">
              <w:rPr>
                <w:rFonts w:cstheme="minorHAnsi"/>
                <w:b w:val="0"/>
                <w:bCs w:val="0"/>
                <w:sz w:val="18"/>
                <w:szCs w:val="18"/>
              </w:rPr>
              <w:t>.</w:t>
            </w:r>
            <w:bookmarkEnd w:id="27"/>
          </w:p>
          <w:p w14:paraId="23EB0D3B" w14:textId="77777777" w:rsidR="00877F0A" w:rsidRPr="00C462A0" w:rsidRDefault="00877F0A" w:rsidP="00210B7E">
            <w:pPr>
              <w:pStyle w:val="NormalWeb"/>
              <w:spacing w:before="0" w:beforeAutospacing="0" w:after="0" w:afterAutospacing="0"/>
              <w:jc w:val="both"/>
              <w:rPr>
                <w:rFonts w:asciiTheme="minorHAnsi" w:hAnsiTheme="minorHAnsi" w:cstheme="minorHAnsi"/>
                <w:iCs/>
                <w:sz w:val="20"/>
                <w:szCs w:val="20"/>
                <w:lang w:val="en-GB"/>
              </w:rPr>
            </w:pPr>
          </w:p>
          <w:p w14:paraId="4453CE60" w14:textId="316FFDF5" w:rsidR="00B84598" w:rsidRPr="00B84598" w:rsidRDefault="00B84598" w:rsidP="00B84598">
            <w:pPr>
              <w:pStyle w:val="NormalWeb"/>
              <w:spacing w:after="0"/>
              <w:jc w:val="both"/>
              <w:rPr>
                <w:rFonts w:asciiTheme="minorHAnsi" w:hAnsiTheme="minorHAnsi" w:cstheme="minorHAnsi"/>
                <w:i/>
                <w:sz w:val="18"/>
                <w:szCs w:val="18"/>
                <w:lang w:val="en-GB"/>
              </w:rPr>
            </w:pPr>
            <w:r w:rsidRPr="00B84598">
              <w:rPr>
                <w:rFonts w:asciiTheme="minorHAnsi" w:hAnsiTheme="minorHAnsi" w:cstheme="minorHAnsi"/>
                <w:i/>
                <w:sz w:val="18"/>
                <w:szCs w:val="18"/>
                <w:lang w:val="en-GB"/>
              </w:rPr>
              <w:t xml:space="preserve">The diagram </w:t>
            </w:r>
            <w:r>
              <w:rPr>
                <w:rFonts w:asciiTheme="minorHAnsi" w:hAnsiTheme="minorHAnsi" w:cstheme="minorHAnsi"/>
                <w:i/>
                <w:sz w:val="18"/>
                <w:szCs w:val="18"/>
                <w:lang w:val="en-GB"/>
              </w:rPr>
              <w:t xml:space="preserve">above </w:t>
            </w:r>
            <w:r w:rsidRPr="00B84598">
              <w:rPr>
                <w:rFonts w:asciiTheme="minorHAnsi" w:hAnsiTheme="minorHAnsi" w:cstheme="minorHAnsi"/>
                <w:i/>
                <w:sz w:val="18"/>
                <w:szCs w:val="18"/>
                <w:lang w:val="en-GB"/>
              </w:rPr>
              <w:t>illustrates a typical four-stage attack path targeting an Energy Management System (EMS). It shows how a breach often begins with a single user and scales into physical infrastructure disruption</w:t>
            </w:r>
            <w:r w:rsidRPr="00B84598">
              <w:rPr>
                <w:rFonts w:asciiTheme="minorHAnsi" w:hAnsiTheme="minorHAnsi" w:cstheme="minorHAnsi"/>
                <w:i/>
                <w:sz w:val="18"/>
                <w:szCs w:val="18"/>
                <w:lang w:val="en-GB"/>
              </w:rPr>
              <w:t xml:space="preserve">. </w:t>
            </w:r>
            <w:r w:rsidRPr="00B84598">
              <w:rPr>
                <w:rFonts w:asciiTheme="minorHAnsi" w:hAnsiTheme="minorHAnsi" w:cstheme="minorHAnsi"/>
                <w:i/>
                <w:sz w:val="18"/>
                <w:szCs w:val="18"/>
                <w:lang w:val="en-GB"/>
              </w:rPr>
              <w:t>Stages of the Attack</w:t>
            </w:r>
            <w:r w:rsidRPr="00B84598">
              <w:rPr>
                <w:rFonts w:asciiTheme="minorHAnsi" w:hAnsiTheme="minorHAnsi" w:cstheme="minorHAnsi"/>
                <w:i/>
                <w:sz w:val="18"/>
                <w:szCs w:val="18"/>
                <w:lang w:val="en-GB"/>
              </w:rPr>
              <w:t xml:space="preserve">: </w:t>
            </w:r>
            <w:r w:rsidRPr="00B84598">
              <w:rPr>
                <w:rFonts w:asciiTheme="minorHAnsi" w:hAnsiTheme="minorHAnsi" w:cstheme="minorHAnsi"/>
                <w:i/>
                <w:sz w:val="18"/>
                <w:szCs w:val="18"/>
                <w:lang w:val="en-GB"/>
              </w:rPr>
              <w:t>Phishing (User Workstation)</w:t>
            </w:r>
            <w:r w:rsidRPr="00B84598">
              <w:rPr>
                <w:rFonts w:asciiTheme="minorHAnsi" w:hAnsiTheme="minorHAnsi" w:cstheme="minorHAnsi"/>
                <w:i/>
                <w:sz w:val="18"/>
                <w:szCs w:val="18"/>
                <w:lang w:val="en-GB"/>
              </w:rPr>
              <w:t xml:space="preserve">; </w:t>
            </w:r>
            <w:r w:rsidRPr="00B84598">
              <w:rPr>
                <w:rFonts w:asciiTheme="minorHAnsi" w:hAnsiTheme="minorHAnsi" w:cstheme="minorHAnsi"/>
                <w:i/>
                <w:sz w:val="18"/>
                <w:szCs w:val="18"/>
                <w:lang w:val="en-GB"/>
              </w:rPr>
              <w:t>Credential Compromise</w:t>
            </w:r>
            <w:r w:rsidRPr="00B84598">
              <w:rPr>
                <w:rFonts w:asciiTheme="minorHAnsi" w:hAnsiTheme="minorHAnsi" w:cstheme="minorHAnsi"/>
                <w:i/>
                <w:sz w:val="18"/>
                <w:szCs w:val="18"/>
                <w:lang w:val="en-GB"/>
              </w:rPr>
              <w:t xml:space="preserve">; </w:t>
            </w:r>
            <w:r w:rsidRPr="00B84598">
              <w:rPr>
                <w:rFonts w:asciiTheme="minorHAnsi" w:hAnsiTheme="minorHAnsi" w:cstheme="minorHAnsi"/>
                <w:i/>
                <w:sz w:val="18"/>
                <w:szCs w:val="18"/>
                <w:lang w:val="en-GB"/>
              </w:rPr>
              <w:t>Lateral Movement (SCADA Server)</w:t>
            </w:r>
            <w:r w:rsidRPr="00B84598">
              <w:rPr>
                <w:rFonts w:asciiTheme="minorHAnsi" w:hAnsiTheme="minorHAnsi" w:cstheme="minorHAnsi"/>
                <w:i/>
                <w:sz w:val="18"/>
                <w:szCs w:val="18"/>
                <w:lang w:val="en-GB"/>
              </w:rPr>
              <w:t xml:space="preserve">; </w:t>
            </w:r>
            <w:r w:rsidRPr="00B84598">
              <w:rPr>
                <w:rFonts w:asciiTheme="minorHAnsi" w:hAnsiTheme="minorHAnsi" w:cstheme="minorHAnsi"/>
                <w:i/>
                <w:sz w:val="18"/>
                <w:szCs w:val="18"/>
                <w:lang w:val="en-GB"/>
              </w:rPr>
              <w:t>Manipulation (Field Devices)</w:t>
            </w:r>
            <w:r w:rsidRPr="00B84598">
              <w:rPr>
                <w:rFonts w:asciiTheme="minorHAnsi" w:hAnsiTheme="minorHAnsi" w:cstheme="minorHAnsi"/>
                <w:i/>
                <w:sz w:val="18"/>
                <w:szCs w:val="18"/>
                <w:lang w:val="en-GB"/>
              </w:rPr>
              <w:t>.</w:t>
            </w:r>
          </w:p>
          <w:p w14:paraId="336F33EE" w14:textId="77777777" w:rsidR="00B84598" w:rsidRDefault="00B84598" w:rsidP="00210B7E">
            <w:pPr>
              <w:pStyle w:val="NormalWeb"/>
              <w:spacing w:before="0" w:beforeAutospacing="0" w:after="0" w:afterAutospacing="0"/>
              <w:jc w:val="both"/>
              <w:rPr>
                <w:rFonts w:asciiTheme="minorHAnsi" w:hAnsiTheme="minorHAnsi" w:cstheme="minorHAnsi"/>
                <w:iCs/>
                <w:sz w:val="20"/>
                <w:szCs w:val="20"/>
                <w:lang w:val="en-GB"/>
              </w:rPr>
            </w:pPr>
          </w:p>
          <w:p w14:paraId="283007B8" w14:textId="5E2102A4" w:rsidR="00877F0A" w:rsidRPr="00C462A0" w:rsidRDefault="00877F0A" w:rsidP="00210B7E">
            <w:pPr>
              <w:pStyle w:val="NormalWeb"/>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A useful analytical lens for understanding these threats is the MITRE ATT&amp;CK framework, and specifically ATT&amp;CK for ICS, which maps adversarial tactics and techniques targeting industrial control systems. Unlike enterprise IT attacks focused primarily on data exfiltration, ICS-oriented attacks may aim to manipulate physical processes, disrupt energy distribution, or degrade system integrity.</w:t>
            </w:r>
          </w:p>
          <w:p w14:paraId="14CA4621" w14:textId="77777777" w:rsidR="00877F0A" w:rsidRPr="00C462A0" w:rsidRDefault="00877F0A" w:rsidP="00210B7E">
            <w:pPr>
              <w:pStyle w:val="NormalWeb"/>
              <w:spacing w:before="0" w:beforeAutospacing="0" w:after="0" w:afterAutospacing="0"/>
              <w:jc w:val="both"/>
              <w:rPr>
                <w:rFonts w:asciiTheme="minorHAnsi" w:hAnsiTheme="minorHAnsi" w:cstheme="minorHAnsi"/>
                <w:iCs/>
                <w:sz w:val="20"/>
                <w:szCs w:val="20"/>
                <w:lang w:val="en-GB"/>
              </w:rPr>
            </w:pPr>
          </w:p>
          <w:p w14:paraId="55A4D511" w14:textId="77777777" w:rsidR="00877F0A" w:rsidRPr="00C462A0" w:rsidRDefault="00877F0A" w:rsidP="00210B7E">
            <w:pPr>
              <w:pStyle w:val="NormalWeb"/>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MITRE ATT&amp;CK for ICS structures adversarial behaviour across tactics such as:</w:t>
            </w:r>
          </w:p>
          <w:p w14:paraId="2F8EC1FF" w14:textId="77777777" w:rsidR="00877F0A" w:rsidRPr="00C462A0" w:rsidRDefault="00877F0A" w:rsidP="00877F0A">
            <w:pPr>
              <w:pStyle w:val="NormalWeb"/>
              <w:numPr>
                <w:ilvl w:val="0"/>
                <w:numId w:val="257"/>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Initial Access</w:t>
            </w:r>
          </w:p>
          <w:p w14:paraId="12B51ECB" w14:textId="77777777" w:rsidR="00877F0A" w:rsidRPr="00C462A0" w:rsidRDefault="00877F0A" w:rsidP="00877F0A">
            <w:pPr>
              <w:pStyle w:val="NormalWeb"/>
              <w:numPr>
                <w:ilvl w:val="0"/>
                <w:numId w:val="257"/>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Execution</w:t>
            </w:r>
          </w:p>
          <w:p w14:paraId="496B0C57" w14:textId="77777777" w:rsidR="00877F0A" w:rsidRPr="00C462A0" w:rsidRDefault="00877F0A" w:rsidP="00877F0A">
            <w:pPr>
              <w:pStyle w:val="NormalWeb"/>
              <w:numPr>
                <w:ilvl w:val="0"/>
                <w:numId w:val="257"/>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Persistence</w:t>
            </w:r>
          </w:p>
          <w:p w14:paraId="2AC54118" w14:textId="77777777" w:rsidR="00877F0A" w:rsidRPr="00C462A0" w:rsidRDefault="00877F0A" w:rsidP="00877F0A">
            <w:pPr>
              <w:pStyle w:val="NormalWeb"/>
              <w:numPr>
                <w:ilvl w:val="0"/>
                <w:numId w:val="257"/>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Privilege Escalation</w:t>
            </w:r>
          </w:p>
          <w:p w14:paraId="6C5F073D" w14:textId="77777777" w:rsidR="00877F0A" w:rsidRPr="00C462A0" w:rsidRDefault="00877F0A" w:rsidP="00877F0A">
            <w:pPr>
              <w:pStyle w:val="NormalWeb"/>
              <w:numPr>
                <w:ilvl w:val="0"/>
                <w:numId w:val="257"/>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Lateral Movement</w:t>
            </w:r>
          </w:p>
          <w:p w14:paraId="14A5A0FB" w14:textId="77777777" w:rsidR="00877F0A" w:rsidRPr="00C462A0" w:rsidRDefault="00877F0A" w:rsidP="00877F0A">
            <w:pPr>
              <w:pStyle w:val="NormalWeb"/>
              <w:numPr>
                <w:ilvl w:val="0"/>
                <w:numId w:val="257"/>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Command and Control</w:t>
            </w:r>
          </w:p>
          <w:p w14:paraId="311D6D5D" w14:textId="77777777" w:rsidR="00877F0A" w:rsidRPr="00C462A0" w:rsidRDefault="00877F0A" w:rsidP="00877F0A">
            <w:pPr>
              <w:pStyle w:val="NormalWeb"/>
              <w:numPr>
                <w:ilvl w:val="0"/>
                <w:numId w:val="257"/>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Inhibit Response Function</w:t>
            </w:r>
          </w:p>
          <w:p w14:paraId="50F95AC2" w14:textId="77777777" w:rsidR="00877F0A" w:rsidRPr="00C462A0" w:rsidRDefault="00877F0A" w:rsidP="00877F0A">
            <w:pPr>
              <w:pStyle w:val="NormalWeb"/>
              <w:numPr>
                <w:ilvl w:val="0"/>
                <w:numId w:val="257"/>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Impair Process Control</w:t>
            </w:r>
          </w:p>
          <w:p w14:paraId="091B9361" w14:textId="77777777" w:rsidR="00877F0A" w:rsidRPr="00C462A0" w:rsidRDefault="00877F0A" w:rsidP="00210B7E">
            <w:pPr>
              <w:pStyle w:val="NormalWeb"/>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In the context of EMS, examples include:</w:t>
            </w:r>
          </w:p>
          <w:p w14:paraId="01F1ADFC" w14:textId="77777777" w:rsidR="00877F0A" w:rsidRPr="00C462A0" w:rsidRDefault="00877F0A" w:rsidP="00877F0A">
            <w:pPr>
              <w:pStyle w:val="NormalWeb"/>
              <w:numPr>
                <w:ilvl w:val="0"/>
                <w:numId w:val="258"/>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Exploiting remote access services used for maintenance.</w:t>
            </w:r>
          </w:p>
          <w:p w14:paraId="2FAC4370" w14:textId="77777777" w:rsidR="00877F0A" w:rsidRPr="00C462A0" w:rsidRDefault="00877F0A" w:rsidP="00877F0A">
            <w:pPr>
              <w:pStyle w:val="NormalWeb"/>
              <w:numPr>
                <w:ilvl w:val="0"/>
                <w:numId w:val="258"/>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Compromising engineering workstations to inject malicious logic into PLCs.</w:t>
            </w:r>
          </w:p>
          <w:p w14:paraId="7EA3DD94" w14:textId="77777777" w:rsidR="00877F0A" w:rsidRPr="00C462A0" w:rsidRDefault="00877F0A" w:rsidP="00877F0A">
            <w:pPr>
              <w:pStyle w:val="NormalWeb"/>
              <w:numPr>
                <w:ilvl w:val="0"/>
                <w:numId w:val="258"/>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Manipulating setpoints to alter energy production or consumption patterns.</w:t>
            </w:r>
          </w:p>
          <w:p w14:paraId="6F7868F4" w14:textId="77777777" w:rsidR="00877F0A" w:rsidRPr="00C462A0" w:rsidRDefault="00877F0A" w:rsidP="00877F0A">
            <w:pPr>
              <w:pStyle w:val="NormalWeb"/>
              <w:numPr>
                <w:ilvl w:val="0"/>
                <w:numId w:val="258"/>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Disabling safety alarms to conceal malicious activity.</w:t>
            </w:r>
          </w:p>
          <w:p w14:paraId="71B28BD5" w14:textId="77777777" w:rsidR="00877F0A" w:rsidRPr="00C462A0" w:rsidRDefault="00877F0A" w:rsidP="00877F0A">
            <w:pPr>
              <w:pStyle w:val="NormalWeb"/>
              <w:spacing w:before="0" w:beforeAutospacing="0" w:after="0" w:afterAutospacing="0"/>
              <w:ind w:left="720"/>
              <w:jc w:val="both"/>
              <w:rPr>
                <w:rFonts w:asciiTheme="minorHAnsi" w:hAnsiTheme="minorHAnsi" w:cstheme="minorHAnsi"/>
                <w:iCs/>
                <w:sz w:val="20"/>
                <w:szCs w:val="20"/>
                <w:lang w:val="en-GB"/>
              </w:rPr>
            </w:pPr>
          </w:p>
          <w:p w14:paraId="795F51F2" w14:textId="77777777" w:rsidR="00877F0A" w:rsidRPr="00C462A0" w:rsidRDefault="00877F0A" w:rsidP="00210B7E">
            <w:pPr>
              <w:pStyle w:val="NormalWeb"/>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These techniques are particularly relevant for renewable energy installations and smart grids, where distributed architectures and IoT-connected components increase exposure.</w:t>
            </w:r>
          </w:p>
          <w:p w14:paraId="58D7B41D" w14:textId="77777777" w:rsidR="00877F0A" w:rsidRPr="00C462A0" w:rsidRDefault="00877F0A" w:rsidP="00210B7E">
            <w:pPr>
              <w:pStyle w:val="NormalWeb"/>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lastRenderedPageBreak/>
              <w:t>Recent attack patterns affecting energy systems include ransomware targeting control environments, supply-chain compromises of industrial software, and credential abuse through poorly segmented IT/OT networks. In sustainable infrastructures, the impact extends beyond operational disruption: it can affect ESG reporting accuracy, carbon accounting data integrity, and regulatory compliance.</w:t>
            </w:r>
          </w:p>
          <w:p w14:paraId="66259878" w14:textId="77777777" w:rsidR="00877F0A" w:rsidRPr="00C462A0" w:rsidRDefault="00877F0A" w:rsidP="00210B7E">
            <w:pPr>
              <w:pStyle w:val="NormalWeb"/>
              <w:spacing w:before="0" w:beforeAutospacing="0" w:after="0" w:afterAutospacing="0"/>
              <w:jc w:val="both"/>
              <w:rPr>
                <w:rFonts w:asciiTheme="minorHAnsi" w:hAnsiTheme="minorHAnsi" w:cstheme="minorHAnsi"/>
                <w:iCs/>
                <w:sz w:val="20"/>
                <w:szCs w:val="20"/>
                <w:lang w:val="en-GB"/>
              </w:rPr>
            </w:pPr>
          </w:p>
          <w:p w14:paraId="17FD3C51" w14:textId="49C11530" w:rsidR="00121AFC" w:rsidRPr="00C462A0" w:rsidRDefault="00121AFC" w:rsidP="00121AFC">
            <w:pPr>
              <w:pStyle w:val="Caption"/>
              <w:keepNext/>
              <w:rPr>
                <w:b w:val="0"/>
                <w:bCs w:val="0"/>
              </w:rPr>
            </w:pPr>
            <w:bookmarkStart w:id="28" w:name="_Toc227624054"/>
            <w:r w:rsidRPr="00C462A0">
              <w:rPr>
                <w:b w:val="0"/>
                <w:bCs w:val="0"/>
              </w:rPr>
              <w:t xml:space="preserve">Table </w:t>
            </w:r>
            <w:r w:rsidRPr="00C462A0">
              <w:rPr>
                <w:b w:val="0"/>
                <w:bCs w:val="0"/>
              </w:rPr>
              <w:fldChar w:fldCharType="begin"/>
            </w:r>
            <w:r w:rsidRPr="00C462A0">
              <w:rPr>
                <w:b w:val="0"/>
                <w:bCs w:val="0"/>
              </w:rPr>
              <w:instrText xml:space="preserve"> SEQ Table \* ARABIC </w:instrText>
            </w:r>
            <w:r w:rsidRPr="00C462A0">
              <w:rPr>
                <w:b w:val="0"/>
                <w:bCs w:val="0"/>
              </w:rPr>
              <w:fldChar w:fldCharType="separate"/>
            </w:r>
            <w:r w:rsidRPr="00C462A0">
              <w:rPr>
                <w:b w:val="0"/>
                <w:bCs w:val="0"/>
                <w:noProof/>
              </w:rPr>
              <w:t>4</w:t>
            </w:r>
            <w:r w:rsidRPr="00C462A0">
              <w:rPr>
                <w:b w:val="0"/>
                <w:bCs w:val="0"/>
              </w:rPr>
              <w:fldChar w:fldCharType="end"/>
            </w:r>
            <w:r w:rsidRPr="00C462A0">
              <w:rPr>
                <w:b w:val="0"/>
                <w:bCs w:val="0"/>
              </w:rPr>
              <w:t>. Various cybersecurity threats within Operational Technology (OT) environments and their cascading effects on business operations and ESG (Environmental, Social, and Governance) goals (source: Author)</w:t>
            </w:r>
            <w:bookmarkEnd w:id="28"/>
          </w:p>
          <w:tbl>
            <w:tblPr>
              <w:tblStyle w:val="Bordered"/>
              <w:tblW w:w="0" w:type="auto"/>
              <w:tblLook w:val="04A0" w:firstRow="1" w:lastRow="0" w:firstColumn="1" w:lastColumn="0" w:noHBand="0" w:noVBand="1"/>
            </w:tblPr>
            <w:tblGrid>
              <w:gridCol w:w="1797"/>
              <w:gridCol w:w="2686"/>
              <w:gridCol w:w="2188"/>
              <w:gridCol w:w="2731"/>
            </w:tblGrid>
            <w:tr w:rsidR="00877F0A" w:rsidRPr="00C462A0" w14:paraId="0905FD57" w14:textId="77777777" w:rsidTr="00877F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B572EED" w14:textId="77777777" w:rsidR="00877F0A" w:rsidRPr="00C462A0" w:rsidRDefault="00877F0A" w:rsidP="00210B7E">
                  <w:pPr>
                    <w:jc w:val="center"/>
                    <w:rPr>
                      <w:rFonts w:asciiTheme="minorHAnsi" w:eastAsia="Times New Roman" w:hAnsiTheme="minorHAnsi" w:cstheme="minorHAnsi"/>
                      <w:b/>
                      <w:bCs/>
                      <w:szCs w:val="20"/>
                    </w:rPr>
                  </w:pPr>
                  <w:r w:rsidRPr="00C462A0">
                    <w:rPr>
                      <w:rFonts w:asciiTheme="minorHAnsi" w:eastAsia="Times New Roman" w:hAnsiTheme="minorHAnsi" w:cstheme="minorHAnsi"/>
                      <w:b/>
                      <w:bCs/>
                      <w:szCs w:val="20"/>
                    </w:rPr>
                    <w:t>Threat Type</w:t>
                  </w:r>
                </w:p>
              </w:tc>
              <w:tc>
                <w:tcPr>
                  <w:tcW w:w="0" w:type="auto"/>
                </w:tcPr>
                <w:p w14:paraId="6AB0132F" w14:textId="77777777" w:rsidR="00877F0A" w:rsidRPr="00C462A0" w:rsidRDefault="00877F0A" w:rsidP="00210B7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Cs w:val="20"/>
                    </w:rPr>
                  </w:pPr>
                  <w:r w:rsidRPr="00C462A0">
                    <w:rPr>
                      <w:rFonts w:asciiTheme="minorHAnsi" w:eastAsia="Times New Roman" w:hAnsiTheme="minorHAnsi" w:cstheme="minorHAnsi"/>
                      <w:b/>
                      <w:bCs/>
                      <w:szCs w:val="20"/>
                    </w:rPr>
                    <w:t>Example</w:t>
                  </w:r>
                </w:p>
              </w:tc>
              <w:tc>
                <w:tcPr>
                  <w:tcW w:w="0" w:type="auto"/>
                </w:tcPr>
                <w:p w14:paraId="7FDCF126" w14:textId="77777777" w:rsidR="00877F0A" w:rsidRPr="00C462A0" w:rsidRDefault="00877F0A" w:rsidP="00210B7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Cs w:val="20"/>
                    </w:rPr>
                  </w:pPr>
                  <w:r w:rsidRPr="00C462A0">
                    <w:rPr>
                      <w:rFonts w:asciiTheme="minorHAnsi" w:eastAsia="Times New Roman" w:hAnsiTheme="minorHAnsi" w:cstheme="minorHAnsi"/>
                      <w:b/>
                      <w:bCs/>
                      <w:szCs w:val="20"/>
                    </w:rPr>
                    <w:t>Operational Impact</w:t>
                  </w:r>
                </w:p>
              </w:tc>
              <w:tc>
                <w:tcPr>
                  <w:tcW w:w="0" w:type="auto"/>
                </w:tcPr>
                <w:p w14:paraId="5A1C4167" w14:textId="77777777" w:rsidR="00877F0A" w:rsidRPr="00C462A0" w:rsidRDefault="00877F0A" w:rsidP="00210B7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Cs w:val="20"/>
                    </w:rPr>
                  </w:pPr>
                  <w:r w:rsidRPr="00C462A0">
                    <w:rPr>
                      <w:rFonts w:asciiTheme="minorHAnsi" w:eastAsia="Times New Roman" w:hAnsiTheme="minorHAnsi" w:cstheme="minorHAnsi"/>
                      <w:b/>
                      <w:bCs/>
                      <w:szCs w:val="20"/>
                    </w:rPr>
                    <w:t>ESG/Data Impact</w:t>
                  </w:r>
                </w:p>
              </w:tc>
            </w:tr>
            <w:tr w:rsidR="00877F0A" w:rsidRPr="00C462A0" w14:paraId="6ACF175D" w14:textId="77777777" w:rsidTr="00877F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5D49BD1" w14:textId="77777777" w:rsidR="00877F0A" w:rsidRPr="00C462A0" w:rsidRDefault="00877F0A" w:rsidP="00210B7E">
                  <w:pPr>
                    <w:rPr>
                      <w:rFonts w:asciiTheme="minorHAnsi" w:eastAsia="Times New Roman" w:hAnsiTheme="minorHAnsi" w:cstheme="minorHAnsi"/>
                      <w:szCs w:val="20"/>
                    </w:rPr>
                  </w:pPr>
                  <w:r w:rsidRPr="00C462A0">
                    <w:rPr>
                      <w:rFonts w:asciiTheme="minorHAnsi" w:eastAsia="Times New Roman" w:hAnsiTheme="minorHAnsi" w:cstheme="minorHAnsi"/>
                      <w:szCs w:val="20"/>
                    </w:rPr>
                    <w:t>Ransomware</w:t>
                  </w:r>
                </w:p>
              </w:tc>
              <w:tc>
                <w:tcPr>
                  <w:tcW w:w="0" w:type="auto"/>
                </w:tcPr>
                <w:p w14:paraId="086A7706" w14:textId="77777777" w:rsidR="00877F0A" w:rsidRPr="00C462A0" w:rsidRDefault="00877F0A" w:rsidP="00210B7E">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rPr>
                  </w:pPr>
                  <w:r w:rsidRPr="00C462A0">
                    <w:rPr>
                      <w:rFonts w:asciiTheme="minorHAnsi" w:eastAsia="Times New Roman" w:hAnsiTheme="minorHAnsi" w:cstheme="minorHAnsi"/>
                      <w:szCs w:val="20"/>
                    </w:rPr>
                    <w:t>Encrypted HMI systems</w:t>
                  </w:r>
                </w:p>
              </w:tc>
              <w:tc>
                <w:tcPr>
                  <w:tcW w:w="0" w:type="auto"/>
                </w:tcPr>
                <w:p w14:paraId="7764C957" w14:textId="77777777" w:rsidR="00877F0A" w:rsidRPr="00C462A0" w:rsidRDefault="00877F0A" w:rsidP="00210B7E">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rPr>
                  </w:pPr>
                  <w:r w:rsidRPr="00C462A0">
                    <w:rPr>
                      <w:rFonts w:asciiTheme="minorHAnsi" w:eastAsia="Times New Roman" w:hAnsiTheme="minorHAnsi" w:cstheme="minorHAnsi"/>
                      <w:szCs w:val="20"/>
                    </w:rPr>
                    <w:t>Monitoring disruption</w:t>
                  </w:r>
                </w:p>
              </w:tc>
              <w:tc>
                <w:tcPr>
                  <w:tcW w:w="0" w:type="auto"/>
                </w:tcPr>
                <w:p w14:paraId="708CF63B" w14:textId="77777777" w:rsidR="00877F0A" w:rsidRPr="00C462A0" w:rsidRDefault="00877F0A" w:rsidP="00210B7E">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rPr>
                  </w:pPr>
                  <w:r w:rsidRPr="00C462A0">
                    <w:rPr>
                      <w:rFonts w:asciiTheme="minorHAnsi" w:eastAsia="Times New Roman" w:hAnsiTheme="minorHAnsi" w:cstheme="minorHAnsi"/>
                      <w:szCs w:val="20"/>
                    </w:rPr>
                    <w:t>Delayed sustainability reporting</w:t>
                  </w:r>
                </w:p>
              </w:tc>
            </w:tr>
            <w:tr w:rsidR="00877F0A" w:rsidRPr="00C462A0" w14:paraId="0AE9E248" w14:textId="77777777" w:rsidTr="00877F0A">
              <w:tc>
                <w:tcPr>
                  <w:cnfStyle w:val="001000000000" w:firstRow="0" w:lastRow="0" w:firstColumn="1" w:lastColumn="0" w:oddVBand="0" w:evenVBand="0" w:oddHBand="0" w:evenHBand="0" w:firstRowFirstColumn="0" w:firstRowLastColumn="0" w:lastRowFirstColumn="0" w:lastRowLastColumn="0"/>
                  <w:tcW w:w="0" w:type="auto"/>
                </w:tcPr>
                <w:p w14:paraId="25C03436" w14:textId="77777777" w:rsidR="00877F0A" w:rsidRPr="00C462A0" w:rsidRDefault="00877F0A" w:rsidP="00210B7E">
                  <w:pPr>
                    <w:rPr>
                      <w:rFonts w:asciiTheme="minorHAnsi" w:eastAsia="Times New Roman" w:hAnsiTheme="minorHAnsi" w:cstheme="minorHAnsi"/>
                      <w:szCs w:val="20"/>
                    </w:rPr>
                  </w:pPr>
                  <w:r w:rsidRPr="00C462A0">
                    <w:rPr>
                      <w:rFonts w:asciiTheme="minorHAnsi" w:eastAsia="Times New Roman" w:hAnsiTheme="minorHAnsi" w:cstheme="minorHAnsi"/>
                      <w:szCs w:val="20"/>
                    </w:rPr>
                    <w:t>PLC Manipulation</w:t>
                  </w:r>
                </w:p>
              </w:tc>
              <w:tc>
                <w:tcPr>
                  <w:tcW w:w="0" w:type="auto"/>
                </w:tcPr>
                <w:p w14:paraId="599FC4F9" w14:textId="77777777" w:rsidR="00877F0A" w:rsidRPr="00C462A0" w:rsidRDefault="00877F0A" w:rsidP="00210B7E">
                  <w:pPr>
                    <w:cnfStyle w:val="000000000000" w:firstRow="0" w:lastRow="0" w:firstColumn="0" w:lastColumn="0" w:oddVBand="0" w:evenVBand="0" w:oddHBand="0" w:evenHBand="0" w:firstRowFirstColumn="0" w:firstRowLastColumn="0" w:lastRowFirstColumn="0" w:lastRowLastColumn="0"/>
                    <w:rPr>
                      <w:rFonts w:eastAsia="Times New Roman" w:cstheme="minorHAnsi"/>
                      <w:szCs w:val="20"/>
                    </w:rPr>
                  </w:pPr>
                  <w:r w:rsidRPr="00C462A0">
                    <w:rPr>
                      <w:rFonts w:eastAsia="Times New Roman" w:cstheme="minorHAnsi"/>
                      <w:szCs w:val="20"/>
                    </w:rPr>
                    <w:t>Altered setpoints</w:t>
                  </w:r>
                </w:p>
              </w:tc>
              <w:tc>
                <w:tcPr>
                  <w:tcW w:w="0" w:type="auto"/>
                </w:tcPr>
                <w:p w14:paraId="615457A0" w14:textId="77777777" w:rsidR="00877F0A" w:rsidRPr="00C462A0" w:rsidRDefault="00877F0A" w:rsidP="00210B7E">
                  <w:pPr>
                    <w:cnfStyle w:val="000000000000" w:firstRow="0" w:lastRow="0" w:firstColumn="0" w:lastColumn="0" w:oddVBand="0" w:evenVBand="0" w:oddHBand="0" w:evenHBand="0" w:firstRowFirstColumn="0" w:firstRowLastColumn="0" w:lastRowFirstColumn="0" w:lastRowLastColumn="0"/>
                    <w:rPr>
                      <w:rFonts w:eastAsia="Times New Roman" w:cstheme="minorHAnsi"/>
                      <w:szCs w:val="20"/>
                    </w:rPr>
                  </w:pPr>
                  <w:r w:rsidRPr="00C462A0">
                    <w:rPr>
                      <w:rFonts w:eastAsia="Times New Roman" w:cstheme="minorHAnsi"/>
                      <w:szCs w:val="20"/>
                    </w:rPr>
                    <w:t>Process instability</w:t>
                  </w:r>
                </w:p>
              </w:tc>
              <w:tc>
                <w:tcPr>
                  <w:tcW w:w="0" w:type="auto"/>
                </w:tcPr>
                <w:p w14:paraId="7BB286CA" w14:textId="77777777" w:rsidR="00877F0A" w:rsidRPr="00C462A0" w:rsidRDefault="00877F0A" w:rsidP="00210B7E">
                  <w:pPr>
                    <w:cnfStyle w:val="000000000000" w:firstRow="0" w:lastRow="0" w:firstColumn="0" w:lastColumn="0" w:oddVBand="0" w:evenVBand="0" w:oddHBand="0" w:evenHBand="0" w:firstRowFirstColumn="0" w:firstRowLastColumn="0" w:lastRowFirstColumn="0" w:lastRowLastColumn="0"/>
                    <w:rPr>
                      <w:rFonts w:eastAsia="Times New Roman" w:cstheme="minorHAnsi"/>
                      <w:szCs w:val="20"/>
                    </w:rPr>
                  </w:pPr>
                  <w:r w:rsidRPr="00C462A0">
                    <w:rPr>
                      <w:rFonts w:eastAsia="Times New Roman" w:cstheme="minorHAnsi"/>
                      <w:szCs w:val="20"/>
                    </w:rPr>
                    <w:t>Inaccurate consumption data</w:t>
                  </w:r>
                </w:p>
              </w:tc>
            </w:tr>
            <w:tr w:rsidR="00877F0A" w:rsidRPr="00C462A0" w14:paraId="18823F7D" w14:textId="77777777" w:rsidTr="00877F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99A910A" w14:textId="77777777" w:rsidR="00877F0A" w:rsidRPr="00C462A0" w:rsidRDefault="00877F0A" w:rsidP="00210B7E">
                  <w:pPr>
                    <w:rPr>
                      <w:rFonts w:asciiTheme="minorHAnsi" w:eastAsia="Times New Roman" w:hAnsiTheme="minorHAnsi" w:cstheme="minorHAnsi"/>
                      <w:szCs w:val="20"/>
                    </w:rPr>
                  </w:pPr>
                  <w:r w:rsidRPr="00C462A0">
                    <w:rPr>
                      <w:rFonts w:asciiTheme="minorHAnsi" w:eastAsia="Times New Roman" w:hAnsiTheme="minorHAnsi" w:cstheme="minorHAnsi"/>
                      <w:szCs w:val="20"/>
                    </w:rPr>
                    <w:t>Credential Abuse</w:t>
                  </w:r>
                </w:p>
              </w:tc>
              <w:tc>
                <w:tcPr>
                  <w:tcW w:w="0" w:type="auto"/>
                </w:tcPr>
                <w:p w14:paraId="49BAFEE7" w14:textId="77777777" w:rsidR="00877F0A" w:rsidRPr="00C462A0" w:rsidRDefault="00877F0A" w:rsidP="00210B7E">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rPr>
                  </w:pPr>
                  <w:r w:rsidRPr="00C462A0">
                    <w:rPr>
                      <w:rFonts w:asciiTheme="minorHAnsi" w:eastAsia="Times New Roman" w:hAnsiTheme="minorHAnsi" w:cstheme="minorHAnsi"/>
                      <w:szCs w:val="20"/>
                    </w:rPr>
                    <w:t>Compromised admin account</w:t>
                  </w:r>
                </w:p>
              </w:tc>
              <w:tc>
                <w:tcPr>
                  <w:tcW w:w="0" w:type="auto"/>
                </w:tcPr>
                <w:p w14:paraId="25D1CEB1" w14:textId="77777777" w:rsidR="00877F0A" w:rsidRPr="00C462A0" w:rsidRDefault="00877F0A" w:rsidP="00210B7E">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rPr>
                  </w:pPr>
                  <w:r w:rsidRPr="00C462A0">
                    <w:rPr>
                      <w:rFonts w:asciiTheme="minorHAnsi" w:eastAsia="Times New Roman" w:hAnsiTheme="minorHAnsi" w:cstheme="minorHAnsi"/>
                      <w:szCs w:val="20"/>
                    </w:rPr>
                    <w:t>Lateral movement in OT</w:t>
                  </w:r>
                </w:p>
              </w:tc>
              <w:tc>
                <w:tcPr>
                  <w:tcW w:w="0" w:type="auto"/>
                </w:tcPr>
                <w:p w14:paraId="7CF32FEB" w14:textId="77777777" w:rsidR="00877F0A" w:rsidRPr="00C462A0" w:rsidRDefault="00877F0A" w:rsidP="00210B7E">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rPr>
                  </w:pPr>
                  <w:r w:rsidRPr="00C462A0">
                    <w:rPr>
                      <w:rFonts w:asciiTheme="minorHAnsi" w:eastAsia="Times New Roman" w:hAnsiTheme="minorHAnsi" w:cstheme="minorHAnsi"/>
                      <w:szCs w:val="20"/>
                    </w:rPr>
                    <w:t>Data integrity loss</w:t>
                  </w:r>
                </w:p>
              </w:tc>
            </w:tr>
          </w:tbl>
          <w:p w14:paraId="57CA4E4A" w14:textId="77777777" w:rsidR="00877F0A" w:rsidRPr="00C462A0" w:rsidRDefault="00877F0A" w:rsidP="00210B7E">
            <w:pPr>
              <w:pStyle w:val="NormalWeb"/>
              <w:keepNext/>
              <w:spacing w:before="0" w:beforeAutospacing="0" w:after="0" w:afterAutospacing="0"/>
              <w:jc w:val="center"/>
              <w:rPr>
                <w:rFonts w:asciiTheme="minorHAnsi" w:hAnsiTheme="minorHAnsi" w:cstheme="minorHAnsi"/>
                <w:iCs/>
                <w:sz w:val="20"/>
                <w:szCs w:val="20"/>
                <w:lang w:val="en-GB"/>
              </w:rPr>
            </w:pPr>
          </w:p>
          <w:p w14:paraId="072A4959" w14:textId="77777777" w:rsidR="00877F0A" w:rsidRPr="00C462A0" w:rsidRDefault="00877F0A" w:rsidP="00210B7E">
            <w:pPr>
              <w:pStyle w:val="NormalWeb"/>
              <w:keepNext/>
              <w:spacing w:before="0" w:beforeAutospacing="0" w:after="0" w:afterAutospacing="0"/>
              <w:jc w:val="center"/>
              <w:rPr>
                <w:rFonts w:asciiTheme="minorHAnsi" w:hAnsiTheme="minorHAnsi" w:cstheme="minorHAnsi"/>
                <w:sz w:val="20"/>
                <w:szCs w:val="20"/>
                <w:lang w:val="en-GB"/>
              </w:rPr>
            </w:pPr>
            <w:r w:rsidRPr="00C462A0">
              <w:rPr>
                <w:rFonts w:asciiTheme="minorHAnsi" w:hAnsiTheme="minorHAnsi" w:cstheme="minorHAnsi"/>
                <w:iCs/>
                <w:noProof/>
                <w:sz w:val="20"/>
                <w:szCs w:val="20"/>
                <w:lang w:val="en-GB"/>
              </w:rPr>
              <w:drawing>
                <wp:inline distT="0" distB="0" distL="0" distR="0" wp14:anchorId="1D69ED61" wp14:editId="349DD25A">
                  <wp:extent cx="5508000" cy="3672000"/>
                  <wp:effectExtent l="0" t="0" r="0" b="508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49">
                            <a:extLst>
                              <a:ext uri="{BEBA8EAE-BF5A-486C-A8C5-ECC9F3942E4B}">
                                <a14:imgProps xmlns:a14="http://schemas.microsoft.com/office/drawing/2010/main">
                                  <a14:imgLayer r:embed="rId50">
                                    <a14:imgEffect>
                                      <a14:sharpenSoften amount="25000"/>
                                    </a14:imgEffect>
                                  </a14:imgLayer>
                                </a14:imgProps>
                              </a:ext>
                            </a:extLst>
                          </a:blip>
                          <a:stretch/>
                        </pic:blipFill>
                        <pic:spPr bwMode="auto">
                          <a:xfrm>
                            <a:off x="0" y="0"/>
                            <a:ext cx="5508000" cy="3672000"/>
                          </a:xfrm>
                          <a:prstGeom prst="rect">
                            <a:avLst/>
                          </a:prstGeom>
                          <a:noFill/>
                        </pic:spPr>
                      </pic:pic>
                    </a:graphicData>
                  </a:graphic>
                </wp:inline>
              </w:drawing>
            </w:r>
          </w:p>
          <w:p w14:paraId="7C4C9459" w14:textId="5488921C" w:rsidR="00877F0A" w:rsidRPr="00C462A0" w:rsidRDefault="00877F0A" w:rsidP="00877F0A">
            <w:pPr>
              <w:pStyle w:val="Caption"/>
              <w:jc w:val="center"/>
              <w:rPr>
                <w:rFonts w:cstheme="minorHAnsi"/>
                <w:b w:val="0"/>
                <w:bCs w:val="0"/>
                <w:sz w:val="18"/>
                <w:szCs w:val="18"/>
              </w:rPr>
            </w:pPr>
            <w:bookmarkStart w:id="29" w:name="_Toc227623448"/>
            <w:r w:rsidRPr="00C462A0">
              <w:rPr>
                <w:rFonts w:cstheme="minorHAnsi"/>
                <w:b w:val="0"/>
                <w:bCs w:val="0"/>
                <w:sz w:val="18"/>
                <w:szCs w:val="18"/>
              </w:rPr>
              <w:t xml:space="preserve">Figure </w:t>
            </w:r>
            <w:r w:rsidRPr="00C462A0">
              <w:rPr>
                <w:rFonts w:cstheme="minorHAnsi"/>
                <w:b w:val="0"/>
                <w:bCs w:val="0"/>
                <w:sz w:val="18"/>
                <w:szCs w:val="18"/>
              </w:rPr>
              <w:fldChar w:fldCharType="begin"/>
            </w:r>
            <w:r w:rsidRPr="00C462A0">
              <w:rPr>
                <w:rFonts w:cstheme="minorHAnsi"/>
                <w:b w:val="0"/>
                <w:bCs w:val="0"/>
                <w:sz w:val="18"/>
                <w:szCs w:val="18"/>
              </w:rPr>
              <w:instrText xml:space="preserve"> SEQ Figure \* ARABIC </w:instrText>
            </w:r>
            <w:r w:rsidRPr="00C462A0">
              <w:rPr>
                <w:rFonts w:cstheme="minorHAnsi"/>
                <w:b w:val="0"/>
                <w:bCs w:val="0"/>
                <w:sz w:val="18"/>
                <w:szCs w:val="18"/>
              </w:rPr>
              <w:fldChar w:fldCharType="separate"/>
            </w:r>
            <w:r w:rsidRPr="00C462A0">
              <w:rPr>
                <w:rFonts w:cstheme="minorHAnsi"/>
                <w:b w:val="0"/>
                <w:bCs w:val="0"/>
                <w:sz w:val="18"/>
                <w:szCs w:val="18"/>
              </w:rPr>
              <w:t>11</w:t>
            </w:r>
            <w:r w:rsidRPr="00C462A0">
              <w:rPr>
                <w:rFonts w:cstheme="minorHAnsi"/>
                <w:b w:val="0"/>
                <w:bCs w:val="0"/>
                <w:sz w:val="18"/>
                <w:szCs w:val="18"/>
              </w:rPr>
              <w:fldChar w:fldCharType="end"/>
            </w:r>
            <w:r w:rsidRPr="00C462A0">
              <w:rPr>
                <w:rFonts w:cstheme="minorHAnsi"/>
                <w:b w:val="0"/>
                <w:bCs w:val="0"/>
                <w:sz w:val="18"/>
                <w:szCs w:val="18"/>
              </w:rPr>
              <w:t>. Mapping EMS components to ATT&amp;CK for ICS tactic</w:t>
            </w:r>
            <w:r w:rsidR="008A7204" w:rsidRPr="00C462A0">
              <w:rPr>
                <w:rFonts w:cstheme="minorHAnsi"/>
                <w:b w:val="0"/>
                <w:bCs w:val="0"/>
                <w:sz w:val="18"/>
                <w:szCs w:val="18"/>
              </w:rPr>
              <w:t>s (source: Author)</w:t>
            </w:r>
            <w:bookmarkEnd w:id="29"/>
          </w:p>
          <w:p w14:paraId="20E4234E" w14:textId="77777777" w:rsidR="00877F0A" w:rsidRDefault="00877F0A" w:rsidP="00210B7E">
            <w:pPr>
              <w:rPr>
                <w:rFonts w:cstheme="minorHAnsi"/>
                <w:szCs w:val="20"/>
              </w:rPr>
            </w:pPr>
          </w:p>
          <w:p w14:paraId="7320EC73" w14:textId="72391032" w:rsidR="00721C5E" w:rsidRPr="00721C5E" w:rsidRDefault="00721C5E" w:rsidP="00721C5E">
            <w:pPr>
              <w:rPr>
                <w:rFonts w:cstheme="minorHAnsi"/>
                <w:i/>
                <w:iCs/>
                <w:sz w:val="18"/>
                <w:szCs w:val="18"/>
              </w:rPr>
            </w:pPr>
            <w:r w:rsidRPr="00721C5E">
              <w:rPr>
                <w:rFonts w:cstheme="minorHAnsi"/>
                <w:i/>
                <w:iCs/>
                <w:sz w:val="18"/>
                <w:szCs w:val="18"/>
              </w:rPr>
              <w:t>The</w:t>
            </w:r>
            <w:r w:rsidRPr="00721C5E">
              <w:rPr>
                <w:rFonts w:cstheme="minorHAnsi"/>
                <w:i/>
                <w:iCs/>
                <w:sz w:val="18"/>
                <w:szCs w:val="18"/>
              </w:rPr>
              <w:t xml:space="preserve"> infographic </w:t>
            </w:r>
            <w:r w:rsidRPr="00721C5E">
              <w:rPr>
                <w:rFonts w:cstheme="minorHAnsi"/>
                <w:i/>
                <w:iCs/>
                <w:sz w:val="18"/>
                <w:szCs w:val="18"/>
              </w:rPr>
              <w:t xml:space="preserve">above </w:t>
            </w:r>
            <w:r w:rsidRPr="00721C5E">
              <w:rPr>
                <w:rFonts w:cstheme="minorHAnsi"/>
                <w:i/>
                <w:iCs/>
                <w:sz w:val="18"/>
                <w:szCs w:val="18"/>
              </w:rPr>
              <w:t>illustrates the mapping of different layers within an Energy Management System (EMS) to corresponding adversarial tactics and techniques defined in the MITRE ATT&amp;CK for Industrial Control Systems (ICS) framework.</w:t>
            </w:r>
          </w:p>
          <w:p w14:paraId="511BF222" w14:textId="77777777" w:rsidR="00721C5E" w:rsidRPr="00721C5E" w:rsidRDefault="00721C5E" w:rsidP="00721C5E">
            <w:pPr>
              <w:pStyle w:val="ListParagraph"/>
              <w:numPr>
                <w:ilvl w:val="0"/>
                <w:numId w:val="429"/>
              </w:numPr>
              <w:rPr>
                <w:rFonts w:cstheme="minorHAnsi"/>
                <w:i/>
                <w:iCs/>
                <w:sz w:val="18"/>
                <w:szCs w:val="18"/>
              </w:rPr>
            </w:pPr>
            <w:r w:rsidRPr="00721C5E">
              <w:rPr>
                <w:rFonts w:cstheme="minorHAnsi"/>
                <w:i/>
                <w:iCs/>
                <w:sz w:val="18"/>
                <w:szCs w:val="18"/>
              </w:rPr>
              <w:t xml:space="preserve">Corporate Network: Vulnerable to initial access methods like phishing and supply chain compromises. </w:t>
            </w:r>
          </w:p>
          <w:p w14:paraId="3824F405" w14:textId="77777777" w:rsidR="00721C5E" w:rsidRPr="00721C5E" w:rsidRDefault="00721C5E" w:rsidP="00721C5E">
            <w:pPr>
              <w:pStyle w:val="ListParagraph"/>
              <w:numPr>
                <w:ilvl w:val="0"/>
                <w:numId w:val="429"/>
              </w:numPr>
              <w:rPr>
                <w:rFonts w:cstheme="minorHAnsi"/>
                <w:i/>
                <w:iCs/>
                <w:sz w:val="18"/>
                <w:szCs w:val="18"/>
              </w:rPr>
            </w:pPr>
            <w:r w:rsidRPr="00721C5E">
              <w:rPr>
                <w:rFonts w:cstheme="minorHAnsi"/>
                <w:i/>
                <w:iCs/>
                <w:sz w:val="18"/>
                <w:szCs w:val="18"/>
              </w:rPr>
              <w:t xml:space="preserve">Control Systems (SCADA/PLCs): Targets for technical actions such as firmware modifications and backdoor implants. </w:t>
            </w:r>
          </w:p>
          <w:p w14:paraId="7ED16B95" w14:textId="7CB22C58" w:rsidR="00721C5E" w:rsidRPr="00721C5E" w:rsidRDefault="00721C5E" w:rsidP="00721C5E">
            <w:pPr>
              <w:pStyle w:val="ListParagraph"/>
              <w:numPr>
                <w:ilvl w:val="0"/>
                <w:numId w:val="429"/>
              </w:numPr>
              <w:rPr>
                <w:rFonts w:cstheme="minorHAnsi"/>
                <w:i/>
                <w:iCs/>
                <w:sz w:val="18"/>
                <w:szCs w:val="18"/>
              </w:rPr>
            </w:pPr>
            <w:r w:rsidRPr="00721C5E">
              <w:rPr>
                <w:rFonts w:cstheme="minorHAnsi"/>
                <w:i/>
                <w:iCs/>
                <w:sz w:val="18"/>
                <w:szCs w:val="18"/>
              </w:rPr>
              <w:t>Field Devices &amp; Process Control: Susceptible to direct manipulation, including unauthorized commands and brute forcing I/O to inhibit responses.</w:t>
            </w:r>
          </w:p>
          <w:p w14:paraId="6B2B1C4F" w14:textId="77777777" w:rsidR="00877F0A" w:rsidRPr="00C462A0" w:rsidRDefault="00877F0A" w:rsidP="00877F0A">
            <w:pPr>
              <w:pStyle w:val="NormalWeb"/>
              <w:numPr>
                <w:ilvl w:val="0"/>
                <w:numId w:val="306"/>
              </w:numPr>
              <w:spacing w:before="0" w:beforeAutospacing="0" w:after="0" w:afterAutospacing="0"/>
              <w:rPr>
                <w:rFonts w:asciiTheme="minorHAnsi" w:hAnsiTheme="minorHAnsi" w:cstheme="minorHAnsi"/>
                <w:b/>
                <w:bCs/>
                <w:color w:val="009889" w:themeColor="accent2"/>
                <w:sz w:val="20"/>
                <w:szCs w:val="20"/>
                <w:lang w:val="en-GB" w:eastAsia="en-GB"/>
              </w:rPr>
            </w:pPr>
            <w:r w:rsidRPr="00C462A0">
              <w:rPr>
                <w:rFonts w:asciiTheme="minorHAnsi" w:hAnsiTheme="minorHAnsi" w:cstheme="minorHAnsi"/>
                <w:b/>
                <w:bCs/>
                <w:color w:val="009889" w:themeColor="accent2"/>
                <w:sz w:val="20"/>
                <w:szCs w:val="20"/>
                <w:lang w:val="en-GB" w:eastAsia="en-GB"/>
              </w:rPr>
              <w:lastRenderedPageBreak/>
              <w:t>Impact Dimensions in EMS Environments</w:t>
            </w:r>
          </w:p>
          <w:p w14:paraId="6FE9ECA5" w14:textId="77777777" w:rsidR="00877F0A" w:rsidRPr="00C462A0" w:rsidRDefault="00877F0A" w:rsidP="00210B7E">
            <w:pPr>
              <w:pStyle w:val="NormalWeb"/>
              <w:spacing w:before="0" w:beforeAutospacing="0" w:after="0" w:afterAutospacing="0"/>
              <w:rPr>
                <w:rFonts w:asciiTheme="minorHAnsi" w:hAnsiTheme="minorHAnsi" w:cstheme="minorHAnsi"/>
                <w:iCs/>
                <w:sz w:val="20"/>
                <w:szCs w:val="20"/>
                <w:lang w:val="en-GB"/>
              </w:rPr>
            </w:pPr>
            <w:r w:rsidRPr="00C462A0">
              <w:rPr>
                <w:rFonts w:asciiTheme="minorHAnsi" w:hAnsiTheme="minorHAnsi" w:cstheme="minorHAnsi"/>
                <w:iCs/>
                <w:sz w:val="20"/>
                <w:szCs w:val="20"/>
                <w:lang w:val="en-GB"/>
              </w:rPr>
              <w:t>Cyber incidents affecting EMS can result in:</w:t>
            </w:r>
          </w:p>
          <w:p w14:paraId="7C287025" w14:textId="77777777" w:rsidR="00877F0A" w:rsidRPr="00C462A0" w:rsidRDefault="00877F0A" w:rsidP="00877F0A">
            <w:pPr>
              <w:pStyle w:val="NormalWeb"/>
              <w:numPr>
                <w:ilvl w:val="0"/>
                <w:numId w:val="249"/>
              </w:numPr>
              <w:spacing w:before="0" w:beforeAutospacing="0" w:after="0" w:afterAutospacing="0"/>
              <w:rPr>
                <w:rFonts w:asciiTheme="minorHAnsi" w:hAnsiTheme="minorHAnsi" w:cstheme="minorHAnsi"/>
                <w:iCs/>
                <w:sz w:val="20"/>
                <w:szCs w:val="20"/>
                <w:lang w:val="en-GB"/>
              </w:rPr>
            </w:pPr>
            <w:r w:rsidRPr="00C462A0">
              <w:rPr>
                <w:rFonts w:asciiTheme="minorHAnsi" w:hAnsiTheme="minorHAnsi" w:cstheme="minorHAnsi"/>
                <w:iCs/>
                <w:sz w:val="20"/>
                <w:szCs w:val="20"/>
                <w:lang w:val="en-GB"/>
              </w:rPr>
              <w:t>Operational disruption or grid instability.</w:t>
            </w:r>
          </w:p>
          <w:p w14:paraId="36634589" w14:textId="77777777" w:rsidR="00877F0A" w:rsidRPr="00C462A0" w:rsidRDefault="00877F0A" w:rsidP="00877F0A">
            <w:pPr>
              <w:pStyle w:val="NormalWeb"/>
              <w:numPr>
                <w:ilvl w:val="0"/>
                <w:numId w:val="249"/>
              </w:numPr>
              <w:spacing w:before="0" w:beforeAutospacing="0" w:after="0" w:afterAutospacing="0"/>
              <w:rPr>
                <w:rFonts w:asciiTheme="minorHAnsi" w:hAnsiTheme="minorHAnsi" w:cstheme="minorHAnsi"/>
                <w:iCs/>
                <w:sz w:val="20"/>
                <w:szCs w:val="20"/>
                <w:lang w:val="en-GB"/>
              </w:rPr>
            </w:pPr>
            <w:r w:rsidRPr="00C462A0">
              <w:rPr>
                <w:rFonts w:asciiTheme="minorHAnsi" w:hAnsiTheme="minorHAnsi" w:cstheme="minorHAnsi"/>
                <w:iCs/>
                <w:sz w:val="20"/>
                <w:szCs w:val="20"/>
                <w:lang w:val="en-GB"/>
              </w:rPr>
              <w:t>Financial losses linked to downtime.</w:t>
            </w:r>
          </w:p>
          <w:p w14:paraId="196F699F" w14:textId="77777777" w:rsidR="00877F0A" w:rsidRPr="00C462A0" w:rsidRDefault="00877F0A" w:rsidP="00877F0A">
            <w:pPr>
              <w:pStyle w:val="NormalWeb"/>
              <w:numPr>
                <w:ilvl w:val="0"/>
                <w:numId w:val="249"/>
              </w:numPr>
              <w:spacing w:before="0" w:beforeAutospacing="0" w:after="0" w:afterAutospacing="0"/>
              <w:rPr>
                <w:rFonts w:asciiTheme="minorHAnsi" w:hAnsiTheme="minorHAnsi" w:cstheme="minorHAnsi"/>
                <w:iCs/>
                <w:sz w:val="20"/>
                <w:szCs w:val="20"/>
                <w:lang w:val="en-GB"/>
              </w:rPr>
            </w:pPr>
            <w:r w:rsidRPr="00C462A0">
              <w:rPr>
                <w:rFonts w:asciiTheme="minorHAnsi" w:hAnsiTheme="minorHAnsi" w:cstheme="minorHAnsi"/>
                <w:iCs/>
                <w:sz w:val="20"/>
                <w:szCs w:val="20"/>
                <w:lang w:val="en-GB"/>
              </w:rPr>
              <w:t>Environmental impact, such as the mismanagement of renewable resources.</w:t>
            </w:r>
          </w:p>
          <w:p w14:paraId="6233ABDC" w14:textId="77777777" w:rsidR="00877F0A" w:rsidRPr="00C462A0" w:rsidRDefault="00877F0A" w:rsidP="00877F0A">
            <w:pPr>
              <w:pStyle w:val="NormalWeb"/>
              <w:numPr>
                <w:ilvl w:val="0"/>
                <w:numId w:val="249"/>
              </w:numPr>
              <w:spacing w:before="0" w:beforeAutospacing="0" w:after="0" w:afterAutospacing="0"/>
              <w:rPr>
                <w:rFonts w:asciiTheme="minorHAnsi" w:hAnsiTheme="minorHAnsi" w:cstheme="minorHAnsi"/>
                <w:iCs/>
                <w:sz w:val="20"/>
                <w:szCs w:val="20"/>
                <w:lang w:val="en-GB"/>
              </w:rPr>
            </w:pPr>
            <w:r w:rsidRPr="00C462A0">
              <w:rPr>
                <w:rFonts w:asciiTheme="minorHAnsi" w:hAnsiTheme="minorHAnsi" w:cstheme="minorHAnsi"/>
                <w:iCs/>
                <w:sz w:val="20"/>
                <w:szCs w:val="20"/>
                <w:lang w:val="en-GB"/>
              </w:rPr>
              <w:t>Regulatory penalties.</w:t>
            </w:r>
          </w:p>
          <w:p w14:paraId="7355127A" w14:textId="77777777" w:rsidR="00877F0A" w:rsidRPr="00C462A0" w:rsidRDefault="00877F0A" w:rsidP="00877F0A">
            <w:pPr>
              <w:pStyle w:val="NormalWeb"/>
              <w:numPr>
                <w:ilvl w:val="0"/>
                <w:numId w:val="249"/>
              </w:numPr>
              <w:spacing w:before="0" w:beforeAutospacing="0" w:after="0" w:afterAutospacing="0"/>
              <w:rPr>
                <w:rFonts w:asciiTheme="minorHAnsi" w:hAnsiTheme="minorHAnsi" w:cstheme="minorHAnsi"/>
                <w:iCs/>
                <w:sz w:val="20"/>
                <w:szCs w:val="20"/>
                <w:lang w:val="en-GB"/>
              </w:rPr>
            </w:pPr>
            <w:r w:rsidRPr="00C462A0">
              <w:rPr>
                <w:rFonts w:asciiTheme="minorHAnsi" w:hAnsiTheme="minorHAnsi" w:cstheme="minorHAnsi"/>
                <w:iCs/>
                <w:sz w:val="20"/>
                <w:szCs w:val="20"/>
                <w:lang w:val="en-GB"/>
              </w:rPr>
              <w:t>Public safety risks.</w:t>
            </w:r>
          </w:p>
          <w:p w14:paraId="21B2C051" w14:textId="77777777" w:rsidR="00877F0A" w:rsidRPr="00C462A0" w:rsidRDefault="00877F0A" w:rsidP="00210B7E">
            <w:pPr>
              <w:pStyle w:val="NormalWeb"/>
              <w:spacing w:before="0" w:beforeAutospacing="0" w:after="0" w:afterAutospacing="0"/>
              <w:rPr>
                <w:rFonts w:asciiTheme="minorHAnsi" w:hAnsiTheme="minorHAnsi" w:cstheme="minorHAnsi"/>
                <w:iCs/>
                <w:sz w:val="20"/>
                <w:szCs w:val="20"/>
                <w:lang w:val="en-GB"/>
              </w:rPr>
            </w:pPr>
            <w:r w:rsidRPr="00C462A0">
              <w:rPr>
                <w:rFonts w:asciiTheme="minorHAnsi" w:hAnsiTheme="minorHAnsi" w:cstheme="minorHAnsi"/>
                <w:iCs/>
                <w:sz w:val="20"/>
                <w:szCs w:val="20"/>
                <w:lang w:val="en-GB"/>
              </w:rPr>
              <w:t>Since energy systems support economic and societal stability, risk evaluation needs to account for cascading effects that extend beyond immediate technical damage.</w:t>
            </w:r>
          </w:p>
          <w:p w14:paraId="18282CFB" w14:textId="197880CE" w:rsidR="008A7204" w:rsidRDefault="00877F0A" w:rsidP="00210B7E">
            <w:pPr>
              <w:pStyle w:val="NormalWeb"/>
              <w:spacing w:before="0" w:beforeAutospacing="0" w:after="0" w:afterAutospacing="0"/>
              <w:rPr>
                <w:rFonts w:asciiTheme="minorHAnsi" w:hAnsiTheme="minorHAnsi" w:cstheme="minorHAnsi"/>
                <w:iCs/>
                <w:sz w:val="20"/>
                <w:szCs w:val="20"/>
                <w:lang w:val="en-GB"/>
              </w:rPr>
            </w:pPr>
            <w:r w:rsidRPr="00C462A0">
              <w:rPr>
                <w:rFonts w:asciiTheme="minorHAnsi" w:hAnsiTheme="minorHAnsi" w:cstheme="minorHAnsi"/>
                <w:iCs/>
                <w:sz w:val="20"/>
                <w:szCs w:val="20"/>
                <w:lang w:val="en-GB"/>
              </w:rPr>
              <w:t>The risk profile of EMS environments is therefore defined by potentially systemic, high-impact consequences, even when the likelihood of exploitation is only moderate.</w:t>
            </w:r>
          </w:p>
          <w:p w14:paraId="3D6BE7E2" w14:textId="77777777" w:rsidR="00721C5E" w:rsidRPr="00C462A0" w:rsidRDefault="00721C5E" w:rsidP="00210B7E">
            <w:pPr>
              <w:pStyle w:val="NormalWeb"/>
              <w:spacing w:before="0" w:beforeAutospacing="0" w:after="0" w:afterAutospacing="0"/>
              <w:rPr>
                <w:rFonts w:asciiTheme="minorHAnsi" w:hAnsiTheme="minorHAnsi" w:cstheme="minorHAnsi"/>
                <w:iCs/>
                <w:sz w:val="20"/>
                <w:szCs w:val="20"/>
                <w:lang w:val="en-GB"/>
              </w:rPr>
            </w:pPr>
          </w:p>
          <w:p w14:paraId="5E25E6F2" w14:textId="77777777" w:rsidR="00877F0A" w:rsidRPr="00C462A0" w:rsidRDefault="00877F0A" w:rsidP="00210B7E">
            <w:pPr>
              <w:pStyle w:val="NormalWeb"/>
              <w:spacing w:before="0" w:beforeAutospacing="0" w:after="0" w:afterAutospacing="0"/>
              <w:jc w:val="both"/>
              <w:rPr>
                <w:rFonts w:asciiTheme="minorHAnsi" w:hAnsiTheme="minorHAnsi" w:cstheme="minorHAnsi"/>
                <w:b/>
                <w:color w:val="00AC4E" w:themeColor="accent1"/>
                <w:sz w:val="20"/>
                <w:szCs w:val="20"/>
                <w:u w:val="single"/>
                <w:lang w:val="en-GB"/>
              </w:rPr>
            </w:pPr>
            <w:r w:rsidRPr="00C462A0">
              <w:rPr>
                <w:rFonts w:asciiTheme="minorHAnsi" w:hAnsiTheme="minorHAnsi" w:cstheme="minorHAnsi"/>
                <w:b/>
                <w:bCs/>
                <w:color w:val="00AC4E" w:themeColor="accent1"/>
                <w:sz w:val="20"/>
                <w:szCs w:val="20"/>
                <w:u w:val="single"/>
                <w:lang w:val="en-GB"/>
              </w:rPr>
              <w:t>Micro-activity</w:t>
            </w:r>
            <w:r w:rsidRPr="00C462A0">
              <w:rPr>
                <w:rFonts w:asciiTheme="minorHAnsi" w:hAnsiTheme="minorHAnsi" w:cstheme="minorHAnsi"/>
                <w:b/>
                <w:color w:val="00AC4E" w:themeColor="accent1"/>
                <w:sz w:val="20"/>
                <w:szCs w:val="20"/>
                <w:u w:val="single"/>
                <w:lang w:val="en-GB"/>
              </w:rPr>
              <w:t>:</w:t>
            </w:r>
          </w:p>
          <w:p w14:paraId="6F19A96E" w14:textId="2B340790" w:rsidR="00877F0A" w:rsidRPr="00C462A0" w:rsidRDefault="00877F0A" w:rsidP="00210B7E">
            <w:pPr>
              <w:pStyle w:val="NormalWeb"/>
              <w:spacing w:before="0" w:beforeAutospacing="0" w:after="0" w:afterAutospacing="0"/>
              <w:jc w:val="both"/>
              <w:rPr>
                <w:rFonts w:asciiTheme="minorHAnsi" w:hAnsiTheme="minorHAnsi" w:cstheme="minorHAnsi"/>
                <w:b/>
                <w:color w:val="00AC4E" w:themeColor="accent1"/>
                <w:sz w:val="20"/>
                <w:szCs w:val="20"/>
                <w:lang w:val="en-GB"/>
              </w:rPr>
            </w:pPr>
            <w:r w:rsidRPr="00C462A0">
              <w:rPr>
                <w:rFonts w:asciiTheme="minorHAnsi" w:hAnsiTheme="minorHAnsi" w:cstheme="minorHAnsi"/>
                <w:iCs/>
                <w:sz w:val="20"/>
                <w:szCs w:val="20"/>
                <w:lang w:val="en-GB"/>
              </w:rPr>
              <w:t xml:space="preserve">Consider </w:t>
            </w:r>
            <w:r w:rsidR="008A7204" w:rsidRPr="00C462A0">
              <w:rPr>
                <w:rFonts w:asciiTheme="minorHAnsi" w:hAnsiTheme="minorHAnsi" w:cstheme="minorHAnsi"/>
                <w:iCs/>
                <w:sz w:val="20"/>
                <w:szCs w:val="20"/>
                <w:lang w:val="en-GB"/>
              </w:rPr>
              <w:t>using renewable energy operators</w:t>
            </w:r>
            <w:r w:rsidRPr="00C462A0">
              <w:rPr>
                <w:rFonts w:asciiTheme="minorHAnsi" w:hAnsiTheme="minorHAnsi" w:cstheme="minorHAnsi"/>
                <w:iCs/>
                <w:sz w:val="20"/>
                <w:szCs w:val="20"/>
                <w:lang w:val="en-GB"/>
              </w:rPr>
              <w:t>:</w:t>
            </w:r>
          </w:p>
          <w:p w14:paraId="4685C0CB" w14:textId="77777777" w:rsidR="00877F0A" w:rsidRPr="00C462A0" w:rsidRDefault="00877F0A" w:rsidP="00877F0A">
            <w:pPr>
              <w:pStyle w:val="NormalWeb"/>
              <w:numPr>
                <w:ilvl w:val="0"/>
                <w:numId w:val="250"/>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Remote SCADA monitoring</w:t>
            </w:r>
          </w:p>
          <w:p w14:paraId="144211E0" w14:textId="77777777" w:rsidR="00877F0A" w:rsidRPr="00C462A0" w:rsidRDefault="00877F0A" w:rsidP="00877F0A">
            <w:pPr>
              <w:pStyle w:val="NormalWeb"/>
              <w:numPr>
                <w:ilvl w:val="0"/>
                <w:numId w:val="250"/>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Smart meters connected via industrial protocols</w:t>
            </w:r>
          </w:p>
          <w:p w14:paraId="45B487F4" w14:textId="2C850D8A" w:rsidR="00877F0A" w:rsidRPr="00C462A0" w:rsidRDefault="00877F0A" w:rsidP="00877F0A">
            <w:pPr>
              <w:pStyle w:val="NormalWeb"/>
              <w:numPr>
                <w:ilvl w:val="0"/>
                <w:numId w:val="250"/>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Cloud-based performance analytics</w:t>
            </w:r>
            <w:r w:rsidR="008A7204" w:rsidRPr="00C462A0">
              <w:rPr>
                <w:rFonts w:asciiTheme="minorHAnsi" w:hAnsiTheme="minorHAnsi" w:cstheme="minorHAnsi"/>
                <w:iCs/>
                <w:sz w:val="20"/>
                <w:szCs w:val="20"/>
                <w:lang w:val="en-GB"/>
              </w:rPr>
              <w:t>.</w:t>
            </w:r>
          </w:p>
          <w:p w14:paraId="4DFF75BB" w14:textId="77777777" w:rsidR="008A7204" w:rsidRPr="00C462A0" w:rsidRDefault="008A7204" w:rsidP="00877F0A">
            <w:pPr>
              <w:pStyle w:val="NormalWeb"/>
              <w:numPr>
                <w:ilvl w:val="0"/>
                <w:numId w:val="250"/>
              </w:numPr>
              <w:spacing w:before="0" w:beforeAutospacing="0" w:after="0" w:afterAutospacing="0"/>
              <w:jc w:val="both"/>
              <w:rPr>
                <w:rFonts w:asciiTheme="minorHAnsi" w:hAnsiTheme="minorHAnsi" w:cstheme="minorHAnsi"/>
                <w:iCs/>
                <w:sz w:val="20"/>
                <w:szCs w:val="20"/>
                <w:lang w:val="en-GB"/>
              </w:rPr>
            </w:pPr>
          </w:p>
          <w:p w14:paraId="39D083B7" w14:textId="207B1298" w:rsidR="00877F0A" w:rsidRPr="00C462A0" w:rsidRDefault="008A7204" w:rsidP="00210B7E">
            <w:pPr>
              <w:pStyle w:val="NormalWeb"/>
              <w:spacing w:before="0" w:beforeAutospacing="0" w:after="0" w:afterAutospacing="0"/>
              <w:jc w:val="both"/>
              <w:rPr>
                <w:rFonts w:asciiTheme="minorHAnsi" w:hAnsiTheme="minorHAnsi" w:cstheme="minorHAnsi"/>
                <w:b/>
                <w:bCs/>
                <w:iCs/>
                <w:sz w:val="20"/>
                <w:szCs w:val="20"/>
                <w:lang w:val="en-GB"/>
              </w:rPr>
            </w:pPr>
            <w:r w:rsidRPr="00C462A0">
              <w:rPr>
                <w:rFonts w:asciiTheme="minorHAnsi" w:hAnsiTheme="minorHAnsi" w:cstheme="minorHAnsi"/>
                <w:b/>
                <w:bCs/>
                <w:iCs/>
                <w:sz w:val="20"/>
                <w:szCs w:val="20"/>
                <w:lang w:val="en-GB"/>
              </w:rPr>
              <w:t>Learner t</w:t>
            </w:r>
            <w:r w:rsidR="00877F0A" w:rsidRPr="00C462A0">
              <w:rPr>
                <w:rFonts w:asciiTheme="minorHAnsi" w:hAnsiTheme="minorHAnsi" w:cstheme="minorHAnsi"/>
                <w:b/>
                <w:bCs/>
                <w:iCs/>
                <w:sz w:val="20"/>
                <w:szCs w:val="20"/>
                <w:lang w:val="en-GB"/>
              </w:rPr>
              <w:t>ask:</w:t>
            </w:r>
          </w:p>
          <w:p w14:paraId="0F59E8C9" w14:textId="77777777" w:rsidR="00877F0A" w:rsidRPr="00C462A0" w:rsidRDefault="00877F0A" w:rsidP="00877F0A">
            <w:pPr>
              <w:pStyle w:val="NormalWeb"/>
              <w:numPr>
                <w:ilvl w:val="0"/>
                <w:numId w:val="251"/>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Identify one likely attack vector.</w:t>
            </w:r>
          </w:p>
          <w:p w14:paraId="074430AE" w14:textId="77777777" w:rsidR="00877F0A" w:rsidRPr="00C462A0" w:rsidRDefault="00877F0A" w:rsidP="00877F0A">
            <w:pPr>
              <w:pStyle w:val="NormalWeb"/>
              <w:numPr>
                <w:ilvl w:val="0"/>
                <w:numId w:val="251"/>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Identify the corresponding attacker tactic (e.g., initial access, lateral movement).</w:t>
            </w:r>
          </w:p>
          <w:p w14:paraId="5E0C2587" w14:textId="77777777" w:rsidR="00877F0A" w:rsidRPr="00C462A0" w:rsidRDefault="00877F0A" w:rsidP="00877F0A">
            <w:pPr>
              <w:pStyle w:val="NormalWeb"/>
              <w:numPr>
                <w:ilvl w:val="0"/>
                <w:numId w:val="251"/>
              </w:numPr>
              <w:spacing w:after="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Identify one possible ATT&amp;CK for ICS tactic that could apply.</w:t>
            </w:r>
          </w:p>
          <w:p w14:paraId="13088D3A" w14:textId="77777777" w:rsidR="00877F0A" w:rsidRPr="00C462A0" w:rsidRDefault="00877F0A" w:rsidP="00877F0A">
            <w:pPr>
              <w:pStyle w:val="NormalWeb"/>
              <w:numPr>
                <w:ilvl w:val="0"/>
                <w:numId w:val="251"/>
              </w:numPr>
              <w:spacing w:after="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Describe one potential operational consequence.</w:t>
            </w:r>
          </w:p>
          <w:p w14:paraId="4A1EB419" w14:textId="77777777" w:rsidR="00877F0A" w:rsidRPr="00C462A0" w:rsidRDefault="00877F0A" w:rsidP="00877F0A">
            <w:pPr>
              <w:pStyle w:val="NormalWeb"/>
              <w:numPr>
                <w:ilvl w:val="0"/>
                <w:numId w:val="251"/>
              </w:numPr>
              <w:spacing w:after="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Suggest one basic mitigation measure (e.g., network segmentation, MFA, monitoring).</w:t>
            </w:r>
          </w:p>
          <w:p w14:paraId="16F00E9B" w14:textId="77777777" w:rsidR="00877F0A" w:rsidRPr="00C462A0" w:rsidRDefault="00877F0A" w:rsidP="00877F0A">
            <w:pPr>
              <w:pStyle w:val="NormalWeb"/>
              <w:numPr>
                <w:ilvl w:val="0"/>
                <w:numId w:val="251"/>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Describe one potential operational impact.</w:t>
            </w:r>
          </w:p>
          <w:p w14:paraId="126D1CE3" w14:textId="77777777" w:rsidR="00877F0A" w:rsidRPr="00C462A0" w:rsidRDefault="00877F0A" w:rsidP="00877F0A">
            <w:pPr>
              <w:pStyle w:val="NormalWeb"/>
              <w:numPr>
                <w:ilvl w:val="0"/>
                <w:numId w:val="251"/>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Propose one mitigation measure appropriate for EMS environments.</w:t>
            </w:r>
          </w:p>
          <w:p w14:paraId="7EF9FC5D" w14:textId="77777777" w:rsidR="00877F0A" w:rsidRPr="00C462A0" w:rsidRDefault="00877F0A" w:rsidP="00210B7E">
            <w:pPr>
              <w:pStyle w:val="NormalWeb"/>
              <w:spacing w:before="40" w:beforeAutospacing="0" w:after="4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Provide your response in 8–10 structured sentences.</w:t>
            </w:r>
          </w:p>
          <w:p w14:paraId="57537C10" w14:textId="77777777" w:rsidR="00877F0A" w:rsidRPr="00C462A0" w:rsidRDefault="00877F0A" w:rsidP="00210B7E">
            <w:pPr>
              <w:rPr>
                <w:rFonts w:cstheme="minorHAnsi"/>
                <w:szCs w:val="20"/>
              </w:rPr>
            </w:pPr>
            <w:r w:rsidRPr="00C462A0">
              <w:rPr>
                <w:rFonts w:cstheme="minorHAnsi"/>
                <w:b/>
                <w:color w:val="00AC4E" w:themeColor="accent1"/>
                <w:szCs w:val="20"/>
              </w:rPr>
              <w:t xml:space="preserve">Additional reading: </w:t>
            </w:r>
          </w:p>
          <w:p w14:paraId="38CB4A74" w14:textId="2B7D6B6F" w:rsidR="00877F0A" w:rsidRPr="00C462A0" w:rsidRDefault="00877F0A" w:rsidP="00877F0A">
            <w:pPr>
              <w:pStyle w:val="ListParagraph"/>
              <w:numPr>
                <w:ilvl w:val="0"/>
                <w:numId w:val="255"/>
              </w:numPr>
              <w:rPr>
                <w:rFonts w:cstheme="minorHAnsi"/>
                <w:iCs/>
                <w:szCs w:val="20"/>
                <w:lang w:eastAsia="en-IE"/>
              </w:rPr>
            </w:pPr>
            <w:hyperlink r:id="rId51" w:history="1">
              <w:r w:rsidRPr="00C462A0">
                <w:rPr>
                  <w:rStyle w:val="Hyperlink"/>
                  <w:rFonts w:cstheme="minorHAnsi"/>
                  <w:iCs/>
                  <w:szCs w:val="20"/>
                  <w:lang w:eastAsia="en-IE"/>
                </w:rPr>
                <w:t>Critical infrastructure and cybersecurity</w:t>
              </w:r>
            </w:hyperlink>
          </w:p>
          <w:p w14:paraId="69F41968" w14:textId="77777777" w:rsidR="00877F0A" w:rsidRPr="00C462A0" w:rsidRDefault="00877F0A" w:rsidP="00877F0A">
            <w:pPr>
              <w:pStyle w:val="ListParagraph"/>
              <w:numPr>
                <w:ilvl w:val="0"/>
                <w:numId w:val="255"/>
              </w:numPr>
              <w:rPr>
                <w:rFonts w:cstheme="minorHAnsi"/>
                <w:iCs/>
                <w:szCs w:val="20"/>
                <w:lang w:eastAsia="en-IE"/>
              </w:rPr>
            </w:pPr>
            <w:r w:rsidRPr="00C462A0">
              <w:rPr>
                <w:rFonts w:cstheme="minorHAnsi"/>
                <w:iCs/>
                <w:szCs w:val="20"/>
              </w:rPr>
              <w:t>CEN/CLC/ETSI/TR 50572 «Functional reference architecture for communications in smart metering systems»</w:t>
            </w:r>
          </w:p>
          <w:p w14:paraId="547F9FBE" w14:textId="09FE6E3A" w:rsidR="00877F0A" w:rsidRPr="00C462A0" w:rsidRDefault="00877F0A" w:rsidP="00877F0A">
            <w:pPr>
              <w:pStyle w:val="ListParagraph"/>
              <w:numPr>
                <w:ilvl w:val="0"/>
                <w:numId w:val="255"/>
              </w:numPr>
              <w:rPr>
                <w:rFonts w:cstheme="minorHAnsi"/>
                <w:iCs/>
                <w:szCs w:val="20"/>
                <w:lang w:eastAsia="en-IE"/>
              </w:rPr>
            </w:pPr>
            <w:hyperlink r:id="rId52" w:history="1">
              <w:r w:rsidRPr="00C462A0">
                <w:rPr>
                  <w:rStyle w:val="Hyperlink"/>
                  <w:rFonts w:cstheme="minorHAnsi"/>
                  <w:iCs/>
                  <w:color w:val="00AC4E" w:themeColor="accent1"/>
                  <w:szCs w:val="20"/>
                  <w:lang w:eastAsia="en-IE"/>
                </w:rPr>
                <w:t>MITRE ATT&amp;CK for ICS Matrix</w:t>
              </w:r>
            </w:hyperlink>
            <w:r w:rsidRPr="00C462A0">
              <w:rPr>
                <w:rFonts w:cstheme="minorHAnsi"/>
                <w:iCs/>
                <w:color w:val="00AC4E" w:themeColor="accent1"/>
                <w:szCs w:val="20"/>
                <w:lang w:eastAsia="en-IE"/>
              </w:rPr>
              <w:t xml:space="preserve"> (</w:t>
            </w:r>
            <w:r w:rsidRPr="00C462A0">
              <w:rPr>
                <w:rFonts w:cstheme="minorHAnsi"/>
                <w:iCs/>
                <w:szCs w:val="20"/>
                <w:lang w:eastAsia="en-IE"/>
              </w:rPr>
              <w:t>official site)</w:t>
            </w:r>
          </w:p>
          <w:p w14:paraId="3F202A9E" w14:textId="4726E814" w:rsidR="00877F0A" w:rsidRPr="00C462A0" w:rsidRDefault="00877F0A" w:rsidP="00877F0A">
            <w:pPr>
              <w:pStyle w:val="ListParagraph"/>
              <w:numPr>
                <w:ilvl w:val="0"/>
                <w:numId w:val="255"/>
              </w:numPr>
              <w:rPr>
                <w:rFonts w:cstheme="minorHAnsi"/>
                <w:iCs/>
                <w:color w:val="00AC4E" w:themeColor="accent1"/>
                <w:szCs w:val="20"/>
                <w:lang w:eastAsia="en-IE"/>
              </w:rPr>
            </w:pPr>
            <w:hyperlink r:id="rId53" w:history="1">
              <w:r w:rsidRPr="00C462A0">
                <w:rPr>
                  <w:rStyle w:val="Hyperlink"/>
                  <w:rFonts w:cstheme="minorHAnsi"/>
                  <w:iCs/>
                  <w:color w:val="00AC4E" w:themeColor="accent1"/>
                  <w:szCs w:val="20"/>
                  <w:lang w:eastAsia="en-IE"/>
                </w:rPr>
                <w:t>CISA: Recommended Practices for Industrial Control Systems Security (official guidance</w:t>
              </w:r>
            </w:hyperlink>
            <w:r w:rsidRPr="00C462A0">
              <w:rPr>
                <w:rFonts w:cstheme="minorHAnsi"/>
                <w:iCs/>
                <w:color w:val="00AC4E" w:themeColor="accent1"/>
                <w:szCs w:val="20"/>
                <w:lang w:eastAsia="en-IE"/>
              </w:rPr>
              <w:t>)</w:t>
            </w:r>
            <w:r w:rsidR="008A7204" w:rsidRPr="00C462A0">
              <w:rPr>
                <w:rFonts w:cstheme="minorHAnsi"/>
                <w:iCs/>
                <w:color w:val="00AC4E" w:themeColor="accent1"/>
                <w:szCs w:val="20"/>
                <w:lang w:eastAsia="en-IE"/>
              </w:rPr>
              <w:t>.</w:t>
            </w:r>
          </w:p>
          <w:p w14:paraId="500FCD22" w14:textId="77777777" w:rsidR="00877F0A" w:rsidRPr="00C462A0" w:rsidRDefault="00877F0A" w:rsidP="00210B7E">
            <w:pPr>
              <w:rPr>
                <w:rFonts w:cstheme="minorHAnsi"/>
                <w:iCs/>
                <w:szCs w:val="20"/>
                <w:lang w:eastAsia="en-IE"/>
              </w:rPr>
            </w:pPr>
          </w:p>
          <w:p w14:paraId="093D741C" w14:textId="728B9575" w:rsidR="00877F0A" w:rsidRPr="00C462A0" w:rsidRDefault="00877F0A" w:rsidP="00210B7E">
            <w:pPr>
              <w:rPr>
                <w:rFonts w:cstheme="minorHAnsi"/>
                <w:szCs w:val="20"/>
              </w:rPr>
            </w:pPr>
            <w:r w:rsidRPr="00C462A0">
              <w:rPr>
                <w:rFonts w:cstheme="minorHAnsi"/>
                <w:b/>
                <w:color w:val="00AC4E" w:themeColor="accent1"/>
                <w:szCs w:val="20"/>
              </w:rPr>
              <w:t>Key Takeaways</w:t>
            </w:r>
            <w:r w:rsidRPr="00C462A0">
              <w:rPr>
                <w:rFonts w:cstheme="minorHAnsi"/>
                <w:szCs w:val="20"/>
              </w:rPr>
              <w:t>:</w:t>
            </w:r>
          </w:p>
          <w:p w14:paraId="159C1916" w14:textId="77777777" w:rsidR="00877F0A" w:rsidRPr="00C462A0" w:rsidRDefault="00877F0A" w:rsidP="00877F0A">
            <w:pPr>
              <w:pStyle w:val="NormalWeb"/>
              <w:numPr>
                <w:ilvl w:val="0"/>
                <w:numId w:val="250"/>
              </w:numPr>
              <w:spacing w:before="40" w:beforeAutospacing="0" w:after="4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Energy Management Systems integrate IT and OT components, increasing system complexity.</w:t>
            </w:r>
          </w:p>
          <w:p w14:paraId="207B1C56" w14:textId="77777777" w:rsidR="00877F0A" w:rsidRPr="00C462A0" w:rsidRDefault="00877F0A" w:rsidP="00877F0A">
            <w:pPr>
              <w:pStyle w:val="NormalWeb"/>
              <w:numPr>
                <w:ilvl w:val="0"/>
                <w:numId w:val="250"/>
              </w:numPr>
              <w:spacing w:before="40" w:beforeAutospacing="0" w:after="4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Critical infrastructure status makes EMS high-value targets.</w:t>
            </w:r>
          </w:p>
          <w:p w14:paraId="2DFAE3B0" w14:textId="77777777" w:rsidR="00877F0A" w:rsidRPr="00C462A0" w:rsidRDefault="00877F0A" w:rsidP="00877F0A">
            <w:pPr>
              <w:pStyle w:val="NormalWeb"/>
              <w:numPr>
                <w:ilvl w:val="0"/>
                <w:numId w:val="250"/>
              </w:numPr>
              <w:spacing w:before="40" w:beforeAutospacing="0" w:after="4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Common attack vectors include remote access exploitation, phishing, ransomware, and legacy protocol weaknesses.</w:t>
            </w:r>
          </w:p>
          <w:p w14:paraId="0CFDA59E" w14:textId="77777777" w:rsidR="00877F0A" w:rsidRPr="00C462A0" w:rsidRDefault="00877F0A" w:rsidP="00877F0A">
            <w:pPr>
              <w:pStyle w:val="NormalWeb"/>
              <w:numPr>
                <w:ilvl w:val="0"/>
                <w:numId w:val="250"/>
              </w:numPr>
              <w:spacing w:before="40" w:beforeAutospacing="0" w:after="40"/>
              <w:jc w:val="both"/>
              <w:rPr>
                <w:rFonts w:asciiTheme="minorHAnsi" w:hAnsiTheme="minorHAnsi" w:cstheme="minorHAnsi"/>
                <w:iCs/>
                <w:sz w:val="20"/>
                <w:szCs w:val="20"/>
                <w:lang w:val="en-GB"/>
              </w:rPr>
            </w:pPr>
            <w:r w:rsidRPr="00C462A0">
              <w:rPr>
                <w:rFonts w:asciiTheme="minorHAnsi" w:hAnsiTheme="minorHAnsi" w:cstheme="minorHAnsi"/>
                <w:sz w:val="20"/>
                <w:szCs w:val="20"/>
                <w:lang w:val="en-GB"/>
              </w:rPr>
              <w:t xml:space="preserve">ATT&amp;CK for ICS provides </w:t>
            </w:r>
            <w:r w:rsidRPr="00C462A0">
              <w:rPr>
                <w:rFonts w:asciiTheme="minorHAnsi" w:hAnsiTheme="minorHAnsi" w:cstheme="minorHAnsi"/>
                <w:iCs/>
                <w:sz w:val="20"/>
                <w:szCs w:val="20"/>
                <w:lang w:val="en-GB"/>
              </w:rPr>
              <w:t xml:space="preserve">a </w:t>
            </w:r>
            <w:r w:rsidRPr="00C462A0">
              <w:rPr>
                <w:rFonts w:asciiTheme="minorHAnsi" w:hAnsiTheme="minorHAnsi" w:cstheme="minorHAnsi"/>
                <w:sz w:val="20"/>
                <w:szCs w:val="20"/>
                <w:lang w:val="en-GB"/>
              </w:rPr>
              <w:t xml:space="preserve">structured </w:t>
            </w:r>
            <w:r w:rsidRPr="00C462A0">
              <w:rPr>
                <w:rFonts w:asciiTheme="minorHAnsi" w:hAnsiTheme="minorHAnsi" w:cstheme="minorHAnsi"/>
                <w:iCs/>
                <w:sz w:val="20"/>
                <w:szCs w:val="20"/>
                <w:lang w:val="en-GB"/>
              </w:rPr>
              <w:t>framework to analyse adversarial</w:t>
            </w:r>
            <w:r w:rsidRPr="00C462A0">
              <w:rPr>
                <w:rFonts w:asciiTheme="minorHAnsi" w:hAnsiTheme="minorHAnsi" w:cstheme="minorHAnsi"/>
                <w:sz w:val="20"/>
                <w:szCs w:val="20"/>
                <w:lang w:val="en-GB"/>
              </w:rPr>
              <w:t xml:space="preserve"> techniques</w:t>
            </w:r>
            <w:r w:rsidRPr="00C462A0">
              <w:rPr>
                <w:rFonts w:asciiTheme="minorHAnsi" w:hAnsiTheme="minorHAnsi" w:cstheme="minorHAnsi"/>
                <w:iCs/>
                <w:sz w:val="20"/>
                <w:szCs w:val="20"/>
                <w:lang w:val="en-GB"/>
              </w:rPr>
              <w:t xml:space="preserve"> targeting control environments</w:t>
            </w:r>
            <w:r w:rsidRPr="00C462A0">
              <w:rPr>
                <w:rFonts w:asciiTheme="minorHAnsi" w:hAnsiTheme="minorHAnsi" w:cstheme="minorHAnsi"/>
                <w:sz w:val="20"/>
                <w:szCs w:val="20"/>
                <w:lang w:val="en-GB"/>
              </w:rPr>
              <w:t>.</w:t>
            </w:r>
          </w:p>
          <w:p w14:paraId="79C7473B" w14:textId="77777777" w:rsidR="00877F0A" w:rsidRPr="00C462A0" w:rsidRDefault="00877F0A" w:rsidP="00877F0A">
            <w:pPr>
              <w:pStyle w:val="NormalWeb"/>
              <w:numPr>
                <w:ilvl w:val="0"/>
                <w:numId w:val="250"/>
              </w:numPr>
              <w:spacing w:before="40" w:beforeAutospacing="0" w:after="4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lastRenderedPageBreak/>
              <w:t>EMS cyber incidents can generate operational, environmental, financial, and societal consequences.</w:t>
            </w:r>
          </w:p>
          <w:p w14:paraId="6D04A269" w14:textId="77777777" w:rsidR="00877F0A" w:rsidRPr="00C462A0" w:rsidRDefault="00877F0A" w:rsidP="00210B7E">
            <w:pPr>
              <w:rPr>
                <w:rFonts w:cstheme="minorHAnsi"/>
                <w:b/>
                <w:color w:val="00AC4E" w:themeColor="accent1"/>
                <w:szCs w:val="20"/>
              </w:rPr>
            </w:pPr>
            <w:r w:rsidRPr="00C462A0">
              <w:rPr>
                <w:rFonts w:cstheme="minorHAnsi"/>
                <w:b/>
                <w:color w:val="00AC4E" w:themeColor="accent1"/>
                <w:szCs w:val="20"/>
              </w:rPr>
              <w:t xml:space="preserve">Quick Check: </w:t>
            </w:r>
          </w:p>
          <w:p w14:paraId="16545843" w14:textId="1F21C9F0" w:rsidR="00877F0A" w:rsidRPr="00C462A0" w:rsidRDefault="00877F0A" w:rsidP="00C462A0">
            <w:pPr>
              <w:pStyle w:val="ListParagraph"/>
              <w:numPr>
                <w:ilvl w:val="0"/>
                <w:numId w:val="307"/>
              </w:numPr>
              <w:jc w:val="both"/>
              <w:rPr>
                <w:rFonts w:cstheme="minorHAnsi"/>
                <w:b/>
                <w:bCs/>
                <w:szCs w:val="20"/>
                <w:lang w:eastAsia="en-IE"/>
              </w:rPr>
            </w:pPr>
            <w:r w:rsidRPr="00C462A0">
              <w:rPr>
                <w:rFonts w:cstheme="minorHAnsi"/>
                <w:color w:val="009889" w:themeColor="accent2"/>
                <w:szCs w:val="20"/>
                <w:lang w:eastAsia="en-IE"/>
              </w:rPr>
              <w:t>True or False</w:t>
            </w:r>
            <w:r w:rsidRPr="00C462A0">
              <w:rPr>
                <w:rFonts w:cstheme="minorHAnsi"/>
                <w:b/>
                <w:bCs/>
                <w:color w:val="009889" w:themeColor="accent2"/>
                <w:szCs w:val="20"/>
                <w:lang w:eastAsia="en-IE"/>
              </w:rPr>
              <w:t>:</w:t>
            </w:r>
            <w:r w:rsidR="008A7204" w:rsidRPr="00C462A0">
              <w:rPr>
                <w:rFonts w:cstheme="minorHAnsi"/>
                <w:b/>
                <w:bCs/>
                <w:color w:val="009889" w:themeColor="accent2"/>
                <w:szCs w:val="20"/>
                <w:lang w:eastAsia="en-IE"/>
              </w:rPr>
              <w:t xml:space="preserve"> </w:t>
            </w:r>
            <w:r w:rsidRPr="00C462A0">
              <w:rPr>
                <w:rFonts w:cstheme="minorHAnsi"/>
                <w:iCs/>
                <w:color w:val="009889" w:themeColor="accent2"/>
                <w:szCs w:val="20"/>
              </w:rPr>
              <w:t>Even if legacy industrial protocols were originally designed for isolated environments, their deployment within modern IP-connected Energy Management Systems can significantly increase cyber risk due to the absence of native security controls.</w:t>
            </w:r>
            <w:r w:rsidRPr="00C462A0">
              <w:rPr>
                <w:rFonts w:cstheme="minorHAnsi"/>
                <w:iCs/>
                <w:szCs w:val="20"/>
              </w:rPr>
              <w:t xml:space="preserve"> </w:t>
            </w:r>
          </w:p>
          <w:p w14:paraId="4C082A5A" w14:textId="77777777" w:rsidR="008A7204" w:rsidRPr="00C462A0" w:rsidRDefault="008A7204" w:rsidP="008A7204">
            <w:pPr>
              <w:pStyle w:val="ListParagraph"/>
              <w:ind w:left="360"/>
              <w:rPr>
                <w:rFonts w:cstheme="minorHAnsi"/>
                <w:b/>
                <w:bCs/>
                <w:szCs w:val="20"/>
                <w:lang w:eastAsia="en-IE"/>
              </w:rPr>
            </w:pPr>
          </w:p>
          <w:p w14:paraId="46D08E8E" w14:textId="51944142" w:rsidR="00877F0A" w:rsidRPr="00C462A0" w:rsidRDefault="00877F0A" w:rsidP="008A7204">
            <w:pPr>
              <w:pStyle w:val="NormalWeb"/>
              <w:numPr>
                <w:ilvl w:val="0"/>
                <w:numId w:val="307"/>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color w:val="009889" w:themeColor="accent2"/>
                <w:sz w:val="20"/>
                <w:szCs w:val="20"/>
                <w:lang w:val="en-GB"/>
              </w:rPr>
              <w:t xml:space="preserve">A coordinated cyber campaign targets a national energy grid during a period of geopolitical tension. The objective appears to be destabilisation rather than financial gain. Which actor profile is most consistent with this motivation? </w:t>
            </w:r>
          </w:p>
          <w:p w14:paraId="49F9C164" w14:textId="77777777" w:rsidR="00877F0A" w:rsidRPr="00C462A0" w:rsidRDefault="00877F0A" w:rsidP="008A7204">
            <w:pPr>
              <w:pStyle w:val="NormalWeb"/>
              <w:numPr>
                <w:ilvl w:val="0"/>
                <w:numId w:val="308"/>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Independent hobbyists seeking technical recognition</w:t>
            </w:r>
          </w:p>
          <w:p w14:paraId="0D7CF113" w14:textId="77777777" w:rsidR="00877F0A" w:rsidRPr="00C462A0" w:rsidRDefault="00877F0A" w:rsidP="008A7204">
            <w:pPr>
              <w:pStyle w:val="NormalWeb"/>
              <w:numPr>
                <w:ilvl w:val="0"/>
                <w:numId w:val="308"/>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State-sponsored actors pursuing strategic influence</w:t>
            </w:r>
          </w:p>
          <w:p w14:paraId="0D390DEB" w14:textId="77777777" w:rsidR="00877F0A" w:rsidRPr="00C462A0" w:rsidRDefault="00877F0A" w:rsidP="008A7204">
            <w:pPr>
              <w:pStyle w:val="NormalWeb"/>
              <w:numPr>
                <w:ilvl w:val="0"/>
                <w:numId w:val="308"/>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Local commercial competitors</w:t>
            </w:r>
          </w:p>
          <w:p w14:paraId="502AEEEC" w14:textId="138D4012" w:rsidR="008A7204" w:rsidRPr="00C462A0" w:rsidRDefault="00877F0A" w:rsidP="008A7204">
            <w:pPr>
              <w:pStyle w:val="NormalWeb"/>
              <w:numPr>
                <w:ilvl w:val="0"/>
                <w:numId w:val="308"/>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Internal IT support teams</w:t>
            </w:r>
            <w:r w:rsidR="008A7204" w:rsidRPr="00C462A0">
              <w:rPr>
                <w:rFonts w:asciiTheme="minorHAnsi" w:hAnsiTheme="minorHAnsi" w:cstheme="minorHAnsi"/>
                <w:iCs/>
                <w:sz w:val="20"/>
                <w:szCs w:val="20"/>
                <w:lang w:val="en-GB"/>
              </w:rPr>
              <w:t>.</w:t>
            </w:r>
          </w:p>
          <w:p w14:paraId="1E912F5B" w14:textId="77777777" w:rsidR="008A7204" w:rsidRPr="00C462A0" w:rsidRDefault="008A7204" w:rsidP="008A7204">
            <w:pPr>
              <w:pStyle w:val="NormalWeb"/>
              <w:spacing w:before="0" w:beforeAutospacing="0" w:after="0" w:afterAutospacing="0"/>
              <w:ind w:left="720"/>
              <w:jc w:val="both"/>
              <w:rPr>
                <w:rFonts w:asciiTheme="minorHAnsi" w:hAnsiTheme="minorHAnsi" w:cstheme="minorHAnsi"/>
                <w:iCs/>
                <w:sz w:val="20"/>
                <w:szCs w:val="20"/>
                <w:lang w:val="en-GB"/>
              </w:rPr>
            </w:pPr>
          </w:p>
          <w:p w14:paraId="4BAFCDC3" w14:textId="415EC757" w:rsidR="00877F0A" w:rsidRPr="00C462A0" w:rsidRDefault="00877F0A" w:rsidP="008A7204">
            <w:pPr>
              <w:pStyle w:val="NormalWeb"/>
              <w:numPr>
                <w:ilvl w:val="0"/>
                <w:numId w:val="307"/>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color w:val="009889" w:themeColor="accent2"/>
                <w:sz w:val="20"/>
                <w:szCs w:val="20"/>
                <w:lang w:val="en-GB"/>
              </w:rPr>
              <w:t xml:space="preserve">An Energy Management System receives a routine firmware update from a trusted hardware vendor. The update contains hidden malicious code that later enables remote command execution on field devices. Which classification best describes this incident? </w:t>
            </w:r>
          </w:p>
          <w:p w14:paraId="32759379" w14:textId="77777777" w:rsidR="00877F0A" w:rsidRPr="00C462A0" w:rsidRDefault="00877F0A" w:rsidP="008A7204">
            <w:pPr>
              <w:pStyle w:val="NormalWeb"/>
              <w:numPr>
                <w:ilvl w:val="0"/>
                <w:numId w:val="309"/>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A social engineering attack targeting management staff</w:t>
            </w:r>
          </w:p>
          <w:p w14:paraId="63A7566E" w14:textId="77777777" w:rsidR="00877F0A" w:rsidRPr="00C462A0" w:rsidRDefault="00877F0A" w:rsidP="008A7204">
            <w:pPr>
              <w:pStyle w:val="NormalWeb"/>
              <w:numPr>
                <w:ilvl w:val="0"/>
                <w:numId w:val="309"/>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A distributed denial-of-service attack</w:t>
            </w:r>
          </w:p>
          <w:p w14:paraId="25ABB31F" w14:textId="77777777" w:rsidR="00877F0A" w:rsidRPr="00C462A0" w:rsidRDefault="00877F0A" w:rsidP="008A7204">
            <w:pPr>
              <w:pStyle w:val="NormalWeb"/>
              <w:numPr>
                <w:ilvl w:val="0"/>
                <w:numId w:val="309"/>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A supply chain compromise affecting trusted components</w:t>
            </w:r>
          </w:p>
          <w:p w14:paraId="47037B16" w14:textId="77202BE1" w:rsidR="00877F0A" w:rsidRPr="00C462A0" w:rsidRDefault="00877F0A" w:rsidP="008A7204">
            <w:pPr>
              <w:pStyle w:val="NormalWeb"/>
              <w:numPr>
                <w:ilvl w:val="0"/>
                <w:numId w:val="309"/>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An insider threat originating from operations personnel</w:t>
            </w:r>
            <w:r w:rsidR="008A7204" w:rsidRPr="00C462A0">
              <w:rPr>
                <w:rFonts w:asciiTheme="minorHAnsi" w:hAnsiTheme="minorHAnsi" w:cstheme="minorHAnsi"/>
                <w:iCs/>
                <w:sz w:val="20"/>
                <w:szCs w:val="20"/>
                <w:lang w:val="en-GB"/>
              </w:rPr>
              <w:t>.</w:t>
            </w:r>
          </w:p>
          <w:p w14:paraId="46123BC8" w14:textId="77777777" w:rsidR="008A7204" w:rsidRPr="00C462A0" w:rsidRDefault="008A7204" w:rsidP="008A7204">
            <w:pPr>
              <w:pStyle w:val="NormalWeb"/>
              <w:spacing w:before="0" w:beforeAutospacing="0" w:after="0" w:afterAutospacing="0"/>
              <w:ind w:left="720"/>
              <w:jc w:val="both"/>
              <w:rPr>
                <w:rFonts w:asciiTheme="minorHAnsi" w:hAnsiTheme="minorHAnsi" w:cstheme="minorHAnsi"/>
                <w:iCs/>
                <w:sz w:val="20"/>
                <w:szCs w:val="20"/>
                <w:lang w:val="en-GB"/>
              </w:rPr>
            </w:pPr>
          </w:p>
          <w:p w14:paraId="6B95D820" w14:textId="0EEEAFB6" w:rsidR="00877F0A" w:rsidRPr="00C462A0" w:rsidRDefault="00877F0A" w:rsidP="008A7204">
            <w:pPr>
              <w:pStyle w:val="NormalWeb"/>
              <w:numPr>
                <w:ilvl w:val="0"/>
                <w:numId w:val="307"/>
              </w:numPr>
              <w:spacing w:before="0" w:beforeAutospacing="0" w:after="0" w:afterAutospacing="0"/>
              <w:jc w:val="both"/>
              <w:rPr>
                <w:rFonts w:asciiTheme="minorHAnsi" w:hAnsiTheme="minorHAnsi" w:cstheme="minorHAnsi"/>
                <w:iCs/>
                <w:color w:val="009889" w:themeColor="accent2"/>
                <w:sz w:val="20"/>
                <w:szCs w:val="20"/>
                <w:lang w:val="en-GB"/>
              </w:rPr>
            </w:pPr>
            <w:r w:rsidRPr="00C462A0">
              <w:rPr>
                <w:rFonts w:asciiTheme="minorHAnsi" w:hAnsiTheme="minorHAnsi" w:cstheme="minorHAnsi"/>
                <w:iCs/>
                <w:color w:val="009889" w:themeColor="accent2"/>
                <w:sz w:val="20"/>
                <w:szCs w:val="20"/>
                <w:lang w:val="en-GB"/>
              </w:rPr>
              <w:t xml:space="preserve">An organisation operating a renewable energy plant integrates its EMS with a cloud-based ESG reporting platform. Remote engineers access PLCs through a VPN concentrator connected to the corporate IT network. Which of the following scenarios represents the most critical systemic risk from an ATT&amp;CK for an ICS perspective? </w:t>
            </w:r>
          </w:p>
          <w:p w14:paraId="6E913B5C" w14:textId="77777777" w:rsidR="00877F0A" w:rsidRPr="00C462A0" w:rsidRDefault="00877F0A" w:rsidP="008A7204">
            <w:pPr>
              <w:pStyle w:val="NormalWeb"/>
              <w:numPr>
                <w:ilvl w:val="0"/>
                <w:numId w:val="310"/>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An attacker performs phishing against ESG analysts and steals sustainability report drafts.</w:t>
            </w:r>
          </w:p>
          <w:p w14:paraId="549F1C73" w14:textId="77777777" w:rsidR="00877F0A" w:rsidRPr="00C462A0" w:rsidRDefault="00877F0A" w:rsidP="008A7204">
            <w:pPr>
              <w:pStyle w:val="NormalWeb"/>
              <w:numPr>
                <w:ilvl w:val="0"/>
                <w:numId w:val="310"/>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An attacker gains access to the IT network, pivots laterally into the OT segment due to insufficient network segmentation, deploys malicious logic to PLCs, and inhibits alarm responses to conceal manipulation of energy output data.</w:t>
            </w:r>
          </w:p>
          <w:p w14:paraId="7ABD33FB" w14:textId="77777777" w:rsidR="008A7204" w:rsidRPr="00C462A0" w:rsidRDefault="00877F0A" w:rsidP="008A7204">
            <w:pPr>
              <w:pStyle w:val="NormalWeb"/>
              <w:numPr>
                <w:ilvl w:val="0"/>
                <w:numId w:val="310"/>
              </w:numPr>
              <w:spacing w:before="0" w:beforeAutospacing="0" w:after="0" w:afterAutospacing="0"/>
              <w:jc w:val="both"/>
              <w:rPr>
                <w:rFonts w:asciiTheme="minorHAnsi" w:hAnsiTheme="minorHAnsi" w:cstheme="minorHAnsi"/>
                <w:b/>
                <w:color w:val="00AC4E" w:themeColor="accent1"/>
                <w:sz w:val="20"/>
                <w:szCs w:val="20"/>
                <w:lang w:val="en-GB"/>
              </w:rPr>
            </w:pPr>
            <w:r w:rsidRPr="00C462A0">
              <w:rPr>
                <w:rFonts w:asciiTheme="minorHAnsi" w:hAnsiTheme="minorHAnsi" w:cstheme="minorHAnsi"/>
                <w:iCs/>
                <w:sz w:val="20"/>
                <w:szCs w:val="20"/>
                <w:lang w:val="en-GB"/>
              </w:rPr>
              <w:t>A Distributed Denial-of-Service (DDoS) attack temporarily slows down the public sustainability dashboard website.</w:t>
            </w:r>
          </w:p>
          <w:p w14:paraId="18FE075B" w14:textId="77777777" w:rsidR="00877F0A" w:rsidRPr="00C462A0" w:rsidRDefault="00877F0A" w:rsidP="008A7204">
            <w:pPr>
              <w:pStyle w:val="NormalWeb"/>
              <w:numPr>
                <w:ilvl w:val="0"/>
                <w:numId w:val="310"/>
              </w:numPr>
              <w:spacing w:before="0" w:beforeAutospacing="0" w:after="0" w:afterAutospacing="0"/>
              <w:jc w:val="both"/>
              <w:rPr>
                <w:rFonts w:asciiTheme="minorHAnsi" w:hAnsiTheme="minorHAnsi" w:cstheme="minorHAnsi"/>
                <w:b/>
                <w:color w:val="00AC4E" w:themeColor="accent1"/>
                <w:sz w:val="20"/>
                <w:szCs w:val="20"/>
                <w:lang w:val="en-GB"/>
              </w:rPr>
            </w:pPr>
            <w:r w:rsidRPr="00C462A0">
              <w:rPr>
                <w:rFonts w:asciiTheme="minorHAnsi" w:hAnsiTheme="minorHAnsi" w:cstheme="minorHAnsi"/>
                <w:iCs/>
                <w:sz w:val="20"/>
                <w:szCs w:val="20"/>
                <w:lang w:val="en-GB"/>
              </w:rPr>
              <w:t>An attacker brute-forces a cloud account password but does not gain access to operational systems.</w:t>
            </w:r>
          </w:p>
          <w:p w14:paraId="3F26812D" w14:textId="77777777" w:rsidR="008A7204" w:rsidRPr="00C462A0" w:rsidRDefault="008A7204" w:rsidP="008A7204">
            <w:pPr>
              <w:pStyle w:val="NormalWeb"/>
              <w:spacing w:before="0" w:beforeAutospacing="0" w:after="0" w:afterAutospacing="0"/>
              <w:jc w:val="both"/>
              <w:rPr>
                <w:rFonts w:asciiTheme="minorHAnsi" w:hAnsiTheme="minorHAnsi" w:cstheme="minorHAnsi"/>
                <w:b/>
                <w:color w:val="00AC4E" w:themeColor="accent1"/>
                <w:sz w:val="20"/>
                <w:szCs w:val="20"/>
                <w:lang w:val="en-GB"/>
              </w:rPr>
            </w:pPr>
          </w:p>
          <w:p w14:paraId="3B9D7B7B" w14:textId="703F1EDC" w:rsidR="008A7204" w:rsidRPr="00C462A0" w:rsidRDefault="008A7204" w:rsidP="008A7204">
            <w:pPr>
              <w:pStyle w:val="NormalWeb"/>
              <w:spacing w:before="0" w:beforeAutospacing="0" w:after="0" w:afterAutospacing="0"/>
              <w:jc w:val="both"/>
              <w:rPr>
                <w:rFonts w:asciiTheme="minorHAnsi" w:hAnsiTheme="minorHAnsi" w:cstheme="minorHAnsi"/>
                <w:bCs/>
                <w:i/>
                <w:iCs/>
                <w:color w:val="00AC4E" w:themeColor="accent1"/>
                <w:sz w:val="20"/>
                <w:szCs w:val="20"/>
                <w:lang w:val="en-GB"/>
              </w:rPr>
            </w:pPr>
            <w:r w:rsidRPr="00C462A0">
              <w:rPr>
                <w:rFonts w:asciiTheme="minorHAnsi" w:hAnsiTheme="minorHAnsi" w:cstheme="minorHAnsi"/>
                <w:bCs/>
                <w:i/>
                <w:iCs/>
                <w:sz w:val="20"/>
                <w:szCs w:val="20"/>
                <w:lang w:val="en-GB"/>
              </w:rPr>
              <w:t>Answer key: 1. true; 2. b); 3.  c); 4. b).</w:t>
            </w:r>
          </w:p>
        </w:tc>
      </w:tr>
    </w:tbl>
    <w:p w14:paraId="57ECF586" w14:textId="77777777" w:rsidR="008A7204" w:rsidRPr="00C462A0" w:rsidRDefault="008A7204">
      <w:r w:rsidRPr="00C462A0">
        <w:lastRenderedPageBreak/>
        <w:br w:type="page"/>
      </w:r>
    </w:p>
    <w:tbl>
      <w:tblPr>
        <w:tblStyle w:val="TableGrid"/>
        <w:tblW w:w="0" w:type="auto"/>
        <w:tblLook w:val="04A0" w:firstRow="1" w:lastRow="0" w:firstColumn="1" w:lastColumn="0" w:noHBand="0" w:noVBand="1"/>
      </w:tblPr>
      <w:tblGrid>
        <w:gridCol w:w="9628"/>
      </w:tblGrid>
      <w:tr w:rsidR="008A7204" w:rsidRPr="00C462A0" w14:paraId="185DD362" w14:textId="77777777" w:rsidTr="00877F0A">
        <w:trPr>
          <w:trHeight w:val="300"/>
        </w:trPr>
        <w:tc>
          <w:tcPr>
            <w:tcW w:w="9628" w:type="dxa"/>
          </w:tcPr>
          <w:p w14:paraId="7C9FC537" w14:textId="72886840" w:rsidR="008A7204" w:rsidRPr="00C462A0" w:rsidRDefault="008A7204" w:rsidP="008A7204">
            <w:pPr>
              <w:pStyle w:val="Heading2"/>
              <w:numPr>
                <w:ilvl w:val="0"/>
                <w:numId w:val="0"/>
              </w:numPr>
            </w:pPr>
            <w:bookmarkStart w:id="30" w:name="_Toc227623407"/>
            <w:r w:rsidRPr="00C462A0">
              <w:lastRenderedPageBreak/>
              <w:t>Topic 2.2: Threat Landscape of IoT sensors</w:t>
            </w:r>
            <w:bookmarkEnd w:id="30"/>
          </w:p>
        </w:tc>
      </w:tr>
      <w:tr w:rsidR="008A7204" w:rsidRPr="00C462A0" w14:paraId="25B6D76A" w14:textId="77777777" w:rsidTr="008A7204">
        <w:trPr>
          <w:trHeight w:val="300"/>
        </w:trPr>
        <w:tc>
          <w:tcPr>
            <w:tcW w:w="9628" w:type="dxa"/>
            <w:shd w:val="clear" w:color="auto" w:fill="D9D9D9" w:themeFill="background1" w:themeFillShade="D9"/>
          </w:tcPr>
          <w:p w14:paraId="058DA31A" w14:textId="61350BE6" w:rsidR="008A7204" w:rsidRPr="00C462A0" w:rsidRDefault="008A7204" w:rsidP="008A7204">
            <w:pPr>
              <w:pStyle w:val="NormalWeb"/>
              <w:spacing w:before="0" w:beforeAutospacing="0" w:after="0" w:afterAutospacing="0"/>
              <w:jc w:val="both"/>
              <w:rPr>
                <w:rFonts w:asciiTheme="minorHAnsi" w:hAnsiTheme="minorHAnsi" w:cstheme="minorHAnsi"/>
                <w:b/>
                <w:color w:val="00AC4E" w:themeColor="accent1"/>
                <w:sz w:val="20"/>
                <w:szCs w:val="20"/>
                <w:lang w:val="en-GB"/>
              </w:rPr>
            </w:pPr>
            <w:r w:rsidRPr="00C462A0">
              <w:rPr>
                <w:rFonts w:asciiTheme="minorHAnsi" w:hAnsiTheme="minorHAnsi" w:cstheme="minorHAnsi"/>
                <w:b/>
                <w:sz w:val="20"/>
                <w:szCs w:val="20"/>
                <w:lang w:val="en-GB"/>
              </w:rPr>
              <w:t>Short introduction:</w:t>
            </w:r>
          </w:p>
        </w:tc>
      </w:tr>
      <w:tr w:rsidR="008A7204" w:rsidRPr="00C462A0" w14:paraId="12F8BEC7" w14:textId="77777777" w:rsidTr="00877F0A">
        <w:trPr>
          <w:trHeight w:val="300"/>
        </w:trPr>
        <w:tc>
          <w:tcPr>
            <w:tcW w:w="9628" w:type="dxa"/>
          </w:tcPr>
          <w:p w14:paraId="46AA6BDC" w14:textId="4BF5E142" w:rsidR="008A7204" w:rsidRPr="00C462A0" w:rsidRDefault="008A7204" w:rsidP="008A7204">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iCs/>
                <w:sz w:val="20"/>
                <w:szCs w:val="20"/>
                <w:lang w:val="en-GB"/>
              </w:rPr>
              <w:t>IoT sensors are key components of sustainable digital infrastructures. They gather environmental, operational, and performance data that supports energy optimisation, ESG reporting, and smart infrastructure management. However, their distributed deployment, limited computing resources, and frequent connections to public or semi-public networks make them particularly vulnerable</w:t>
            </w:r>
            <w:r w:rsidRPr="00C462A0">
              <w:rPr>
                <w:rFonts w:asciiTheme="minorHAnsi" w:hAnsiTheme="minorHAnsi" w:cstheme="minorHAnsi"/>
                <w:sz w:val="20"/>
                <w:szCs w:val="20"/>
                <w:lang w:val="en-GB"/>
              </w:rPr>
              <w:t xml:space="preserve"> to cyber threats. Understanding the threat landscape surrounding IoT sensors is therefore crucial to preserving data integrity, maintaining operational continuity, and meeting sustainability compliance requirements.</w:t>
            </w:r>
          </w:p>
        </w:tc>
      </w:tr>
      <w:tr w:rsidR="008A7204" w:rsidRPr="00C462A0" w14:paraId="0C840C47" w14:textId="77777777" w:rsidTr="008A7204">
        <w:trPr>
          <w:trHeight w:val="300"/>
        </w:trPr>
        <w:tc>
          <w:tcPr>
            <w:tcW w:w="9628" w:type="dxa"/>
            <w:shd w:val="clear" w:color="auto" w:fill="D9D9D9" w:themeFill="background1" w:themeFillShade="D9"/>
          </w:tcPr>
          <w:p w14:paraId="336A351B" w14:textId="55702FE2" w:rsidR="008A7204" w:rsidRPr="00C462A0" w:rsidRDefault="008A7204" w:rsidP="008A7204">
            <w:pPr>
              <w:pStyle w:val="NormalWeb"/>
              <w:spacing w:before="0" w:beforeAutospacing="0" w:after="0" w:afterAutospacing="0"/>
              <w:jc w:val="both"/>
              <w:rPr>
                <w:rFonts w:asciiTheme="minorHAnsi" w:hAnsiTheme="minorHAnsi" w:cstheme="minorHAnsi"/>
                <w:b/>
                <w:color w:val="00AC4E" w:themeColor="accent1"/>
                <w:sz w:val="20"/>
                <w:szCs w:val="20"/>
                <w:lang w:val="en-GB"/>
              </w:rPr>
            </w:pPr>
            <w:r w:rsidRPr="00C462A0">
              <w:rPr>
                <w:rFonts w:asciiTheme="minorHAnsi" w:hAnsiTheme="minorHAnsi" w:cstheme="minorHAnsi"/>
                <w:b/>
                <w:sz w:val="20"/>
                <w:szCs w:val="20"/>
                <w:lang w:val="en-GB"/>
              </w:rPr>
              <w:t>Theory &amp; Knowledge:</w:t>
            </w:r>
          </w:p>
        </w:tc>
      </w:tr>
      <w:tr w:rsidR="00877F0A" w:rsidRPr="00C462A0" w14:paraId="5E47ED6E" w14:textId="77777777" w:rsidTr="00877F0A">
        <w:trPr>
          <w:trHeight w:val="300"/>
        </w:trPr>
        <w:tc>
          <w:tcPr>
            <w:tcW w:w="9628" w:type="dxa"/>
          </w:tcPr>
          <w:p w14:paraId="775A5E5A"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IoT sensors differ from traditional IT systems in several important respects. They are typically deployed in large volumes, operate with limited computational resources, and often rely on lightweight communication protocols. In sustainable systems, such as smart buildings, renewable energy plants, and environmental monitoring platforms, these devices generate real-time data that directly informs operational and regulatory decisions.</w:t>
            </w:r>
          </w:p>
          <w:p w14:paraId="60E2A7D7"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Although IoT deployments improve efficiency and transparency, they also significantly expand the attack surface. Each individual sensor can serve as a potential entry point into wider networks.</w:t>
            </w:r>
          </w:p>
          <w:p w14:paraId="724DDAC3"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p>
          <w:p w14:paraId="2FCE6E1E" w14:textId="3F68D482" w:rsidR="00877F0A" w:rsidRPr="00C462A0" w:rsidRDefault="00877F0A" w:rsidP="008A7204">
            <w:pPr>
              <w:pStyle w:val="NormalWeb"/>
              <w:numPr>
                <w:ilvl w:val="0"/>
                <w:numId w:val="312"/>
              </w:numPr>
              <w:spacing w:before="0" w:beforeAutospacing="0" w:after="0" w:afterAutospacing="0"/>
              <w:jc w:val="both"/>
              <w:rPr>
                <w:rFonts w:asciiTheme="minorHAnsi" w:hAnsiTheme="minorHAnsi" w:cstheme="minorHAnsi"/>
                <w:b/>
                <w:bCs/>
                <w:color w:val="009889" w:themeColor="accent2"/>
                <w:sz w:val="20"/>
                <w:szCs w:val="20"/>
                <w:lang w:val="en-GB" w:eastAsia="en-GB"/>
              </w:rPr>
            </w:pPr>
            <w:r w:rsidRPr="00C462A0">
              <w:rPr>
                <w:rFonts w:asciiTheme="minorHAnsi" w:hAnsiTheme="minorHAnsi" w:cstheme="minorHAnsi"/>
                <w:b/>
                <w:bCs/>
                <w:color w:val="009889" w:themeColor="accent2"/>
                <w:sz w:val="20"/>
                <w:szCs w:val="20"/>
                <w:lang w:val="en-GB" w:eastAsia="en-GB"/>
              </w:rPr>
              <w:t>Structural Characteristics of IoT Sensor Environments</w:t>
            </w:r>
          </w:p>
          <w:p w14:paraId="1D63315E"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IoT sensor ecosystems generally include:</w:t>
            </w:r>
          </w:p>
          <w:p w14:paraId="0169AD08" w14:textId="77777777" w:rsidR="00877F0A" w:rsidRPr="00C462A0" w:rsidRDefault="00877F0A" w:rsidP="00877F0A">
            <w:pPr>
              <w:pStyle w:val="NormalWeb"/>
              <w:numPr>
                <w:ilvl w:val="0"/>
                <w:numId w:val="260"/>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Physical sensors and embedded devices.</w:t>
            </w:r>
          </w:p>
          <w:p w14:paraId="4E1FC321" w14:textId="77777777" w:rsidR="00877F0A" w:rsidRPr="00C462A0" w:rsidRDefault="00877F0A" w:rsidP="00877F0A">
            <w:pPr>
              <w:pStyle w:val="NormalWeb"/>
              <w:numPr>
                <w:ilvl w:val="0"/>
                <w:numId w:val="260"/>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Local gateways or edge computing nodes.</w:t>
            </w:r>
          </w:p>
          <w:p w14:paraId="338D9DCF" w14:textId="77777777" w:rsidR="00877F0A" w:rsidRPr="00C462A0" w:rsidRDefault="00877F0A" w:rsidP="00877F0A">
            <w:pPr>
              <w:pStyle w:val="NormalWeb"/>
              <w:numPr>
                <w:ilvl w:val="0"/>
                <w:numId w:val="260"/>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Wireless communication protocols, such as MQTT, Zigbee, or LoRaWAN.</w:t>
            </w:r>
          </w:p>
          <w:p w14:paraId="5AEBE4D1" w14:textId="77777777" w:rsidR="00877F0A" w:rsidRPr="00C462A0" w:rsidRDefault="00877F0A" w:rsidP="00877F0A">
            <w:pPr>
              <w:pStyle w:val="NormalWeb"/>
              <w:numPr>
                <w:ilvl w:val="0"/>
                <w:numId w:val="260"/>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Cloud-based data aggregation platforms.</w:t>
            </w:r>
          </w:p>
          <w:p w14:paraId="26B5FEDE" w14:textId="77777777" w:rsidR="00877F0A" w:rsidRPr="00C462A0" w:rsidRDefault="00877F0A" w:rsidP="00877F0A">
            <w:pPr>
              <w:pStyle w:val="NormalWeb"/>
              <w:numPr>
                <w:ilvl w:val="0"/>
                <w:numId w:val="260"/>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Analytics and ESG reporting interfaces.</w:t>
            </w:r>
          </w:p>
          <w:p w14:paraId="2EFF556E"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Many IoT devices are built with a primary focus on functionality and cost efficiency rather than strong security controls. Limitations in processing power and memory can restrict encryption capabilities or the ability to implement reliable update mechanisms.</w:t>
            </w:r>
          </w:p>
          <w:p w14:paraId="147D1B14" w14:textId="77777777" w:rsidR="00877F0A" w:rsidRPr="00C462A0" w:rsidRDefault="00877F0A" w:rsidP="00210B7E">
            <w:pPr>
              <w:pStyle w:val="NormalWeb"/>
              <w:keepNext/>
              <w:spacing w:before="0" w:beforeAutospacing="0" w:after="0" w:afterAutospacing="0"/>
              <w:jc w:val="center"/>
              <w:rPr>
                <w:rFonts w:asciiTheme="minorHAnsi" w:hAnsiTheme="minorHAnsi" w:cstheme="minorHAnsi"/>
                <w:sz w:val="20"/>
                <w:szCs w:val="20"/>
                <w:lang w:val="en-GB"/>
              </w:rPr>
            </w:pPr>
            <w:r w:rsidRPr="00C462A0">
              <w:rPr>
                <w:rFonts w:asciiTheme="minorHAnsi" w:hAnsiTheme="minorHAnsi" w:cstheme="minorHAnsi"/>
                <w:noProof/>
                <w:sz w:val="20"/>
                <w:szCs w:val="20"/>
                <w:lang w:val="en-GB"/>
              </w:rPr>
              <w:drawing>
                <wp:inline distT="0" distB="0" distL="0" distR="0" wp14:anchorId="1DA62454" wp14:editId="28D71DF3">
                  <wp:extent cx="4036580" cy="2691336"/>
                  <wp:effectExtent l="0" t="0" r="2540"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pic:cNvPicPr>
                        </pic:nvPicPr>
                        <pic:blipFill>
                          <a:blip r:embed="rId54"/>
                          <a:stretch/>
                        </pic:blipFill>
                        <pic:spPr bwMode="auto">
                          <a:xfrm>
                            <a:off x="0" y="0"/>
                            <a:ext cx="4052855" cy="2702187"/>
                          </a:xfrm>
                          <a:prstGeom prst="rect">
                            <a:avLst/>
                          </a:prstGeom>
                          <a:noFill/>
                          <a:ln>
                            <a:noFill/>
                          </a:ln>
                        </pic:spPr>
                      </pic:pic>
                    </a:graphicData>
                  </a:graphic>
                </wp:inline>
              </w:drawing>
            </w:r>
          </w:p>
          <w:p w14:paraId="1E8497FF" w14:textId="2999AEFB" w:rsidR="00877F0A" w:rsidRPr="00C462A0" w:rsidRDefault="00877F0A" w:rsidP="00210B7E">
            <w:pPr>
              <w:pStyle w:val="Caption"/>
              <w:jc w:val="center"/>
              <w:rPr>
                <w:rFonts w:cstheme="minorHAnsi"/>
                <w:b w:val="0"/>
                <w:bCs w:val="0"/>
                <w:sz w:val="18"/>
                <w:szCs w:val="18"/>
              </w:rPr>
            </w:pPr>
            <w:bookmarkStart w:id="31" w:name="_Toc227623449"/>
            <w:r w:rsidRPr="00C462A0">
              <w:rPr>
                <w:rFonts w:cstheme="minorHAnsi"/>
                <w:b w:val="0"/>
                <w:bCs w:val="0"/>
                <w:sz w:val="18"/>
                <w:szCs w:val="18"/>
              </w:rPr>
              <w:t xml:space="preserve">Figure </w:t>
            </w:r>
            <w:r w:rsidRPr="00C462A0">
              <w:rPr>
                <w:rFonts w:cstheme="minorHAnsi"/>
                <w:b w:val="0"/>
                <w:bCs w:val="0"/>
                <w:sz w:val="18"/>
                <w:szCs w:val="18"/>
              </w:rPr>
              <w:fldChar w:fldCharType="begin"/>
            </w:r>
            <w:r w:rsidRPr="00C462A0">
              <w:rPr>
                <w:rFonts w:cstheme="minorHAnsi"/>
                <w:b w:val="0"/>
                <w:bCs w:val="0"/>
                <w:sz w:val="18"/>
                <w:szCs w:val="18"/>
              </w:rPr>
              <w:instrText xml:space="preserve"> SEQ Figure \* ARABIC </w:instrText>
            </w:r>
            <w:r w:rsidRPr="00C462A0">
              <w:rPr>
                <w:rFonts w:cstheme="minorHAnsi"/>
                <w:b w:val="0"/>
                <w:bCs w:val="0"/>
                <w:sz w:val="18"/>
                <w:szCs w:val="18"/>
              </w:rPr>
              <w:fldChar w:fldCharType="separate"/>
            </w:r>
            <w:r w:rsidRPr="00C462A0">
              <w:rPr>
                <w:rFonts w:cstheme="minorHAnsi"/>
                <w:b w:val="0"/>
                <w:bCs w:val="0"/>
                <w:sz w:val="18"/>
                <w:szCs w:val="18"/>
              </w:rPr>
              <w:t>12</w:t>
            </w:r>
            <w:r w:rsidRPr="00C462A0">
              <w:rPr>
                <w:rFonts w:cstheme="minorHAnsi"/>
                <w:b w:val="0"/>
                <w:bCs w:val="0"/>
                <w:sz w:val="18"/>
                <w:szCs w:val="18"/>
              </w:rPr>
              <w:fldChar w:fldCharType="end"/>
            </w:r>
            <w:r w:rsidR="008A7204" w:rsidRPr="00C462A0">
              <w:rPr>
                <w:rFonts w:cstheme="minorHAnsi"/>
                <w:b w:val="0"/>
                <w:bCs w:val="0"/>
                <w:sz w:val="18"/>
                <w:szCs w:val="18"/>
              </w:rPr>
              <w:t xml:space="preserve">. </w:t>
            </w:r>
            <w:r w:rsidRPr="00C462A0">
              <w:rPr>
                <w:rFonts w:cstheme="minorHAnsi"/>
                <w:b w:val="0"/>
                <w:bCs w:val="0"/>
                <w:sz w:val="18"/>
                <w:szCs w:val="18"/>
              </w:rPr>
              <w:t>IoT sensor ecosystem in sustainable infrastructure</w:t>
            </w:r>
            <w:r w:rsidR="008A7204" w:rsidRPr="00C462A0">
              <w:rPr>
                <w:rFonts w:cstheme="minorHAnsi"/>
                <w:b w:val="0"/>
                <w:bCs w:val="0"/>
                <w:sz w:val="18"/>
                <w:szCs w:val="18"/>
              </w:rPr>
              <w:t xml:space="preserve"> (source: Author)</w:t>
            </w:r>
            <w:bookmarkEnd w:id="31"/>
          </w:p>
          <w:p w14:paraId="5FC7E149" w14:textId="77777777" w:rsidR="00877F0A" w:rsidRDefault="00877F0A" w:rsidP="00210B7E">
            <w:pPr>
              <w:rPr>
                <w:rFonts w:cstheme="minorHAnsi"/>
                <w:szCs w:val="20"/>
              </w:rPr>
            </w:pPr>
          </w:p>
          <w:p w14:paraId="25F61115" w14:textId="21BD2013" w:rsidR="00721C5E" w:rsidRPr="00721C5E" w:rsidRDefault="00721C5E" w:rsidP="00721C5E">
            <w:pPr>
              <w:jc w:val="both"/>
              <w:rPr>
                <w:rFonts w:cstheme="minorHAnsi"/>
                <w:i/>
                <w:iCs/>
                <w:sz w:val="18"/>
                <w:szCs w:val="18"/>
              </w:rPr>
            </w:pPr>
            <w:r w:rsidRPr="00721C5E">
              <w:rPr>
                <w:rFonts w:cstheme="minorHAnsi"/>
                <w:i/>
                <w:iCs/>
                <w:sz w:val="18"/>
                <w:szCs w:val="18"/>
              </w:rPr>
              <w:lastRenderedPageBreak/>
              <w:t>The</w:t>
            </w:r>
            <w:r w:rsidRPr="00721C5E">
              <w:rPr>
                <w:rFonts w:cstheme="minorHAnsi"/>
                <w:i/>
                <w:iCs/>
                <w:sz w:val="18"/>
                <w:szCs w:val="18"/>
              </w:rPr>
              <w:t xml:space="preserve"> diagram</w:t>
            </w:r>
            <w:r w:rsidRPr="00721C5E">
              <w:rPr>
                <w:rFonts w:cstheme="minorHAnsi"/>
                <w:i/>
                <w:iCs/>
                <w:sz w:val="18"/>
                <w:szCs w:val="18"/>
              </w:rPr>
              <w:t xml:space="preserve"> above</w:t>
            </w:r>
            <w:r w:rsidRPr="00721C5E">
              <w:rPr>
                <w:rFonts w:cstheme="minorHAnsi"/>
                <w:i/>
                <w:iCs/>
                <w:sz w:val="18"/>
                <w:szCs w:val="18"/>
              </w:rPr>
              <w:t xml:space="preserve"> illustrates a three-layered IoT sensor ecosystem designed for sustainable infrastructure.</w:t>
            </w:r>
          </w:p>
          <w:p w14:paraId="6BFA1E61" w14:textId="77777777" w:rsidR="00721C5E" w:rsidRPr="00721C5E" w:rsidRDefault="00721C5E" w:rsidP="00721C5E">
            <w:pPr>
              <w:pStyle w:val="ListParagraph"/>
              <w:numPr>
                <w:ilvl w:val="0"/>
                <w:numId w:val="430"/>
              </w:numPr>
              <w:jc w:val="both"/>
              <w:rPr>
                <w:rFonts w:cstheme="minorHAnsi"/>
                <w:i/>
                <w:iCs/>
                <w:sz w:val="18"/>
                <w:szCs w:val="18"/>
              </w:rPr>
            </w:pPr>
            <w:r w:rsidRPr="00721C5E">
              <w:rPr>
                <w:rFonts w:cstheme="minorHAnsi"/>
                <w:i/>
                <w:iCs/>
                <w:sz w:val="18"/>
                <w:szCs w:val="18"/>
              </w:rPr>
              <w:t xml:space="preserve">Distributed Sensors: The foundation includes environmental sensors (air quality, weather), energy sensors (solar, wind), and smart building sensors (security, lighting) that gather real-time data. </w:t>
            </w:r>
          </w:p>
          <w:p w14:paraId="756C6193" w14:textId="77777777" w:rsidR="00721C5E" w:rsidRPr="00721C5E" w:rsidRDefault="00721C5E" w:rsidP="00721C5E">
            <w:pPr>
              <w:pStyle w:val="ListParagraph"/>
              <w:numPr>
                <w:ilvl w:val="0"/>
                <w:numId w:val="430"/>
              </w:numPr>
              <w:jc w:val="both"/>
              <w:rPr>
                <w:rFonts w:cstheme="minorHAnsi"/>
                <w:i/>
                <w:iCs/>
                <w:sz w:val="18"/>
                <w:szCs w:val="18"/>
              </w:rPr>
            </w:pPr>
            <w:r w:rsidRPr="00721C5E">
              <w:rPr>
                <w:rFonts w:cstheme="minorHAnsi"/>
                <w:i/>
                <w:iCs/>
                <w:sz w:val="18"/>
                <w:szCs w:val="18"/>
              </w:rPr>
              <w:t xml:space="preserve">Gateway / Edge Device: A central hub collects this data, providing local processing and filtering before securely transmitting it to the cloud. </w:t>
            </w:r>
          </w:p>
          <w:p w14:paraId="6B86ACC3" w14:textId="10CF4B12" w:rsidR="00C462A0" w:rsidRPr="00721C5E" w:rsidRDefault="00721C5E" w:rsidP="00721C5E">
            <w:pPr>
              <w:pStyle w:val="ListParagraph"/>
              <w:numPr>
                <w:ilvl w:val="0"/>
                <w:numId w:val="430"/>
              </w:numPr>
              <w:jc w:val="both"/>
              <w:rPr>
                <w:rFonts w:cstheme="minorHAnsi"/>
                <w:i/>
                <w:iCs/>
                <w:sz w:val="18"/>
                <w:szCs w:val="18"/>
              </w:rPr>
            </w:pPr>
            <w:r w:rsidRPr="00721C5E">
              <w:rPr>
                <w:rFonts w:cstheme="minorHAnsi"/>
                <w:i/>
                <w:iCs/>
                <w:sz w:val="18"/>
                <w:szCs w:val="18"/>
              </w:rPr>
              <w:t xml:space="preserve">Cloud Platform: Data is </w:t>
            </w:r>
            <w:r w:rsidRPr="00721C5E">
              <w:rPr>
                <w:rFonts w:cstheme="minorHAnsi"/>
                <w:i/>
                <w:iCs/>
                <w:sz w:val="18"/>
                <w:szCs w:val="18"/>
              </w:rPr>
              <w:t>analysed</w:t>
            </w:r>
            <w:r w:rsidRPr="00721C5E">
              <w:rPr>
                <w:rFonts w:cstheme="minorHAnsi"/>
                <w:i/>
                <w:iCs/>
                <w:sz w:val="18"/>
                <w:szCs w:val="18"/>
              </w:rPr>
              <w:t xml:space="preserve"> to generate insights and ESG (Environmental, Social, and Governance) reports for informed decision-making.</w:t>
            </w:r>
          </w:p>
          <w:p w14:paraId="78E86EF2" w14:textId="77777777" w:rsidR="00721C5E" w:rsidRPr="00C462A0" w:rsidRDefault="00721C5E" w:rsidP="00721C5E">
            <w:pPr>
              <w:rPr>
                <w:rFonts w:cstheme="minorHAnsi"/>
                <w:szCs w:val="20"/>
              </w:rPr>
            </w:pPr>
          </w:p>
          <w:p w14:paraId="121A8A95" w14:textId="77777777" w:rsidR="00877F0A" w:rsidRPr="00C462A0" w:rsidRDefault="00877F0A" w:rsidP="008A7204">
            <w:pPr>
              <w:pStyle w:val="NormalWeb"/>
              <w:numPr>
                <w:ilvl w:val="0"/>
                <w:numId w:val="312"/>
              </w:numPr>
              <w:spacing w:before="0" w:beforeAutospacing="0" w:after="0" w:afterAutospacing="0"/>
              <w:jc w:val="both"/>
              <w:rPr>
                <w:rFonts w:asciiTheme="minorHAnsi" w:hAnsiTheme="minorHAnsi" w:cstheme="minorHAnsi"/>
                <w:b/>
                <w:bCs/>
                <w:color w:val="009889" w:themeColor="accent2"/>
                <w:sz w:val="20"/>
                <w:szCs w:val="20"/>
                <w:lang w:val="en-GB" w:eastAsia="en-GB"/>
              </w:rPr>
            </w:pPr>
            <w:r w:rsidRPr="00C462A0">
              <w:rPr>
                <w:rFonts w:asciiTheme="minorHAnsi" w:hAnsiTheme="minorHAnsi" w:cstheme="minorHAnsi"/>
                <w:b/>
                <w:bCs/>
                <w:color w:val="009889" w:themeColor="accent2"/>
                <w:sz w:val="20"/>
                <w:szCs w:val="20"/>
                <w:lang w:val="en-GB" w:eastAsia="en-GB"/>
              </w:rPr>
              <w:t>Common Vulnerabilities in IoT Sensors</w:t>
            </w:r>
          </w:p>
          <w:p w14:paraId="1F434089"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IoT sensors often present:</w:t>
            </w:r>
          </w:p>
          <w:p w14:paraId="720F8967" w14:textId="77777777" w:rsidR="00877F0A" w:rsidRPr="00C462A0" w:rsidRDefault="00877F0A" w:rsidP="00877F0A">
            <w:pPr>
              <w:pStyle w:val="NormalWeb"/>
              <w:numPr>
                <w:ilvl w:val="0"/>
                <w:numId w:val="261"/>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Weak or default credentials.</w:t>
            </w:r>
          </w:p>
          <w:p w14:paraId="5917391D" w14:textId="77777777" w:rsidR="00877F0A" w:rsidRPr="00C462A0" w:rsidRDefault="00877F0A" w:rsidP="00877F0A">
            <w:pPr>
              <w:pStyle w:val="NormalWeb"/>
              <w:numPr>
                <w:ilvl w:val="0"/>
                <w:numId w:val="261"/>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Insecure firmware update mechanisms.</w:t>
            </w:r>
          </w:p>
          <w:p w14:paraId="6AF701BF" w14:textId="77777777" w:rsidR="00877F0A" w:rsidRPr="00C462A0" w:rsidRDefault="00877F0A" w:rsidP="00877F0A">
            <w:pPr>
              <w:pStyle w:val="NormalWeb"/>
              <w:numPr>
                <w:ilvl w:val="0"/>
                <w:numId w:val="261"/>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Unencrypted communication channels.</w:t>
            </w:r>
          </w:p>
          <w:p w14:paraId="210AF207" w14:textId="77777777" w:rsidR="00877F0A" w:rsidRPr="00C462A0" w:rsidRDefault="00877F0A" w:rsidP="00877F0A">
            <w:pPr>
              <w:pStyle w:val="NormalWeb"/>
              <w:numPr>
                <w:ilvl w:val="0"/>
                <w:numId w:val="261"/>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Limited logging and monitoring capabilities.</w:t>
            </w:r>
          </w:p>
          <w:p w14:paraId="3BF3B0EA" w14:textId="77777777" w:rsidR="00877F0A" w:rsidRPr="00C462A0" w:rsidRDefault="00877F0A" w:rsidP="00877F0A">
            <w:pPr>
              <w:pStyle w:val="NormalWeb"/>
              <w:numPr>
                <w:ilvl w:val="0"/>
                <w:numId w:val="261"/>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Physical exposure to tampering.</w:t>
            </w:r>
          </w:p>
          <w:p w14:paraId="0ED6C798"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The OWASP Foundation IoT Top 10 highlights insecure network services, weak authentication, and unsafe update mechanisms as recurring risk areas.</w:t>
            </w:r>
          </w:p>
          <w:p w14:paraId="60B3C9BD"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These weaknesses frequently arise from design trade-offs that prioritise performance, cost, and energy efficiency over robust security controls.</w:t>
            </w:r>
          </w:p>
          <w:p w14:paraId="6C4F485A"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p>
          <w:p w14:paraId="389785BA" w14:textId="77777777" w:rsidR="00877F0A" w:rsidRPr="00C462A0" w:rsidRDefault="00877F0A" w:rsidP="008A7204">
            <w:pPr>
              <w:pStyle w:val="NormalWeb"/>
              <w:numPr>
                <w:ilvl w:val="0"/>
                <w:numId w:val="312"/>
              </w:numPr>
              <w:spacing w:before="0" w:beforeAutospacing="0" w:after="0" w:afterAutospacing="0"/>
              <w:jc w:val="both"/>
              <w:rPr>
                <w:rFonts w:asciiTheme="minorHAnsi" w:hAnsiTheme="minorHAnsi" w:cstheme="minorHAnsi"/>
                <w:b/>
                <w:bCs/>
                <w:color w:val="009889" w:themeColor="accent2"/>
                <w:sz w:val="20"/>
                <w:szCs w:val="20"/>
                <w:lang w:val="en-GB"/>
              </w:rPr>
            </w:pPr>
            <w:r w:rsidRPr="00C462A0">
              <w:rPr>
                <w:rFonts w:asciiTheme="minorHAnsi" w:hAnsiTheme="minorHAnsi" w:cstheme="minorHAnsi"/>
                <w:b/>
                <w:bCs/>
                <w:color w:val="009889" w:themeColor="accent2"/>
                <w:sz w:val="20"/>
                <w:szCs w:val="20"/>
                <w:lang w:val="en-GB"/>
              </w:rPr>
              <w:t xml:space="preserve"> </w:t>
            </w:r>
            <w:r w:rsidRPr="00C462A0">
              <w:rPr>
                <w:rFonts w:asciiTheme="minorHAnsi" w:hAnsiTheme="minorHAnsi" w:cstheme="minorHAnsi"/>
                <w:b/>
                <w:bCs/>
                <w:color w:val="009889" w:themeColor="accent2"/>
                <w:sz w:val="20"/>
                <w:szCs w:val="20"/>
                <w:lang w:val="en-GB" w:eastAsia="en-GB"/>
              </w:rPr>
              <w:t>Primary Threat Actors and Motivations</w:t>
            </w:r>
          </w:p>
          <w:p w14:paraId="27F2131A"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IoT sensors within sustainable environments may attract:</w:t>
            </w:r>
          </w:p>
          <w:p w14:paraId="0CD3A0D1" w14:textId="77777777" w:rsidR="00877F0A" w:rsidRPr="00C462A0" w:rsidRDefault="00877F0A" w:rsidP="00877F0A">
            <w:pPr>
              <w:pStyle w:val="NormalWeb"/>
              <w:numPr>
                <w:ilvl w:val="0"/>
                <w:numId w:val="263"/>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Cybercriminal groups are looking for entry points into larger corporate networks.</w:t>
            </w:r>
          </w:p>
          <w:p w14:paraId="2DCD39A2" w14:textId="77777777" w:rsidR="00877F0A" w:rsidRPr="00C462A0" w:rsidRDefault="00877F0A" w:rsidP="00877F0A">
            <w:pPr>
              <w:pStyle w:val="NormalWeb"/>
              <w:numPr>
                <w:ilvl w:val="0"/>
                <w:numId w:val="263"/>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State-sponsored actors targeting energy or environmental infrastructure.</w:t>
            </w:r>
          </w:p>
          <w:p w14:paraId="3528CF2C" w14:textId="77777777" w:rsidR="00877F0A" w:rsidRPr="00C462A0" w:rsidRDefault="00877F0A" w:rsidP="00877F0A">
            <w:pPr>
              <w:pStyle w:val="NormalWeb"/>
              <w:numPr>
                <w:ilvl w:val="0"/>
                <w:numId w:val="262"/>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Hacktivists seeking to disrupt sustainability narratives.</w:t>
            </w:r>
          </w:p>
          <w:p w14:paraId="79A0A439" w14:textId="77777777" w:rsidR="00877F0A" w:rsidRPr="00C462A0" w:rsidRDefault="00877F0A" w:rsidP="00877F0A">
            <w:pPr>
              <w:pStyle w:val="NormalWeb"/>
              <w:numPr>
                <w:ilvl w:val="0"/>
                <w:numId w:val="262"/>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Insiders exploiting poorly monitored edge devices.</w:t>
            </w:r>
          </w:p>
          <w:p w14:paraId="22C9055C"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Because sensors are often connected to cloud platforms and operational systems, attackers can use them as pivot points to move laterally across the network.</w:t>
            </w:r>
          </w:p>
          <w:p w14:paraId="14DF6E92"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p>
          <w:p w14:paraId="5AA189D7" w14:textId="77777777" w:rsidR="00877F0A" w:rsidRPr="00C462A0" w:rsidRDefault="00877F0A" w:rsidP="008A7204">
            <w:pPr>
              <w:pStyle w:val="NormalWeb"/>
              <w:numPr>
                <w:ilvl w:val="0"/>
                <w:numId w:val="312"/>
              </w:numPr>
              <w:spacing w:before="0" w:beforeAutospacing="0" w:after="0" w:afterAutospacing="0"/>
              <w:jc w:val="both"/>
              <w:rPr>
                <w:rFonts w:asciiTheme="minorHAnsi" w:hAnsiTheme="minorHAnsi" w:cstheme="minorHAnsi"/>
                <w:b/>
                <w:bCs/>
                <w:color w:val="009889" w:themeColor="accent2"/>
                <w:sz w:val="20"/>
                <w:szCs w:val="20"/>
                <w:lang w:val="en-GB" w:eastAsia="en-GB"/>
              </w:rPr>
            </w:pPr>
            <w:r w:rsidRPr="00C462A0">
              <w:rPr>
                <w:rFonts w:asciiTheme="minorHAnsi" w:hAnsiTheme="minorHAnsi" w:cstheme="minorHAnsi"/>
                <w:b/>
                <w:bCs/>
                <w:color w:val="009889" w:themeColor="accent2"/>
                <w:sz w:val="20"/>
                <w:szCs w:val="20"/>
                <w:lang w:val="en-GB" w:eastAsia="en-GB"/>
              </w:rPr>
              <w:t>Typical Attack Scenarios</w:t>
            </w:r>
          </w:p>
          <w:p w14:paraId="0231DCCB" w14:textId="77777777" w:rsidR="00877F0A" w:rsidRPr="00C462A0" w:rsidRDefault="00877F0A" w:rsidP="00877F0A">
            <w:pPr>
              <w:pStyle w:val="NormalWeb"/>
              <w:numPr>
                <w:ilvl w:val="0"/>
                <w:numId w:val="264"/>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b/>
                <w:bCs/>
                <w:sz w:val="20"/>
                <w:szCs w:val="20"/>
                <w:lang w:val="en-GB"/>
              </w:rPr>
              <w:t xml:space="preserve">Botnet Recruitment: </w:t>
            </w:r>
            <w:r w:rsidRPr="00C462A0">
              <w:rPr>
                <w:rFonts w:asciiTheme="minorHAnsi" w:hAnsiTheme="minorHAnsi" w:cstheme="minorHAnsi"/>
                <w:sz w:val="20"/>
                <w:szCs w:val="20"/>
                <w:lang w:val="en-GB"/>
              </w:rPr>
              <w:t>Compromised IoT sensors can be absorbed into botnets and used to launch distributed denial-of-service (DDoS) attacks.</w:t>
            </w:r>
          </w:p>
          <w:p w14:paraId="4DF0097F" w14:textId="77777777" w:rsidR="00877F0A" w:rsidRPr="00C462A0" w:rsidRDefault="00877F0A" w:rsidP="00877F0A">
            <w:pPr>
              <w:pStyle w:val="NormalWeb"/>
              <w:numPr>
                <w:ilvl w:val="0"/>
                <w:numId w:val="264"/>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b/>
                <w:bCs/>
                <w:sz w:val="20"/>
                <w:szCs w:val="20"/>
                <w:lang w:val="en-GB"/>
              </w:rPr>
              <w:t>Data Manipulation</w:t>
            </w:r>
            <w:r w:rsidRPr="00C462A0">
              <w:rPr>
                <w:rFonts w:asciiTheme="minorHAnsi" w:hAnsiTheme="minorHAnsi" w:cstheme="minorHAnsi"/>
                <w:sz w:val="20"/>
                <w:szCs w:val="20"/>
                <w:lang w:val="en-GB"/>
              </w:rPr>
              <w:t>: Attackers may alter sensor readings, such as energy production metrics, leading to inaccurate ESG reporting or flawed operational decisions.</w:t>
            </w:r>
          </w:p>
          <w:p w14:paraId="0CA93E5C" w14:textId="77777777" w:rsidR="00877F0A" w:rsidRPr="00C462A0" w:rsidRDefault="00877F0A" w:rsidP="00877F0A">
            <w:pPr>
              <w:pStyle w:val="NormalWeb"/>
              <w:numPr>
                <w:ilvl w:val="0"/>
                <w:numId w:val="264"/>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b/>
                <w:bCs/>
                <w:sz w:val="20"/>
                <w:szCs w:val="20"/>
                <w:lang w:val="en-GB"/>
              </w:rPr>
              <w:t>Gateway Compromise</w:t>
            </w:r>
            <w:r w:rsidRPr="00C462A0">
              <w:rPr>
                <w:rFonts w:asciiTheme="minorHAnsi" w:hAnsiTheme="minorHAnsi" w:cstheme="minorHAnsi"/>
                <w:sz w:val="20"/>
                <w:szCs w:val="20"/>
                <w:lang w:val="en-GB"/>
              </w:rPr>
              <w:t>: A vulnerable gateway can allow attackers to escalate privileges and gain access to internal systems.</w:t>
            </w:r>
          </w:p>
          <w:p w14:paraId="53CA0525" w14:textId="77777777" w:rsidR="00877F0A" w:rsidRPr="00C462A0" w:rsidRDefault="00877F0A" w:rsidP="00877F0A">
            <w:pPr>
              <w:pStyle w:val="NormalWeb"/>
              <w:numPr>
                <w:ilvl w:val="0"/>
                <w:numId w:val="264"/>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b/>
                <w:bCs/>
                <w:sz w:val="20"/>
                <w:szCs w:val="20"/>
                <w:lang w:val="en-GB"/>
              </w:rPr>
              <w:t>Physical Tampering</w:t>
            </w:r>
            <w:r w:rsidRPr="00C462A0">
              <w:rPr>
                <w:rFonts w:asciiTheme="minorHAnsi" w:hAnsiTheme="minorHAnsi" w:cstheme="minorHAnsi"/>
                <w:sz w:val="20"/>
                <w:szCs w:val="20"/>
                <w:lang w:val="en-GB"/>
              </w:rPr>
              <w:t>: Direct interference with exposed devices may result in the installation of malicious firmware.</w:t>
            </w:r>
          </w:p>
          <w:p w14:paraId="08343F5A" w14:textId="77777777" w:rsidR="00877F0A" w:rsidRPr="00C462A0" w:rsidRDefault="00877F0A" w:rsidP="00210B7E">
            <w:pPr>
              <w:pStyle w:val="NormalWeb"/>
              <w:spacing w:before="0" w:beforeAutospacing="0" w:after="0" w:afterAutospacing="0"/>
              <w:ind w:left="720"/>
              <w:jc w:val="both"/>
              <w:rPr>
                <w:rFonts w:asciiTheme="minorHAnsi" w:hAnsiTheme="minorHAnsi" w:cstheme="minorHAnsi"/>
                <w:sz w:val="20"/>
                <w:szCs w:val="20"/>
                <w:lang w:val="en-GB"/>
              </w:rPr>
            </w:pPr>
          </w:p>
          <w:p w14:paraId="576F0A2E"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The MITRE Corporation ATT&amp;CK framework, particularly ATT&amp;CK for ICS, provides a structured mapping of relevant tactics, such as initial access, persistence, and impact, within embedded and industrial environments.</w:t>
            </w:r>
          </w:p>
          <w:p w14:paraId="59E6602D"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 xml:space="preserve">In IoT-enabled energy environments (smart meters, sensors, edge gateways), </w:t>
            </w:r>
            <w:r w:rsidRPr="00C462A0">
              <w:rPr>
                <w:rFonts w:asciiTheme="minorHAnsi" w:hAnsiTheme="minorHAnsi" w:cstheme="minorHAnsi"/>
                <w:b/>
                <w:bCs/>
                <w:sz w:val="20"/>
                <w:szCs w:val="20"/>
                <w:lang w:val="en-GB"/>
              </w:rPr>
              <w:t>MITRE ATT&amp;CK for ICS</w:t>
            </w:r>
            <w:r w:rsidRPr="00C462A0">
              <w:rPr>
                <w:rFonts w:asciiTheme="minorHAnsi" w:hAnsiTheme="minorHAnsi" w:cstheme="minorHAnsi"/>
                <w:sz w:val="20"/>
                <w:szCs w:val="20"/>
                <w:lang w:val="en-GB"/>
              </w:rPr>
              <w:t xml:space="preserve"> helps analyse threats as </w:t>
            </w:r>
            <w:r w:rsidRPr="00C462A0">
              <w:rPr>
                <w:rFonts w:asciiTheme="minorHAnsi" w:hAnsiTheme="minorHAnsi" w:cstheme="minorHAnsi"/>
                <w:i/>
                <w:iCs/>
                <w:sz w:val="20"/>
                <w:szCs w:val="20"/>
                <w:lang w:val="en-GB"/>
              </w:rPr>
              <w:t>adversary behaviours</w:t>
            </w:r>
            <w:r w:rsidRPr="00C462A0">
              <w:rPr>
                <w:rFonts w:asciiTheme="minorHAnsi" w:hAnsiTheme="minorHAnsi" w:cstheme="minorHAnsi"/>
                <w:sz w:val="20"/>
                <w:szCs w:val="20"/>
                <w:lang w:val="en-GB"/>
              </w:rPr>
              <w:t xml:space="preserve"> rather than isolated device vulnerabilities. It is especially useful to model how an attacker could compromise an IoT gateway (Initial Access), alter firmware/configuration (Execution/Persistence), and </w:t>
            </w:r>
            <w:r w:rsidRPr="00C462A0">
              <w:rPr>
                <w:rFonts w:asciiTheme="minorHAnsi" w:hAnsiTheme="minorHAnsi" w:cstheme="minorHAnsi"/>
                <w:b/>
                <w:bCs/>
                <w:sz w:val="20"/>
                <w:szCs w:val="20"/>
                <w:lang w:val="en-GB"/>
              </w:rPr>
              <w:t xml:space="preserve">tamper </w:t>
            </w:r>
            <w:r w:rsidRPr="00C462A0">
              <w:rPr>
                <w:rFonts w:asciiTheme="minorHAnsi" w:hAnsiTheme="minorHAnsi" w:cstheme="minorHAnsi"/>
                <w:b/>
                <w:bCs/>
                <w:sz w:val="20"/>
                <w:szCs w:val="20"/>
                <w:lang w:val="en-GB"/>
              </w:rPr>
              <w:lastRenderedPageBreak/>
              <w:t>with telemetry</w:t>
            </w:r>
            <w:r w:rsidRPr="00C462A0">
              <w:rPr>
                <w:rFonts w:asciiTheme="minorHAnsi" w:hAnsiTheme="minorHAnsi" w:cstheme="minorHAnsi"/>
                <w:sz w:val="20"/>
                <w:szCs w:val="20"/>
                <w:lang w:val="en-GB"/>
              </w:rPr>
              <w:t xml:space="preserve"> feeding the EMS or optimisation logic (Impair Process Control / Modify Control Logic), leading to wrong control decisions and unreliable sustainability metrics. This mapping supports clearer prioritisation of monitoring and mitigation for the IoT-to-OT “bridge,” where segmentation and remote management are common weaknesses.</w:t>
            </w:r>
          </w:p>
          <w:p w14:paraId="7604738A"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p>
          <w:p w14:paraId="23D16321" w14:textId="77777777" w:rsidR="00877F0A" w:rsidRPr="00C462A0" w:rsidRDefault="00877F0A" w:rsidP="00210B7E">
            <w:pPr>
              <w:pStyle w:val="NormalWeb"/>
              <w:keepNext/>
              <w:spacing w:before="0" w:beforeAutospacing="0" w:after="0" w:afterAutospacing="0"/>
              <w:jc w:val="center"/>
              <w:rPr>
                <w:rFonts w:asciiTheme="minorHAnsi" w:hAnsiTheme="minorHAnsi" w:cstheme="minorHAnsi"/>
                <w:sz w:val="20"/>
                <w:szCs w:val="20"/>
                <w:lang w:val="en-GB"/>
              </w:rPr>
            </w:pPr>
            <w:r w:rsidRPr="00C462A0">
              <w:rPr>
                <w:rFonts w:asciiTheme="minorHAnsi" w:hAnsiTheme="minorHAnsi" w:cstheme="minorHAnsi"/>
                <w:noProof/>
                <w:sz w:val="20"/>
                <w:szCs w:val="20"/>
                <w:lang w:val="en-GB"/>
              </w:rPr>
              <w:drawing>
                <wp:inline distT="0" distB="0" distL="0" distR="0" wp14:anchorId="01E25811" wp14:editId="241799B0">
                  <wp:extent cx="5162188" cy="2570019"/>
                  <wp:effectExtent l="0" t="0" r="635" b="1905"/>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pic:cNvPicPr>
                        </pic:nvPicPr>
                        <pic:blipFill>
                          <a:blip r:embed="rId55"/>
                          <a:srcRect b="25330"/>
                          <a:stretch/>
                        </pic:blipFill>
                        <pic:spPr bwMode="auto">
                          <a:xfrm>
                            <a:off x="0" y="0"/>
                            <a:ext cx="5174347" cy="2576072"/>
                          </a:xfrm>
                          <a:prstGeom prst="rect">
                            <a:avLst/>
                          </a:prstGeom>
                          <a:noFill/>
                          <a:ln>
                            <a:noFill/>
                          </a:ln>
                        </pic:spPr>
                      </pic:pic>
                    </a:graphicData>
                  </a:graphic>
                </wp:inline>
              </w:drawing>
            </w:r>
          </w:p>
          <w:p w14:paraId="32D4B557" w14:textId="1451851D" w:rsidR="00877F0A" w:rsidRPr="00C462A0" w:rsidRDefault="00877F0A" w:rsidP="00210B7E">
            <w:pPr>
              <w:pStyle w:val="Caption"/>
              <w:jc w:val="center"/>
              <w:rPr>
                <w:rFonts w:cstheme="minorHAnsi"/>
                <w:b w:val="0"/>
                <w:bCs w:val="0"/>
                <w:sz w:val="18"/>
                <w:szCs w:val="18"/>
              </w:rPr>
            </w:pPr>
            <w:bookmarkStart w:id="32" w:name="_Toc227623450"/>
            <w:r w:rsidRPr="00C462A0">
              <w:rPr>
                <w:rFonts w:cstheme="minorHAnsi"/>
                <w:b w:val="0"/>
                <w:bCs w:val="0"/>
                <w:sz w:val="18"/>
                <w:szCs w:val="18"/>
              </w:rPr>
              <w:t xml:space="preserve">Figure </w:t>
            </w:r>
            <w:r w:rsidRPr="00C462A0">
              <w:rPr>
                <w:rFonts w:cstheme="minorHAnsi"/>
                <w:b w:val="0"/>
                <w:bCs w:val="0"/>
                <w:sz w:val="18"/>
                <w:szCs w:val="18"/>
              </w:rPr>
              <w:fldChar w:fldCharType="begin"/>
            </w:r>
            <w:r w:rsidRPr="00C462A0">
              <w:rPr>
                <w:rFonts w:cstheme="minorHAnsi"/>
                <w:b w:val="0"/>
                <w:bCs w:val="0"/>
                <w:sz w:val="18"/>
                <w:szCs w:val="18"/>
              </w:rPr>
              <w:instrText xml:space="preserve"> SEQ Figure \* ARABIC </w:instrText>
            </w:r>
            <w:r w:rsidRPr="00C462A0">
              <w:rPr>
                <w:rFonts w:cstheme="minorHAnsi"/>
                <w:b w:val="0"/>
                <w:bCs w:val="0"/>
                <w:sz w:val="18"/>
                <w:szCs w:val="18"/>
              </w:rPr>
              <w:fldChar w:fldCharType="separate"/>
            </w:r>
            <w:r w:rsidRPr="00C462A0">
              <w:rPr>
                <w:rFonts w:cstheme="minorHAnsi"/>
                <w:b w:val="0"/>
                <w:bCs w:val="0"/>
                <w:sz w:val="18"/>
                <w:szCs w:val="18"/>
              </w:rPr>
              <w:t>13</w:t>
            </w:r>
            <w:r w:rsidRPr="00C462A0">
              <w:rPr>
                <w:rFonts w:cstheme="minorHAnsi"/>
                <w:b w:val="0"/>
                <w:bCs w:val="0"/>
                <w:sz w:val="18"/>
                <w:szCs w:val="18"/>
              </w:rPr>
              <w:fldChar w:fldCharType="end"/>
            </w:r>
            <w:r w:rsidR="008A7204" w:rsidRPr="00C462A0">
              <w:rPr>
                <w:rFonts w:cstheme="minorHAnsi"/>
                <w:b w:val="0"/>
                <w:bCs w:val="0"/>
                <w:sz w:val="18"/>
                <w:szCs w:val="18"/>
              </w:rPr>
              <w:t xml:space="preserve">. </w:t>
            </w:r>
            <w:r w:rsidRPr="00C462A0">
              <w:rPr>
                <w:rFonts w:cstheme="minorHAnsi"/>
                <w:b w:val="0"/>
                <w:bCs w:val="0"/>
                <w:sz w:val="18"/>
                <w:szCs w:val="18"/>
              </w:rPr>
              <w:t>Typical IoT attack chain. Compromise of a sensor can allow pivoting to the gateway, lateral movement to cloud services, and manipulation of data or service disruption</w:t>
            </w:r>
            <w:r w:rsidR="008A7204" w:rsidRPr="00C462A0">
              <w:rPr>
                <w:rFonts w:cstheme="minorHAnsi"/>
                <w:b w:val="0"/>
                <w:bCs w:val="0"/>
                <w:sz w:val="18"/>
                <w:szCs w:val="18"/>
              </w:rPr>
              <w:t xml:space="preserve"> (source: Author)</w:t>
            </w:r>
            <w:bookmarkEnd w:id="32"/>
          </w:p>
          <w:p w14:paraId="253DA7F8" w14:textId="77777777" w:rsidR="00877F0A" w:rsidRDefault="00877F0A" w:rsidP="00210B7E">
            <w:pPr>
              <w:pStyle w:val="NormalWeb"/>
              <w:spacing w:before="0" w:beforeAutospacing="0" w:after="0" w:afterAutospacing="0"/>
              <w:jc w:val="center"/>
              <w:rPr>
                <w:rFonts w:asciiTheme="minorHAnsi" w:hAnsiTheme="minorHAnsi" w:cstheme="minorHAnsi"/>
                <w:sz w:val="20"/>
                <w:szCs w:val="20"/>
                <w:lang w:val="en-GB"/>
              </w:rPr>
            </w:pPr>
          </w:p>
          <w:p w14:paraId="0FD754BA" w14:textId="3AAF4334" w:rsidR="00721C5E" w:rsidRPr="00721C5E" w:rsidRDefault="00721C5E" w:rsidP="00721C5E">
            <w:pPr>
              <w:rPr>
                <w:i/>
                <w:iCs/>
                <w:sz w:val="18"/>
                <w:szCs w:val="20"/>
              </w:rPr>
            </w:pPr>
            <w:r w:rsidRPr="00721C5E">
              <w:rPr>
                <w:i/>
                <w:iCs/>
                <w:sz w:val="18"/>
                <w:szCs w:val="20"/>
              </w:rPr>
              <w:t>Th</w:t>
            </w:r>
            <w:r>
              <w:rPr>
                <w:i/>
                <w:iCs/>
                <w:sz w:val="18"/>
                <w:szCs w:val="20"/>
              </w:rPr>
              <w:t xml:space="preserve">e </w:t>
            </w:r>
            <w:r w:rsidRPr="00721C5E">
              <w:rPr>
                <w:i/>
                <w:iCs/>
                <w:sz w:val="18"/>
                <w:szCs w:val="20"/>
              </w:rPr>
              <w:t>diagram</w:t>
            </w:r>
            <w:r>
              <w:rPr>
                <w:i/>
                <w:iCs/>
                <w:sz w:val="18"/>
                <w:szCs w:val="20"/>
              </w:rPr>
              <w:t xml:space="preserve"> above</w:t>
            </w:r>
            <w:r w:rsidRPr="00721C5E">
              <w:rPr>
                <w:i/>
                <w:iCs/>
                <w:sz w:val="18"/>
                <w:szCs w:val="20"/>
              </w:rPr>
              <w:t xml:space="preserve"> illustrates a four-stage IoT attack flow, showing how vulnerabilities in connected devices can lead to widespread system disruption.</w:t>
            </w:r>
          </w:p>
          <w:p w14:paraId="52DA1060" w14:textId="77777777" w:rsidR="00721C5E" w:rsidRPr="00721C5E" w:rsidRDefault="00721C5E" w:rsidP="00721C5E">
            <w:pPr>
              <w:rPr>
                <w:i/>
                <w:iCs/>
                <w:sz w:val="18"/>
                <w:szCs w:val="20"/>
              </w:rPr>
            </w:pPr>
            <w:r w:rsidRPr="00721C5E">
              <w:rPr>
                <w:i/>
                <w:iCs/>
                <w:sz w:val="18"/>
                <w:szCs w:val="20"/>
              </w:rPr>
              <w:t xml:space="preserve">Stage 1 - Sensor Compromise: Attackers exploit weak credentials on IoT sensors or cameras to gain initial access. </w:t>
            </w:r>
          </w:p>
          <w:p w14:paraId="12B3248B" w14:textId="77777777" w:rsidR="00721C5E" w:rsidRPr="00721C5E" w:rsidRDefault="00721C5E" w:rsidP="00721C5E">
            <w:pPr>
              <w:rPr>
                <w:i/>
                <w:iCs/>
                <w:sz w:val="18"/>
                <w:szCs w:val="20"/>
              </w:rPr>
            </w:pPr>
            <w:r w:rsidRPr="00721C5E">
              <w:rPr>
                <w:i/>
                <w:iCs/>
                <w:sz w:val="18"/>
                <w:szCs w:val="20"/>
              </w:rPr>
              <w:t xml:space="preserve">Stage 2 - Pivot to Gateway: The attacker moves from the compromised device to the network gateway, taking control of local communications. </w:t>
            </w:r>
          </w:p>
          <w:p w14:paraId="7D8DB106" w14:textId="77777777" w:rsidR="00721C5E" w:rsidRPr="00721C5E" w:rsidRDefault="00721C5E" w:rsidP="00721C5E">
            <w:pPr>
              <w:rPr>
                <w:i/>
                <w:iCs/>
                <w:sz w:val="18"/>
                <w:szCs w:val="20"/>
              </w:rPr>
            </w:pPr>
            <w:r w:rsidRPr="00721C5E">
              <w:rPr>
                <w:i/>
                <w:iCs/>
                <w:sz w:val="18"/>
                <w:szCs w:val="20"/>
              </w:rPr>
              <w:t xml:space="preserve">Stage 3 - Cloud Lateral Movement: The attacker moves laterally into the associated cloud platform, compromising the server infrastructure. </w:t>
            </w:r>
          </w:p>
          <w:p w14:paraId="6E73D363" w14:textId="3FCD2CCA" w:rsidR="00721C5E" w:rsidRPr="00721C5E" w:rsidRDefault="00721C5E" w:rsidP="00721C5E">
            <w:pPr>
              <w:rPr>
                <w:i/>
                <w:iCs/>
                <w:sz w:val="18"/>
                <w:szCs w:val="20"/>
              </w:rPr>
            </w:pPr>
            <w:r w:rsidRPr="00721C5E">
              <w:rPr>
                <w:i/>
                <w:iCs/>
                <w:sz w:val="18"/>
                <w:szCs w:val="20"/>
              </w:rPr>
              <w:t>Stage 4 - Impact: The final stage involves manipulating data or disrupting services, potentially leading to botnets or ransomware</w:t>
            </w:r>
          </w:p>
          <w:p w14:paraId="39CC247F" w14:textId="77777777" w:rsidR="00721C5E" w:rsidRPr="00C462A0" w:rsidRDefault="00721C5E" w:rsidP="00721C5E">
            <w:pPr>
              <w:pStyle w:val="NormalWeb"/>
              <w:spacing w:before="0" w:beforeAutospacing="0" w:after="0" w:afterAutospacing="0"/>
              <w:jc w:val="both"/>
              <w:rPr>
                <w:rFonts w:asciiTheme="minorHAnsi" w:hAnsiTheme="minorHAnsi" w:cstheme="minorHAnsi"/>
                <w:sz w:val="20"/>
                <w:szCs w:val="20"/>
                <w:lang w:val="en-GB"/>
              </w:rPr>
            </w:pPr>
          </w:p>
          <w:p w14:paraId="49619502" w14:textId="77777777" w:rsidR="00877F0A" w:rsidRPr="00C462A0" w:rsidRDefault="00877F0A" w:rsidP="008A7204">
            <w:pPr>
              <w:pStyle w:val="NormalWeb"/>
              <w:numPr>
                <w:ilvl w:val="0"/>
                <w:numId w:val="312"/>
              </w:numPr>
              <w:spacing w:before="0" w:beforeAutospacing="0" w:after="0" w:afterAutospacing="0"/>
              <w:jc w:val="both"/>
              <w:rPr>
                <w:rFonts w:asciiTheme="minorHAnsi" w:hAnsiTheme="minorHAnsi" w:cstheme="minorHAnsi"/>
                <w:b/>
                <w:bCs/>
                <w:color w:val="009889" w:themeColor="accent2"/>
                <w:sz w:val="20"/>
                <w:szCs w:val="20"/>
                <w:lang w:val="en-GB" w:eastAsia="en-GB"/>
              </w:rPr>
            </w:pPr>
            <w:r w:rsidRPr="00C462A0">
              <w:rPr>
                <w:rFonts w:asciiTheme="minorHAnsi" w:hAnsiTheme="minorHAnsi" w:cstheme="minorHAnsi"/>
                <w:b/>
                <w:bCs/>
                <w:color w:val="009889" w:themeColor="accent2"/>
                <w:sz w:val="20"/>
                <w:szCs w:val="20"/>
                <w:lang w:val="en-GB" w:eastAsia="en-GB"/>
              </w:rPr>
              <w:t>Impact in Sustainable Contexts</w:t>
            </w:r>
          </w:p>
          <w:p w14:paraId="3F9E453E"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The consequences of an IoT sensor compromise can include:</w:t>
            </w:r>
          </w:p>
          <w:p w14:paraId="35D33B5C" w14:textId="77777777" w:rsidR="00877F0A" w:rsidRPr="00C462A0" w:rsidRDefault="00877F0A" w:rsidP="00877F0A">
            <w:pPr>
              <w:pStyle w:val="NormalWeb"/>
              <w:numPr>
                <w:ilvl w:val="0"/>
                <w:numId w:val="265"/>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Inaccurate sustainability metrics.</w:t>
            </w:r>
          </w:p>
          <w:p w14:paraId="0398F81D" w14:textId="77777777" w:rsidR="00877F0A" w:rsidRPr="00C462A0" w:rsidRDefault="00877F0A" w:rsidP="00877F0A">
            <w:pPr>
              <w:pStyle w:val="NormalWeb"/>
              <w:numPr>
                <w:ilvl w:val="0"/>
                <w:numId w:val="265"/>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Disruption of energy optimisation algorithms.</w:t>
            </w:r>
          </w:p>
          <w:p w14:paraId="1E733326" w14:textId="77777777" w:rsidR="00877F0A" w:rsidRPr="00C462A0" w:rsidRDefault="00877F0A" w:rsidP="00877F0A">
            <w:pPr>
              <w:pStyle w:val="NormalWeb"/>
              <w:numPr>
                <w:ilvl w:val="0"/>
                <w:numId w:val="265"/>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Higher operational costs.</w:t>
            </w:r>
          </w:p>
          <w:p w14:paraId="447DFEA3" w14:textId="77777777" w:rsidR="00877F0A" w:rsidRPr="00C462A0" w:rsidRDefault="00877F0A" w:rsidP="00877F0A">
            <w:pPr>
              <w:pStyle w:val="NormalWeb"/>
              <w:numPr>
                <w:ilvl w:val="0"/>
                <w:numId w:val="265"/>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Regulatory non-compliance.</w:t>
            </w:r>
          </w:p>
          <w:p w14:paraId="309E9825" w14:textId="77777777" w:rsidR="00877F0A" w:rsidRPr="00C462A0" w:rsidRDefault="00877F0A" w:rsidP="00877F0A">
            <w:pPr>
              <w:pStyle w:val="NormalWeb"/>
              <w:numPr>
                <w:ilvl w:val="0"/>
                <w:numId w:val="265"/>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Loss of stakeholder trust.</w:t>
            </w:r>
          </w:p>
          <w:p w14:paraId="4F3F909E"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Because ESG reporting and energy management rely heavily on accurate data, breaches of integrity can carry strategic consequences that extend beyond purely technical disruption.</w:t>
            </w:r>
          </w:p>
          <w:p w14:paraId="549BDAAF"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p>
          <w:p w14:paraId="7A214AE1"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 xml:space="preserve">As an additional example, consider this scenario. An attacker compromises an IoT edge gateway connected to smart meters within a renewable energy installation. Through this foothold, the adversary gains access to the PLC's programming interface and alters the control logic governing load-balancing thresholds. As a result, energy output is artificially constrained </w:t>
            </w:r>
            <w:r w:rsidRPr="00C462A0">
              <w:rPr>
                <w:rFonts w:asciiTheme="minorHAnsi" w:hAnsiTheme="minorHAnsi" w:cstheme="minorHAnsi"/>
                <w:sz w:val="20"/>
                <w:szCs w:val="20"/>
                <w:lang w:val="en-GB"/>
              </w:rPr>
              <w:lastRenderedPageBreak/>
              <w:t>during peak demand periods, leading to operational instability and inaccurate consumption data that feed ESG reporting systems.</w:t>
            </w:r>
          </w:p>
          <w:p w14:paraId="6A429BBD"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p>
          <w:p w14:paraId="185D8132" w14:textId="77777777" w:rsidR="00877F0A" w:rsidRPr="00C462A0" w:rsidRDefault="00877F0A" w:rsidP="00210B7E">
            <w:pPr>
              <w:pStyle w:val="NormalWeb"/>
              <w:spacing w:before="0" w:beforeAutospacing="0" w:after="0" w:afterAutospacing="0"/>
              <w:jc w:val="both"/>
              <w:rPr>
                <w:rFonts w:asciiTheme="minorHAnsi" w:hAnsiTheme="minorHAnsi" w:cstheme="minorHAnsi"/>
                <w:b/>
                <w:color w:val="00AC4E" w:themeColor="accent1"/>
                <w:sz w:val="20"/>
                <w:szCs w:val="20"/>
                <w:u w:val="single"/>
                <w:lang w:val="en-GB"/>
              </w:rPr>
            </w:pPr>
            <w:r w:rsidRPr="00C462A0">
              <w:rPr>
                <w:rFonts w:asciiTheme="minorHAnsi" w:hAnsiTheme="minorHAnsi" w:cstheme="minorHAnsi"/>
                <w:b/>
                <w:color w:val="00AC4E" w:themeColor="accent1"/>
                <w:sz w:val="20"/>
                <w:szCs w:val="20"/>
                <w:u w:val="single"/>
                <w:lang w:val="en-GB"/>
              </w:rPr>
              <w:t>Micro-Activity:</w:t>
            </w:r>
          </w:p>
          <w:p w14:paraId="56322558"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Consider a smart building equipped with:</w:t>
            </w:r>
          </w:p>
          <w:p w14:paraId="5CCF7410" w14:textId="77777777" w:rsidR="00877F0A" w:rsidRPr="00C462A0" w:rsidRDefault="00877F0A" w:rsidP="00877F0A">
            <w:pPr>
              <w:pStyle w:val="NormalWeb"/>
              <w:numPr>
                <w:ilvl w:val="0"/>
                <w:numId w:val="266"/>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Temperature and energy usage sensors</w:t>
            </w:r>
          </w:p>
          <w:p w14:paraId="1DA47483" w14:textId="77777777" w:rsidR="00877F0A" w:rsidRPr="00C462A0" w:rsidRDefault="00877F0A" w:rsidP="00877F0A">
            <w:pPr>
              <w:pStyle w:val="NormalWeb"/>
              <w:numPr>
                <w:ilvl w:val="0"/>
                <w:numId w:val="266"/>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A central IoT gateway</w:t>
            </w:r>
          </w:p>
          <w:p w14:paraId="4916923E" w14:textId="77777777" w:rsidR="00877F0A" w:rsidRPr="00C462A0" w:rsidRDefault="00877F0A" w:rsidP="00877F0A">
            <w:pPr>
              <w:pStyle w:val="NormalWeb"/>
              <w:numPr>
                <w:ilvl w:val="0"/>
                <w:numId w:val="266"/>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Cloud-based ESG analytics</w:t>
            </w:r>
          </w:p>
          <w:p w14:paraId="01F52766" w14:textId="3E63D0AA" w:rsidR="00877F0A" w:rsidRPr="00C462A0" w:rsidRDefault="008A7204" w:rsidP="00210B7E">
            <w:pPr>
              <w:pStyle w:val="NormalWeb"/>
              <w:spacing w:before="0" w:beforeAutospacing="0" w:after="0" w:afterAutospacing="0"/>
              <w:jc w:val="both"/>
              <w:rPr>
                <w:rFonts w:asciiTheme="minorHAnsi" w:hAnsiTheme="minorHAnsi" w:cstheme="minorHAnsi"/>
                <w:b/>
                <w:bCs/>
                <w:sz w:val="20"/>
                <w:szCs w:val="20"/>
                <w:lang w:val="en-GB"/>
              </w:rPr>
            </w:pPr>
            <w:r w:rsidRPr="00C462A0">
              <w:rPr>
                <w:rFonts w:asciiTheme="minorHAnsi" w:hAnsiTheme="minorHAnsi" w:cstheme="minorHAnsi"/>
                <w:b/>
                <w:bCs/>
                <w:sz w:val="20"/>
                <w:szCs w:val="20"/>
                <w:lang w:val="en-GB"/>
              </w:rPr>
              <w:t>Learner t</w:t>
            </w:r>
            <w:r w:rsidR="00877F0A" w:rsidRPr="00C462A0">
              <w:rPr>
                <w:rFonts w:asciiTheme="minorHAnsi" w:hAnsiTheme="minorHAnsi" w:cstheme="minorHAnsi"/>
                <w:b/>
                <w:bCs/>
                <w:sz w:val="20"/>
                <w:szCs w:val="20"/>
                <w:lang w:val="en-GB"/>
              </w:rPr>
              <w:t>ask:</w:t>
            </w:r>
          </w:p>
          <w:p w14:paraId="34F5237C" w14:textId="77777777" w:rsidR="00877F0A" w:rsidRPr="00C462A0" w:rsidRDefault="00877F0A" w:rsidP="00877F0A">
            <w:pPr>
              <w:pStyle w:val="NormalWeb"/>
              <w:numPr>
                <w:ilvl w:val="0"/>
                <w:numId w:val="267"/>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Identify one likely vulnerability in the sensor layer.</w:t>
            </w:r>
          </w:p>
          <w:p w14:paraId="3B5F2511" w14:textId="77777777" w:rsidR="00877F0A" w:rsidRPr="00C462A0" w:rsidRDefault="00877F0A" w:rsidP="00877F0A">
            <w:pPr>
              <w:pStyle w:val="NormalWeb"/>
              <w:numPr>
                <w:ilvl w:val="0"/>
                <w:numId w:val="267"/>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Identify one attacker tactic that could exploit it.</w:t>
            </w:r>
          </w:p>
          <w:p w14:paraId="4C1DBF90" w14:textId="77777777" w:rsidR="00877F0A" w:rsidRPr="00C462A0" w:rsidRDefault="00877F0A" w:rsidP="00877F0A">
            <w:pPr>
              <w:pStyle w:val="NormalWeb"/>
              <w:numPr>
                <w:ilvl w:val="0"/>
                <w:numId w:val="267"/>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Describe the possible business or sustainability impact.</w:t>
            </w:r>
          </w:p>
          <w:p w14:paraId="2C4ACE9B" w14:textId="77777777" w:rsidR="00877F0A" w:rsidRPr="00C462A0" w:rsidRDefault="00877F0A" w:rsidP="00877F0A">
            <w:pPr>
              <w:pStyle w:val="NormalWeb"/>
              <w:numPr>
                <w:ilvl w:val="0"/>
                <w:numId w:val="267"/>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Suggest one mitigation strategy (technical or organisational).</w:t>
            </w:r>
          </w:p>
          <w:p w14:paraId="4CE4DB3D" w14:textId="77777777" w:rsidR="00877F0A" w:rsidRPr="00C462A0" w:rsidRDefault="00877F0A" w:rsidP="00877F0A">
            <w:pPr>
              <w:pStyle w:val="NormalWeb"/>
              <w:numPr>
                <w:ilvl w:val="0"/>
                <w:numId w:val="267"/>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Identify which TTPs from the ATT&amp;CK for ICS framework apply</w:t>
            </w:r>
          </w:p>
          <w:p w14:paraId="6E0C2277" w14:textId="1648E027" w:rsidR="00877F0A"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Respond in 8–10 structured sentences.</w:t>
            </w:r>
          </w:p>
          <w:p w14:paraId="410B0513" w14:textId="77777777" w:rsidR="00721C5E" w:rsidRPr="00C462A0" w:rsidRDefault="00721C5E" w:rsidP="00210B7E">
            <w:pPr>
              <w:pStyle w:val="NormalWeb"/>
              <w:spacing w:before="0" w:beforeAutospacing="0" w:after="0" w:afterAutospacing="0"/>
              <w:jc w:val="both"/>
              <w:rPr>
                <w:rFonts w:asciiTheme="minorHAnsi" w:hAnsiTheme="minorHAnsi" w:cstheme="minorHAnsi"/>
                <w:sz w:val="20"/>
                <w:szCs w:val="20"/>
                <w:lang w:val="en-GB"/>
              </w:rPr>
            </w:pPr>
          </w:p>
          <w:p w14:paraId="629325FE" w14:textId="77777777" w:rsidR="00877F0A" w:rsidRPr="00C462A0" w:rsidRDefault="00877F0A" w:rsidP="00210B7E">
            <w:pPr>
              <w:pStyle w:val="NormalWeb"/>
              <w:spacing w:before="0" w:beforeAutospacing="0" w:after="0" w:afterAutospacing="0"/>
              <w:jc w:val="both"/>
              <w:rPr>
                <w:rFonts w:asciiTheme="minorHAnsi" w:hAnsiTheme="minorHAnsi" w:cstheme="minorHAnsi"/>
                <w:b/>
                <w:color w:val="00AC4E" w:themeColor="accent1"/>
                <w:sz w:val="20"/>
                <w:szCs w:val="20"/>
                <w:lang w:val="en-GB"/>
              </w:rPr>
            </w:pPr>
            <w:r w:rsidRPr="00C462A0">
              <w:rPr>
                <w:rFonts w:asciiTheme="minorHAnsi" w:hAnsiTheme="minorHAnsi" w:cstheme="minorHAnsi"/>
                <w:b/>
                <w:color w:val="00AC4E" w:themeColor="accent1"/>
                <w:sz w:val="20"/>
                <w:szCs w:val="20"/>
                <w:lang w:val="en-GB"/>
              </w:rPr>
              <w:t>Additional Reading:</w:t>
            </w:r>
          </w:p>
          <w:p w14:paraId="26C22187" w14:textId="77777777" w:rsidR="00721C5E" w:rsidRPr="00721C5E" w:rsidRDefault="00877F0A" w:rsidP="00721C5E">
            <w:pPr>
              <w:pStyle w:val="ListParagraph"/>
              <w:numPr>
                <w:ilvl w:val="0"/>
                <w:numId w:val="266"/>
              </w:numPr>
              <w:jc w:val="both"/>
              <w:rPr>
                <w:rFonts w:cstheme="minorHAnsi"/>
                <w:szCs w:val="20"/>
              </w:rPr>
            </w:pPr>
            <w:hyperlink r:id="rId56" w:history="1">
              <w:r w:rsidRPr="00C462A0">
                <w:rPr>
                  <w:rStyle w:val="Hyperlink"/>
                  <w:rFonts w:cstheme="minorHAnsi"/>
                  <w:color w:val="00AC4E" w:themeColor="accent1"/>
                  <w:szCs w:val="20"/>
                </w:rPr>
                <w:t>ENISA (2020). Guidelines for Securing the Internet of Things</w:t>
              </w:r>
            </w:hyperlink>
          </w:p>
          <w:p w14:paraId="42256E4B" w14:textId="5E6012E7" w:rsidR="00877F0A" w:rsidRPr="00C462A0" w:rsidRDefault="00877F0A" w:rsidP="00721C5E">
            <w:pPr>
              <w:pStyle w:val="ListParagraph"/>
              <w:jc w:val="both"/>
              <w:rPr>
                <w:rFonts w:cstheme="minorHAnsi"/>
                <w:szCs w:val="20"/>
              </w:rPr>
            </w:pPr>
            <w:r w:rsidRPr="00C462A0">
              <w:rPr>
                <w:rFonts w:cstheme="minorHAnsi"/>
                <w:szCs w:val="20"/>
              </w:rPr>
              <w:t xml:space="preserve">Provides structured recommendations for IoT device lifecycle security, risk assessment, authentication, update mechanisms, and secure-by-design principles. Particularly relevant for analysing IoT sensor exposure in energy and smart grid environments, </w:t>
            </w:r>
            <w:hyperlink r:id="rId57" w:tooltip="https://www.enisa.europa.eu/sites/default/files/publications/ENISA%20Report%20-%20Guidelines%20for%20Securing%20the%20Internet%20of%20Things.pdf" w:history="1"/>
            <w:r w:rsidR="008A7204" w:rsidRPr="00C462A0">
              <w:rPr>
                <w:rFonts w:cstheme="minorHAnsi"/>
                <w:szCs w:val="20"/>
              </w:rPr>
              <w:t xml:space="preserve"> </w:t>
            </w:r>
            <w:r w:rsidRPr="00C462A0">
              <w:rPr>
                <w:rFonts w:cstheme="minorHAnsi"/>
                <w:szCs w:val="20"/>
              </w:rPr>
              <w:t xml:space="preserve"> </w:t>
            </w:r>
          </w:p>
          <w:p w14:paraId="6160F9E5" w14:textId="77777777" w:rsidR="00721C5E" w:rsidRPr="00721C5E" w:rsidRDefault="00877F0A" w:rsidP="00721C5E">
            <w:pPr>
              <w:pStyle w:val="ListParagraph"/>
              <w:numPr>
                <w:ilvl w:val="0"/>
                <w:numId w:val="266"/>
              </w:numPr>
              <w:jc w:val="both"/>
              <w:rPr>
                <w:rFonts w:cstheme="minorHAnsi"/>
                <w:szCs w:val="20"/>
              </w:rPr>
            </w:pPr>
            <w:hyperlink r:id="rId58" w:history="1">
              <w:r w:rsidRPr="00C462A0">
                <w:rPr>
                  <w:rStyle w:val="Hyperlink"/>
                  <w:rFonts w:cstheme="minorHAnsi"/>
                  <w:color w:val="00AC4E" w:themeColor="accent1"/>
                  <w:szCs w:val="20"/>
                </w:rPr>
                <w:t>ENISA (Latest Edition). ENISA Threat Landscape</w:t>
              </w:r>
            </w:hyperlink>
          </w:p>
          <w:p w14:paraId="3105181A" w14:textId="605FBFB9" w:rsidR="00877F0A" w:rsidRPr="00721C5E" w:rsidRDefault="00877F0A" w:rsidP="00721C5E">
            <w:pPr>
              <w:pStyle w:val="ListParagraph"/>
              <w:jc w:val="both"/>
              <w:rPr>
                <w:rFonts w:cstheme="minorHAnsi"/>
                <w:szCs w:val="20"/>
              </w:rPr>
            </w:pPr>
            <w:r w:rsidRPr="00721C5E">
              <w:rPr>
                <w:rFonts w:cstheme="minorHAnsi"/>
                <w:szCs w:val="20"/>
              </w:rPr>
              <w:t>Includes updated threat actor profiles and attack patterns affecting IoT and critical infrastructure sectors, useful for contextualising sector-specific risk in sustainable systems</w:t>
            </w:r>
          </w:p>
          <w:p w14:paraId="0FC56226" w14:textId="77777777" w:rsidR="00721C5E" w:rsidRPr="00721C5E" w:rsidRDefault="00877F0A" w:rsidP="00721C5E">
            <w:pPr>
              <w:pStyle w:val="ListParagraph"/>
              <w:numPr>
                <w:ilvl w:val="0"/>
                <w:numId w:val="266"/>
              </w:numPr>
              <w:jc w:val="both"/>
              <w:rPr>
                <w:rFonts w:cstheme="minorHAnsi"/>
                <w:szCs w:val="20"/>
              </w:rPr>
            </w:pPr>
            <w:hyperlink r:id="rId59" w:history="1">
              <w:r w:rsidRPr="00C462A0">
                <w:rPr>
                  <w:rStyle w:val="Hyperlink"/>
                  <w:rFonts w:cstheme="minorHAnsi"/>
                  <w:color w:val="00AC4E" w:themeColor="accent1"/>
                  <w:szCs w:val="20"/>
                </w:rPr>
                <w:t>MITRE ATT&amp;CK for ICS</w:t>
              </w:r>
            </w:hyperlink>
          </w:p>
          <w:p w14:paraId="2B7A63A8" w14:textId="055F2C7F" w:rsidR="00877F0A" w:rsidRPr="00C462A0" w:rsidRDefault="00877F0A" w:rsidP="00721C5E">
            <w:pPr>
              <w:pStyle w:val="ListParagraph"/>
              <w:jc w:val="both"/>
              <w:rPr>
                <w:rFonts w:cstheme="minorHAnsi"/>
                <w:szCs w:val="20"/>
              </w:rPr>
            </w:pPr>
            <w:r w:rsidRPr="00C462A0">
              <w:rPr>
                <w:rFonts w:cstheme="minorHAnsi"/>
                <w:szCs w:val="20"/>
              </w:rPr>
              <w:t>Techniques Relevant to Field Devices</w:t>
            </w:r>
            <w:r w:rsidR="00721C5E">
              <w:rPr>
                <w:rFonts w:cstheme="minorHAnsi"/>
                <w:szCs w:val="20"/>
              </w:rPr>
              <w:t xml:space="preserve">. </w:t>
            </w:r>
            <w:r w:rsidRPr="00C462A0">
              <w:rPr>
                <w:rFonts w:cstheme="minorHAnsi"/>
                <w:szCs w:val="20"/>
              </w:rPr>
              <w:t>Focus on techniques such as:</w:t>
            </w:r>
          </w:p>
          <w:p w14:paraId="114DDF14" w14:textId="77777777" w:rsidR="00877F0A" w:rsidRPr="00C462A0" w:rsidRDefault="00877F0A" w:rsidP="00721C5E">
            <w:pPr>
              <w:pStyle w:val="ListParagraph"/>
              <w:numPr>
                <w:ilvl w:val="1"/>
                <w:numId w:val="266"/>
              </w:numPr>
              <w:jc w:val="both"/>
              <w:rPr>
                <w:rFonts w:cstheme="minorHAnsi"/>
                <w:szCs w:val="20"/>
              </w:rPr>
            </w:pPr>
            <w:r w:rsidRPr="00C462A0">
              <w:rPr>
                <w:rFonts w:cstheme="minorHAnsi"/>
                <w:szCs w:val="20"/>
              </w:rPr>
              <w:t>T0859 – Valid Accounts</w:t>
            </w:r>
          </w:p>
          <w:p w14:paraId="7373BAD5" w14:textId="77777777" w:rsidR="00877F0A" w:rsidRPr="00C462A0" w:rsidRDefault="00877F0A" w:rsidP="00721C5E">
            <w:pPr>
              <w:pStyle w:val="ListParagraph"/>
              <w:numPr>
                <w:ilvl w:val="1"/>
                <w:numId w:val="266"/>
              </w:numPr>
              <w:jc w:val="both"/>
              <w:rPr>
                <w:rFonts w:cstheme="minorHAnsi"/>
                <w:szCs w:val="20"/>
              </w:rPr>
            </w:pPr>
            <w:r w:rsidRPr="00C462A0">
              <w:rPr>
                <w:rFonts w:cstheme="minorHAnsi"/>
                <w:szCs w:val="20"/>
              </w:rPr>
              <w:t>T0865 – Spearphishing Attachment</w:t>
            </w:r>
          </w:p>
          <w:p w14:paraId="39D382E7" w14:textId="77777777" w:rsidR="00877F0A" w:rsidRPr="00C462A0" w:rsidRDefault="00877F0A" w:rsidP="00721C5E">
            <w:pPr>
              <w:pStyle w:val="ListParagraph"/>
              <w:numPr>
                <w:ilvl w:val="1"/>
                <w:numId w:val="266"/>
              </w:numPr>
              <w:jc w:val="both"/>
              <w:rPr>
                <w:rFonts w:cstheme="minorHAnsi"/>
                <w:szCs w:val="20"/>
              </w:rPr>
            </w:pPr>
            <w:r w:rsidRPr="00C462A0">
              <w:rPr>
                <w:rFonts w:cstheme="minorHAnsi"/>
                <w:szCs w:val="20"/>
              </w:rPr>
              <w:t>T0842 – Modify Parameter</w:t>
            </w:r>
          </w:p>
          <w:p w14:paraId="0251A5C6" w14:textId="77777777" w:rsidR="00877F0A" w:rsidRPr="00C462A0" w:rsidRDefault="00877F0A" w:rsidP="00721C5E">
            <w:pPr>
              <w:pStyle w:val="ListParagraph"/>
              <w:numPr>
                <w:ilvl w:val="1"/>
                <w:numId w:val="266"/>
              </w:numPr>
              <w:jc w:val="both"/>
              <w:rPr>
                <w:rFonts w:cstheme="minorHAnsi"/>
                <w:szCs w:val="20"/>
              </w:rPr>
            </w:pPr>
            <w:r w:rsidRPr="00C462A0">
              <w:rPr>
                <w:rFonts w:cstheme="minorHAnsi"/>
                <w:szCs w:val="20"/>
              </w:rPr>
              <w:t>T0855 – Modify Control Logic</w:t>
            </w:r>
          </w:p>
          <w:p w14:paraId="115145D8" w14:textId="5BCAB7E6" w:rsidR="00877F0A" w:rsidRPr="00C462A0" w:rsidRDefault="00877F0A" w:rsidP="00721C5E">
            <w:pPr>
              <w:pStyle w:val="ListParagraph"/>
              <w:jc w:val="both"/>
              <w:rPr>
                <w:rFonts w:cstheme="minorHAnsi"/>
                <w:szCs w:val="20"/>
              </w:rPr>
            </w:pPr>
            <w:r w:rsidRPr="00C462A0">
              <w:rPr>
                <w:rFonts w:cstheme="minorHAnsi"/>
                <w:szCs w:val="20"/>
              </w:rPr>
              <w:t xml:space="preserve">These are applicable when IoT devices bridge IT and OT environments, </w:t>
            </w:r>
          </w:p>
          <w:p w14:paraId="3DD189D6" w14:textId="77777777" w:rsidR="00721C5E" w:rsidRPr="00721C5E" w:rsidRDefault="00877F0A" w:rsidP="00721C5E">
            <w:pPr>
              <w:pStyle w:val="ListParagraph"/>
              <w:numPr>
                <w:ilvl w:val="0"/>
                <w:numId w:val="266"/>
              </w:numPr>
              <w:jc w:val="both"/>
              <w:rPr>
                <w:rFonts w:cstheme="minorHAnsi"/>
                <w:szCs w:val="20"/>
              </w:rPr>
            </w:pPr>
            <w:hyperlink r:id="rId60" w:history="1">
              <w:r w:rsidRPr="00C462A0">
                <w:rPr>
                  <w:rStyle w:val="Hyperlink"/>
                  <w:rFonts w:cstheme="minorHAnsi"/>
                  <w:color w:val="00AC4E" w:themeColor="accent1"/>
                  <w:szCs w:val="20"/>
                </w:rPr>
                <w:t>CISA (2022). Securing Industrial Control Systems: Recommended Practices</w:t>
              </w:r>
            </w:hyperlink>
          </w:p>
          <w:p w14:paraId="75F129B0" w14:textId="2AA1AA5D" w:rsidR="00877F0A" w:rsidRPr="00C462A0" w:rsidRDefault="00877F0A" w:rsidP="00721C5E">
            <w:pPr>
              <w:pStyle w:val="ListParagraph"/>
              <w:jc w:val="both"/>
              <w:rPr>
                <w:rFonts w:cstheme="minorHAnsi"/>
                <w:szCs w:val="20"/>
              </w:rPr>
            </w:pPr>
            <w:r w:rsidRPr="00C462A0">
              <w:rPr>
                <w:rFonts w:cstheme="minorHAnsi"/>
                <w:szCs w:val="20"/>
              </w:rPr>
              <w:t xml:space="preserve">Offers practical defensive measures for segmentation, monitoring, remote access control, and firmware integrity—highly relevant for IoT-connected EMS components, </w:t>
            </w:r>
          </w:p>
          <w:p w14:paraId="1734AA27" w14:textId="77777777" w:rsidR="00721C5E" w:rsidRPr="00721C5E" w:rsidRDefault="00877F0A" w:rsidP="00721C5E">
            <w:pPr>
              <w:pStyle w:val="ListParagraph"/>
              <w:numPr>
                <w:ilvl w:val="0"/>
                <w:numId w:val="266"/>
              </w:numPr>
              <w:jc w:val="both"/>
              <w:rPr>
                <w:rFonts w:cstheme="minorHAnsi"/>
                <w:szCs w:val="20"/>
              </w:rPr>
            </w:pPr>
            <w:hyperlink r:id="rId61" w:anchor="tab=IoT_Top_10" w:history="1">
              <w:r w:rsidRPr="00C462A0">
                <w:rPr>
                  <w:rStyle w:val="Hyperlink"/>
                  <w:rFonts w:cstheme="minorHAnsi"/>
                  <w:color w:val="00AC4E" w:themeColor="accent1"/>
                  <w:szCs w:val="20"/>
                </w:rPr>
                <w:t>OWASP (Latest Edition). OWASP IoT Top 10</w:t>
              </w:r>
            </w:hyperlink>
          </w:p>
          <w:p w14:paraId="3FD93AF3" w14:textId="5A705EF3" w:rsidR="00877F0A" w:rsidRPr="00C462A0" w:rsidRDefault="00877F0A" w:rsidP="00721C5E">
            <w:pPr>
              <w:pStyle w:val="ListParagraph"/>
              <w:jc w:val="both"/>
              <w:rPr>
                <w:rFonts w:cstheme="minorHAnsi"/>
                <w:szCs w:val="20"/>
              </w:rPr>
            </w:pPr>
            <w:r w:rsidRPr="00C462A0">
              <w:rPr>
                <w:rFonts w:cstheme="minorHAnsi"/>
                <w:szCs w:val="20"/>
              </w:rPr>
              <w:t>Identifies common IoT vulnerabilities such as weak authentication, insecure network services, and a lack of secure update mechanisms, directly applicable to IoT sensor risk analysis in sustainable infrastructures</w:t>
            </w:r>
            <w:r w:rsidR="008A7204" w:rsidRPr="00C462A0">
              <w:rPr>
                <w:rFonts w:cstheme="minorHAnsi"/>
                <w:szCs w:val="20"/>
              </w:rPr>
              <w:t>.</w:t>
            </w:r>
          </w:p>
          <w:p w14:paraId="0BB7596B" w14:textId="77777777" w:rsidR="00877F0A" w:rsidRPr="00C462A0" w:rsidRDefault="00877F0A" w:rsidP="00721C5E">
            <w:pPr>
              <w:pStyle w:val="NormalWeb"/>
              <w:spacing w:before="0" w:beforeAutospacing="0" w:after="0" w:afterAutospacing="0"/>
              <w:jc w:val="both"/>
              <w:rPr>
                <w:rFonts w:asciiTheme="minorHAnsi" w:hAnsiTheme="minorHAnsi" w:cstheme="minorHAnsi"/>
                <w:sz w:val="20"/>
                <w:szCs w:val="20"/>
                <w:lang w:val="en-GB"/>
              </w:rPr>
            </w:pPr>
          </w:p>
          <w:p w14:paraId="13EE08E2" w14:textId="74696308" w:rsidR="00877F0A" w:rsidRPr="00C462A0" w:rsidRDefault="00877F0A" w:rsidP="00721C5E">
            <w:pPr>
              <w:pStyle w:val="NormalWeb"/>
              <w:spacing w:before="0" w:beforeAutospacing="0" w:after="0" w:afterAutospacing="0"/>
              <w:jc w:val="both"/>
              <w:rPr>
                <w:rFonts w:asciiTheme="minorHAnsi" w:hAnsiTheme="minorHAnsi" w:cstheme="minorHAnsi"/>
                <w:b/>
                <w:color w:val="00AC4E" w:themeColor="accent1"/>
                <w:sz w:val="20"/>
                <w:szCs w:val="20"/>
                <w:lang w:val="en-GB"/>
              </w:rPr>
            </w:pPr>
            <w:r w:rsidRPr="00C462A0">
              <w:rPr>
                <w:rFonts w:asciiTheme="minorHAnsi" w:hAnsiTheme="minorHAnsi" w:cstheme="minorHAnsi"/>
                <w:b/>
                <w:color w:val="00AC4E" w:themeColor="accent1"/>
                <w:sz w:val="20"/>
                <w:szCs w:val="20"/>
                <w:lang w:val="en-GB"/>
              </w:rPr>
              <w:t>Key Takeaways:</w:t>
            </w:r>
          </w:p>
          <w:p w14:paraId="2DD7839E" w14:textId="77777777" w:rsidR="00877F0A" w:rsidRPr="00C462A0" w:rsidRDefault="00877F0A" w:rsidP="00721C5E">
            <w:pPr>
              <w:pStyle w:val="NormalWeb"/>
              <w:numPr>
                <w:ilvl w:val="0"/>
                <w:numId w:val="268"/>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IoT sensors significantly expand the attack surface of sustainable digital infrastructures.</w:t>
            </w:r>
          </w:p>
          <w:p w14:paraId="3FE1231C" w14:textId="77777777" w:rsidR="00877F0A" w:rsidRPr="00C462A0" w:rsidRDefault="00877F0A" w:rsidP="00721C5E">
            <w:pPr>
              <w:pStyle w:val="NormalWeb"/>
              <w:numPr>
                <w:ilvl w:val="0"/>
                <w:numId w:val="268"/>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Resource constraints often limit built-in security mechanisms.</w:t>
            </w:r>
          </w:p>
          <w:p w14:paraId="3B0CB36D" w14:textId="77777777" w:rsidR="00877F0A" w:rsidRPr="00C462A0" w:rsidRDefault="00877F0A" w:rsidP="00721C5E">
            <w:pPr>
              <w:pStyle w:val="NormalWeb"/>
              <w:numPr>
                <w:ilvl w:val="0"/>
                <w:numId w:val="268"/>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Common vulnerabilities include weak authentication and insecure update processes.</w:t>
            </w:r>
          </w:p>
          <w:p w14:paraId="714C36A9" w14:textId="77777777" w:rsidR="00877F0A" w:rsidRPr="00C462A0" w:rsidRDefault="00877F0A" w:rsidP="00721C5E">
            <w:pPr>
              <w:pStyle w:val="NormalWeb"/>
              <w:numPr>
                <w:ilvl w:val="0"/>
                <w:numId w:val="268"/>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Compromised sensors can serve as pivot points into broader IT/OT environments.</w:t>
            </w:r>
          </w:p>
          <w:p w14:paraId="13D9D7F9" w14:textId="77777777" w:rsidR="00877F0A" w:rsidRDefault="00877F0A" w:rsidP="00721C5E">
            <w:pPr>
              <w:pStyle w:val="NormalWeb"/>
              <w:numPr>
                <w:ilvl w:val="0"/>
                <w:numId w:val="268"/>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Integrity of IoT data is critical for ESG reporting and operational optimisation.</w:t>
            </w:r>
          </w:p>
          <w:p w14:paraId="273F388F"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p>
          <w:p w14:paraId="3F699C44" w14:textId="77777777" w:rsidR="00877F0A" w:rsidRPr="00C462A0" w:rsidRDefault="00877F0A" w:rsidP="00210B7E">
            <w:pPr>
              <w:pStyle w:val="NormalWeb"/>
              <w:spacing w:before="0" w:beforeAutospacing="0" w:after="0" w:afterAutospacing="0"/>
              <w:jc w:val="both"/>
              <w:rPr>
                <w:rFonts w:asciiTheme="minorHAnsi" w:hAnsiTheme="minorHAnsi" w:cstheme="minorHAnsi"/>
                <w:b/>
                <w:color w:val="00AC4E" w:themeColor="accent1"/>
                <w:sz w:val="20"/>
                <w:szCs w:val="20"/>
                <w:lang w:val="en-GB"/>
              </w:rPr>
            </w:pPr>
            <w:r w:rsidRPr="00C462A0">
              <w:rPr>
                <w:rFonts w:asciiTheme="minorHAnsi" w:hAnsiTheme="minorHAnsi" w:cstheme="minorHAnsi"/>
                <w:b/>
                <w:color w:val="00AC4E" w:themeColor="accent1"/>
                <w:sz w:val="20"/>
                <w:szCs w:val="20"/>
                <w:lang w:val="en-GB"/>
              </w:rPr>
              <w:lastRenderedPageBreak/>
              <w:t>Quick check:</w:t>
            </w:r>
          </w:p>
          <w:p w14:paraId="0583B39E" w14:textId="2A3BA9D7" w:rsidR="00877F0A" w:rsidRPr="00C462A0" w:rsidRDefault="00877F0A" w:rsidP="008A7204">
            <w:pPr>
              <w:pStyle w:val="NormalWeb"/>
              <w:numPr>
                <w:ilvl w:val="0"/>
                <w:numId w:val="313"/>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b/>
                <w:bCs/>
                <w:color w:val="009889" w:themeColor="accent2"/>
                <w:sz w:val="20"/>
                <w:szCs w:val="20"/>
                <w:lang w:val="en-GB"/>
              </w:rPr>
              <w:t>True or False:</w:t>
            </w:r>
            <w:r w:rsidR="008A7204" w:rsidRPr="00C462A0">
              <w:rPr>
                <w:rFonts w:asciiTheme="minorHAnsi" w:hAnsiTheme="minorHAnsi" w:cstheme="minorHAnsi"/>
                <w:b/>
                <w:bCs/>
                <w:color w:val="009889" w:themeColor="accent2"/>
                <w:sz w:val="20"/>
                <w:szCs w:val="20"/>
                <w:lang w:val="en-GB"/>
              </w:rPr>
              <w:t xml:space="preserve"> </w:t>
            </w:r>
            <w:r w:rsidRPr="00C462A0">
              <w:rPr>
                <w:rFonts w:asciiTheme="minorHAnsi" w:hAnsiTheme="minorHAnsi" w:cstheme="minorHAnsi"/>
                <w:color w:val="009889" w:themeColor="accent2"/>
                <w:sz w:val="20"/>
                <w:szCs w:val="20"/>
                <w:lang w:val="en-GB"/>
              </w:rPr>
              <w:t>An IoT sensor deployed in a smart building uses weak default credentials but is connected only to an internal gateway. Because it is not directly exposed to the internet, it does not significantly contribute to the organisation’s attack surface.</w:t>
            </w:r>
          </w:p>
          <w:p w14:paraId="7D8D0A5F" w14:textId="77777777" w:rsidR="008A7204" w:rsidRPr="00C462A0" w:rsidRDefault="008A7204" w:rsidP="008A7204">
            <w:pPr>
              <w:pStyle w:val="NormalWeb"/>
              <w:spacing w:before="0" w:beforeAutospacing="0" w:after="0" w:afterAutospacing="0"/>
              <w:ind w:left="360"/>
              <w:jc w:val="both"/>
              <w:rPr>
                <w:rFonts w:asciiTheme="minorHAnsi" w:hAnsiTheme="minorHAnsi" w:cstheme="minorHAnsi"/>
                <w:sz w:val="20"/>
                <w:szCs w:val="20"/>
                <w:lang w:val="en-GB"/>
              </w:rPr>
            </w:pPr>
          </w:p>
          <w:p w14:paraId="7B927E44" w14:textId="08072B34" w:rsidR="00877F0A" w:rsidRPr="00C462A0" w:rsidRDefault="00877F0A" w:rsidP="008A7204">
            <w:pPr>
              <w:pStyle w:val="NormalWeb"/>
              <w:numPr>
                <w:ilvl w:val="0"/>
                <w:numId w:val="313"/>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color w:val="009889" w:themeColor="accent2"/>
                <w:sz w:val="20"/>
                <w:szCs w:val="20"/>
                <w:lang w:val="en-GB"/>
              </w:rPr>
              <w:t>A compromised IoT temperature sensor is used as a pivot point to access the gateway and then the cloud-based ESG dashboard. Which sequence best describes the attacker’s progression?</w:t>
            </w:r>
          </w:p>
          <w:p w14:paraId="3E02F269" w14:textId="77777777" w:rsidR="00877F0A" w:rsidRPr="00C462A0" w:rsidRDefault="00877F0A" w:rsidP="008A7204">
            <w:pPr>
              <w:pStyle w:val="NormalWeb"/>
              <w:numPr>
                <w:ilvl w:val="0"/>
                <w:numId w:val="314"/>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 xml:space="preserve">Impact </w:t>
            </w:r>
            <w:r w:rsidRPr="00C462A0">
              <w:rPr>
                <w:rFonts w:cs="Times New Roman"/>
                <w:sz w:val="20"/>
                <w:szCs w:val="20"/>
                <w:lang w:val="en-GB"/>
              </w:rPr>
              <w:t>→</w:t>
            </w:r>
            <w:r w:rsidRPr="00C462A0">
              <w:rPr>
                <w:rFonts w:asciiTheme="minorHAnsi" w:hAnsiTheme="minorHAnsi" w:cstheme="minorHAnsi"/>
                <w:sz w:val="20"/>
                <w:szCs w:val="20"/>
                <w:lang w:val="en-GB"/>
              </w:rPr>
              <w:t xml:space="preserve"> Initial Access </w:t>
            </w:r>
            <w:r w:rsidRPr="00C462A0">
              <w:rPr>
                <w:rFonts w:cs="Times New Roman"/>
                <w:sz w:val="20"/>
                <w:szCs w:val="20"/>
                <w:lang w:val="en-GB"/>
              </w:rPr>
              <w:t>→</w:t>
            </w:r>
            <w:r w:rsidRPr="00C462A0">
              <w:rPr>
                <w:rFonts w:asciiTheme="minorHAnsi" w:hAnsiTheme="minorHAnsi" w:cstheme="minorHAnsi"/>
                <w:sz w:val="20"/>
                <w:szCs w:val="20"/>
                <w:lang w:val="en-GB"/>
              </w:rPr>
              <w:t xml:space="preserve"> Discovery</w:t>
            </w:r>
          </w:p>
          <w:p w14:paraId="121A7BCA" w14:textId="77777777" w:rsidR="00877F0A" w:rsidRPr="00C462A0" w:rsidRDefault="00877F0A" w:rsidP="008A7204">
            <w:pPr>
              <w:pStyle w:val="NormalWeb"/>
              <w:numPr>
                <w:ilvl w:val="0"/>
                <w:numId w:val="314"/>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 xml:space="preserve">Initial Access </w:t>
            </w:r>
            <w:r w:rsidRPr="00C462A0">
              <w:rPr>
                <w:rFonts w:cs="Times New Roman"/>
                <w:sz w:val="20"/>
                <w:szCs w:val="20"/>
                <w:lang w:val="en-GB"/>
              </w:rPr>
              <w:t>→</w:t>
            </w:r>
            <w:r w:rsidRPr="00C462A0">
              <w:rPr>
                <w:rFonts w:asciiTheme="minorHAnsi" w:hAnsiTheme="minorHAnsi" w:cstheme="minorHAnsi"/>
                <w:sz w:val="20"/>
                <w:szCs w:val="20"/>
                <w:lang w:val="en-GB"/>
              </w:rPr>
              <w:t xml:space="preserve"> Lateral Movement </w:t>
            </w:r>
            <w:r w:rsidRPr="00C462A0">
              <w:rPr>
                <w:rFonts w:cs="Times New Roman"/>
                <w:sz w:val="20"/>
                <w:szCs w:val="20"/>
                <w:lang w:val="en-GB"/>
              </w:rPr>
              <w:t>→</w:t>
            </w:r>
            <w:r w:rsidRPr="00C462A0">
              <w:rPr>
                <w:rFonts w:asciiTheme="minorHAnsi" w:hAnsiTheme="minorHAnsi" w:cstheme="minorHAnsi"/>
                <w:sz w:val="20"/>
                <w:szCs w:val="20"/>
                <w:lang w:val="en-GB"/>
              </w:rPr>
              <w:t xml:space="preserve"> Impact</w:t>
            </w:r>
          </w:p>
          <w:p w14:paraId="1D0BBF77" w14:textId="77777777" w:rsidR="00877F0A" w:rsidRPr="00C462A0" w:rsidRDefault="00877F0A" w:rsidP="008A7204">
            <w:pPr>
              <w:pStyle w:val="NormalWeb"/>
              <w:numPr>
                <w:ilvl w:val="0"/>
                <w:numId w:val="314"/>
              </w:numPr>
              <w:spacing w:after="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 xml:space="preserve">Persistence </w:t>
            </w:r>
            <w:r w:rsidRPr="00C462A0">
              <w:rPr>
                <w:rFonts w:cs="Times New Roman"/>
                <w:sz w:val="20"/>
                <w:szCs w:val="20"/>
                <w:lang w:val="en-GB"/>
              </w:rPr>
              <w:t>→</w:t>
            </w:r>
            <w:r w:rsidRPr="00C462A0">
              <w:rPr>
                <w:rFonts w:asciiTheme="minorHAnsi" w:hAnsiTheme="minorHAnsi" w:cstheme="minorHAnsi"/>
                <w:sz w:val="20"/>
                <w:szCs w:val="20"/>
                <w:lang w:val="en-GB"/>
              </w:rPr>
              <w:t xml:space="preserve"> Compliance breach </w:t>
            </w:r>
            <w:r w:rsidRPr="00C462A0">
              <w:rPr>
                <w:rFonts w:cs="Times New Roman"/>
                <w:sz w:val="20"/>
                <w:szCs w:val="20"/>
                <w:lang w:val="en-GB"/>
              </w:rPr>
              <w:t>→</w:t>
            </w:r>
            <w:r w:rsidRPr="00C462A0">
              <w:rPr>
                <w:rFonts w:asciiTheme="minorHAnsi" w:hAnsiTheme="minorHAnsi" w:cstheme="minorHAnsi"/>
                <w:sz w:val="20"/>
                <w:szCs w:val="20"/>
                <w:lang w:val="en-GB"/>
              </w:rPr>
              <w:t xml:space="preserve"> Encryption</w:t>
            </w:r>
          </w:p>
          <w:p w14:paraId="66BCEBDB" w14:textId="77777777" w:rsidR="00877F0A" w:rsidRPr="00C462A0" w:rsidRDefault="00877F0A" w:rsidP="008A7204">
            <w:pPr>
              <w:pStyle w:val="NormalWeb"/>
              <w:numPr>
                <w:ilvl w:val="0"/>
                <w:numId w:val="314"/>
              </w:numPr>
              <w:spacing w:after="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 xml:space="preserve">Risk acceptance </w:t>
            </w:r>
            <w:r w:rsidRPr="00C462A0">
              <w:rPr>
                <w:rFonts w:cs="Times New Roman"/>
                <w:sz w:val="20"/>
                <w:szCs w:val="20"/>
                <w:lang w:val="en-GB"/>
              </w:rPr>
              <w:t>→</w:t>
            </w:r>
            <w:r w:rsidRPr="00C462A0">
              <w:rPr>
                <w:rFonts w:asciiTheme="minorHAnsi" w:hAnsiTheme="minorHAnsi" w:cstheme="minorHAnsi"/>
                <w:sz w:val="20"/>
                <w:szCs w:val="20"/>
                <w:lang w:val="en-GB"/>
              </w:rPr>
              <w:t xml:space="preserve"> Exfiltration </w:t>
            </w:r>
            <w:r w:rsidRPr="00C462A0">
              <w:rPr>
                <w:rFonts w:cs="Times New Roman"/>
                <w:sz w:val="20"/>
                <w:szCs w:val="20"/>
                <w:lang w:val="en-GB"/>
              </w:rPr>
              <w:t>→</w:t>
            </w:r>
            <w:r w:rsidRPr="00C462A0">
              <w:rPr>
                <w:rFonts w:asciiTheme="minorHAnsi" w:hAnsiTheme="minorHAnsi" w:cstheme="minorHAnsi"/>
                <w:sz w:val="20"/>
                <w:szCs w:val="20"/>
                <w:lang w:val="en-GB"/>
              </w:rPr>
              <w:t xml:space="preserve"> Recovery</w:t>
            </w:r>
          </w:p>
          <w:p w14:paraId="78B1102A" w14:textId="44136677" w:rsidR="00877F0A" w:rsidRPr="00C462A0" w:rsidRDefault="00877F0A" w:rsidP="008A7204">
            <w:pPr>
              <w:pStyle w:val="NormalWeb"/>
              <w:numPr>
                <w:ilvl w:val="0"/>
                <w:numId w:val="313"/>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color w:val="009889" w:themeColor="accent2"/>
                <w:sz w:val="20"/>
                <w:szCs w:val="20"/>
                <w:lang w:val="en-GB"/>
              </w:rPr>
              <w:t xml:space="preserve">An organisation prioritises patching its cloud dashboard but delays firmware updates for field IoT sensors due to operational inconvenience. From a risk perspective, what is the most accurate assessment? </w:t>
            </w:r>
            <w:r w:rsidR="008A7204" w:rsidRPr="00C462A0">
              <w:rPr>
                <w:rFonts w:asciiTheme="minorHAnsi" w:hAnsiTheme="minorHAnsi" w:cstheme="minorHAnsi"/>
                <w:sz w:val="20"/>
                <w:szCs w:val="20"/>
                <w:lang w:val="en-GB"/>
              </w:rPr>
              <w:t xml:space="preserve"> </w:t>
            </w:r>
          </w:p>
          <w:p w14:paraId="3BC612C5" w14:textId="166CC7DC" w:rsidR="00877F0A" w:rsidRPr="00C462A0" w:rsidRDefault="00877F0A" w:rsidP="008A7204">
            <w:pPr>
              <w:pStyle w:val="NormalWeb"/>
              <w:numPr>
                <w:ilvl w:val="0"/>
                <w:numId w:val="315"/>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 xml:space="preserve">The decision is justified because cloud systems are </w:t>
            </w:r>
            <w:r w:rsidR="00CF35C5" w:rsidRPr="00C462A0">
              <w:rPr>
                <w:rFonts w:asciiTheme="minorHAnsi" w:hAnsiTheme="minorHAnsi" w:cstheme="minorHAnsi"/>
                <w:sz w:val="20"/>
                <w:szCs w:val="20"/>
                <w:lang w:val="en-GB"/>
              </w:rPr>
              <w:t>always at risk higher</w:t>
            </w:r>
            <w:r w:rsidRPr="00C462A0">
              <w:rPr>
                <w:rFonts w:asciiTheme="minorHAnsi" w:hAnsiTheme="minorHAnsi" w:cstheme="minorHAnsi"/>
                <w:sz w:val="20"/>
                <w:szCs w:val="20"/>
                <w:lang w:val="en-GB"/>
              </w:rPr>
              <w:t xml:space="preserve"> than edge devices</w:t>
            </w:r>
          </w:p>
          <w:p w14:paraId="38CADE9E" w14:textId="77777777" w:rsidR="00877F0A" w:rsidRPr="00C462A0" w:rsidRDefault="00877F0A" w:rsidP="008A7204">
            <w:pPr>
              <w:pStyle w:val="NormalWeb"/>
              <w:numPr>
                <w:ilvl w:val="0"/>
                <w:numId w:val="315"/>
              </w:numPr>
              <w:spacing w:after="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IoT firmware vulnerabilities may still represent a significant risk if they provide a pivot into critical systems</w:t>
            </w:r>
          </w:p>
          <w:p w14:paraId="11D5830D" w14:textId="77777777" w:rsidR="00CF35C5" w:rsidRPr="00C462A0" w:rsidRDefault="00877F0A" w:rsidP="00CF35C5">
            <w:pPr>
              <w:pStyle w:val="NormalWeb"/>
              <w:numPr>
                <w:ilvl w:val="0"/>
                <w:numId w:val="315"/>
              </w:numPr>
              <w:spacing w:after="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Firmware updates are unnecessary if devices operate in isolated environments</w:t>
            </w:r>
          </w:p>
          <w:p w14:paraId="25FDF201" w14:textId="77777777" w:rsidR="00877F0A" w:rsidRPr="00C462A0" w:rsidRDefault="00877F0A" w:rsidP="00CF35C5">
            <w:pPr>
              <w:pStyle w:val="NormalWeb"/>
              <w:numPr>
                <w:ilvl w:val="0"/>
                <w:numId w:val="315"/>
              </w:numPr>
              <w:spacing w:after="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IoT devices cannot materially affect ESG reporting accuracy</w:t>
            </w:r>
            <w:r w:rsidR="00CF35C5" w:rsidRPr="00C462A0">
              <w:rPr>
                <w:rFonts w:asciiTheme="minorHAnsi" w:hAnsiTheme="minorHAnsi" w:cstheme="minorHAnsi"/>
                <w:sz w:val="20"/>
                <w:szCs w:val="20"/>
                <w:lang w:val="en-GB"/>
              </w:rPr>
              <w:t xml:space="preserve">. </w:t>
            </w:r>
          </w:p>
          <w:p w14:paraId="60740746" w14:textId="5279C0E6" w:rsidR="00CF35C5" w:rsidRPr="00C462A0" w:rsidRDefault="00CF35C5" w:rsidP="00CF35C5">
            <w:pPr>
              <w:pStyle w:val="NormalWeb"/>
              <w:spacing w:after="0"/>
              <w:jc w:val="both"/>
              <w:rPr>
                <w:rFonts w:asciiTheme="minorHAnsi" w:hAnsiTheme="minorHAnsi" w:cstheme="minorHAnsi"/>
                <w:i/>
                <w:iCs/>
                <w:sz w:val="20"/>
                <w:szCs w:val="20"/>
                <w:lang w:val="en-GB"/>
              </w:rPr>
            </w:pPr>
            <w:r w:rsidRPr="00C462A0">
              <w:rPr>
                <w:rFonts w:asciiTheme="minorHAnsi" w:hAnsiTheme="minorHAnsi" w:cstheme="minorHAnsi"/>
                <w:i/>
                <w:iCs/>
                <w:sz w:val="20"/>
                <w:szCs w:val="20"/>
                <w:lang w:val="en-GB"/>
              </w:rPr>
              <w:t>Answer key: 1. false; 2. b), 3. b).</w:t>
            </w:r>
          </w:p>
        </w:tc>
      </w:tr>
    </w:tbl>
    <w:p w14:paraId="5B94AEA3" w14:textId="77777777" w:rsidR="00CF35C5" w:rsidRPr="00C462A0" w:rsidRDefault="00CF35C5">
      <w:r w:rsidRPr="00C462A0">
        <w:lastRenderedPageBreak/>
        <w:br w:type="page"/>
      </w:r>
    </w:p>
    <w:tbl>
      <w:tblPr>
        <w:tblStyle w:val="TableGrid"/>
        <w:tblW w:w="0" w:type="auto"/>
        <w:tblLook w:val="04A0" w:firstRow="1" w:lastRow="0" w:firstColumn="1" w:lastColumn="0" w:noHBand="0" w:noVBand="1"/>
      </w:tblPr>
      <w:tblGrid>
        <w:gridCol w:w="9628"/>
      </w:tblGrid>
      <w:tr w:rsidR="00CF35C5" w:rsidRPr="00C462A0" w14:paraId="17CB885E" w14:textId="77777777" w:rsidTr="00877F0A">
        <w:trPr>
          <w:trHeight w:val="300"/>
        </w:trPr>
        <w:tc>
          <w:tcPr>
            <w:tcW w:w="9628" w:type="dxa"/>
          </w:tcPr>
          <w:p w14:paraId="72072962" w14:textId="7AEB9459" w:rsidR="00CF35C5" w:rsidRPr="00C462A0" w:rsidRDefault="00CF35C5" w:rsidP="00CF35C5">
            <w:pPr>
              <w:pStyle w:val="Heading2"/>
              <w:numPr>
                <w:ilvl w:val="0"/>
                <w:numId w:val="0"/>
              </w:numPr>
            </w:pPr>
            <w:bookmarkStart w:id="33" w:name="_Toc227623408"/>
            <w:r w:rsidRPr="00C462A0">
              <w:lastRenderedPageBreak/>
              <w:t>Topic 2.3: Threat Landscape of Smart Grids</w:t>
            </w:r>
            <w:bookmarkEnd w:id="33"/>
          </w:p>
        </w:tc>
      </w:tr>
      <w:tr w:rsidR="00CF35C5" w:rsidRPr="00C462A0" w14:paraId="2D672DE3" w14:textId="77777777" w:rsidTr="00CF35C5">
        <w:trPr>
          <w:trHeight w:val="300"/>
        </w:trPr>
        <w:tc>
          <w:tcPr>
            <w:tcW w:w="9628" w:type="dxa"/>
            <w:shd w:val="clear" w:color="auto" w:fill="D9D9D9" w:themeFill="background1" w:themeFillShade="D9"/>
          </w:tcPr>
          <w:p w14:paraId="359843A0" w14:textId="3DF0ECFD" w:rsidR="00CF35C5" w:rsidRPr="00C462A0" w:rsidRDefault="00CF35C5" w:rsidP="00CF35C5">
            <w:pPr>
              <w:pStyle w:val="NormalWeb"/>
              <w:spacing w:before="0" w:beforeAutospacing="0" w:after="0" w:afterAutospacing="0"/>
              <w:jc w:val="both"/>
              <w:rPr>
                <w:rFonts w:asciiTheme="minorHAnsi" w:hAnsiTheme="minorHAnsi" w:cstheme="minorHAnsi"/>
                <w:b/>
                <w:sz w:val="20"/>
                <w:szCs w:val="20"/>
                <w:lang w:val="en-GB"/>
              </w:rPr>
            </w:pPr>
            <w:r w:rsidRPr="00C462A0">
              <w:rPr>
                <w:rFonts w:asciiTheme="minorHAnsi" w:hAnsiTheme="minorHAnsi" w:cstheme="minorHAnsi"/>
                <w:b/>
                <w:sz w:val="20"/>
                <w:szCs w:val="20"/>
                <w:lang w:val="en-GB"/>
              </w:rPr>
              <w:t>Short introduction:</w:t>
            </w:r>
          </w:p>
        </w:tc>
      </w:tr>
      <w:tr w:rsidR="00CF35C5" w:rsidRPr="00C462A0" w14:paraId="50F74255" w14:textId="77777777" w:rsidTr="00877F0A">
        <w:trPr>
          <w:trHeight w:val="300"/>
        </w:trPr>
        <w:tc>
          <w:tcPr>
            <w:tcW w:w="9628" w:type="dxa"/>
          </w:tcPr>
          <w:p w14:paraId="5490C58B" w14:textId="5EC076E8" w:rsidR="00CF35C5" w:rsidRPr="00C462A0" w:rsidRDefault="00CF35C5" w:rsidP="00CF35C5">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Smart grids represent the transformation of traditional electricity networks into digitally connected, data-driven energy ecosystems. They combine advanced metering infrastructure, distributed renewable energy sources, automated control systems, and real-time communication technologies. While these capabilities enhance efficiency, resilience, and sustainability, they also create complex cybersecurity risks. Understanding the threat landscape surrounding smart grids is therefore critical to maintaining energy stability, regulatory compliance, and public safety.</w:t>
            </w:r>
          </w:p>
        </w:tc>
      </w:tr>
      <w:tr w:rsidR="00CF35C5" w:rsidRPr="00C462A0" w14:paraId="59D0C26C" w14:textId="77777777" w:rsidTr="00CF35C5">
        <w:trPr>
          <w:trHeight w:val="300"/>
        </w:trPr>
        <w:tc>
          <w:tcPr>
            <w:tcW w:w="9628" w:type="dxa"/>
            <w:shd w:val="clear" w:color="auto" w:fill="D9D9D9" w:themeFill="background1" w:themeFillShade="D9"/>
          </w:tcPr>
          <w:p w14:paraId="1514CB87" w14:textId="0334A6CA" w:rsidR="00CF35C5" w:rsidRPr="00C462A0" w:rsidRDefault="00CF35C5" w:rsidP="00CF35C5">
            <w:pPr>
              <w:pStyle w:val="NormalWeb"/>
              <w:spacing w:before="0" w:beforeAutospacing="0" w:after="0" w:afterAutospacing="0"/>
              <w:jc w:val="both"/>
              <w:rPr>
                <w:rFonts w:asciiTheme="minorHAnsi" w:hAnsiTheme="minorHAnsi" w:cstheme="minorHAnsi"/>
                <w:b/>
                <w:sz w:val="20"/>
                <w:szCs w:val="20"/>
                <w:lang w:val="en-GB"/>
              </w:rPr>
            </w:pPr>
            <w:r w:rsidRPr="00C462A0">
              <w:rPr>
                <w:rFonts w:asciiTheme="minorHAnsi" w:hAnsiTheme="minorHAnsi" w:cstheme="minorHAnsi"/>
                <w:b/>
                <w:sz w:val="20"/>
                <w:szCs w:val="20"/>
                <w:lang w:val="en-GB"/>
              </w:rPr>
              <w:t>Theory &amp; Knowledge:</w:t>
            </w:r>
          </w:p>
        </w:tc>
      </w:tr>
      <w:tr w:rsidR="00877F0A" w:rsidRPr="00C462A0" w14:paraId="222BB67D" w14:textId="77777777" w:rsidTr="00877F0A">
        <w:trPr>
          <w:trHeight w:val="300"/>
        </w:trPr>
        <w:tc>
          <w:tcPr>
            <w:tcW w:w="9628" w:type="dxa"/>
          </w:tcPr>
          <w:p w14:paraId="759D07FF" w14:textId="77777777" w:rsidR="00877F0A" w:rsidRPr="00C462A0" w:rsidRDefault="00877F0A" w:rsidP="00210B7E">
            <w:pPr>
              <w:pStyle w:val="NormalWeb"/>
              <w:spacing w:before="40" w:beforeAutospacing="0" w:after="40" w:afterAutospacing="0"/>
              <w:jc w:val="both"/>
              <w:rPr>
                <w:rFonts w:asciiTheme="minorHAnsi" w:hAnsiTheme="minorHAnsi" w:cstheme="minorHAnsi"/>
                <w:iCs/>
                <w:color w:val="00AC4E" w:themeColor="accent1"/>
                <w:sz w:val="20"/>
                <w:szCs w:val="20"/>
                <w:lang w:val="en-GB"/>
              </w:rPr>
            </w:pPr>
            <w:r w:rsidRPr="00C462A0">
              <w:rPr>
                <w:rFonts w:asciiTheme="minorHAnsi" w:hAnsiTheme="minorHAnsi" w:cstheme="minorHAnsi"/>
                <w:sz w:val="20"/>
                <w:szCs w:val="20"/>
                <w:lang w:val="en-GB"/>
              </w:rPr>
              <w:t>Smart grids differ fundamentally from conventional power grids because they depend on bidirectional communication, decentralised generation, and continuous real-time data exchange. This digital shift enables predictive load balancing, renewable energy integration, and demand-response optimisation. At the same time, it broadens the attack surface across generation, transmission, distribution, and consumer-level endpoints.</w:t>
            </w:r>
          </w:p>
          <w:p w14:paraId="2448AD9C" w14:textId="77777777" w:rsidR="00877F0A" w:rsidRPr="00C462A0" w:rsidRDefault="00877F0A" w:rsidP="00210B7E">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A smart grid typically combines IT systems, such as cloud analytics and billing platforms, with OT systems, including SCADA systems, substations, and control devices, as well as IoT components such as smart meters and sensors. The close interconnection between these layers means that a cyber incident in one area can quickly spread across the wider infrastructure.</w:t>
            </w:r>
          </w:p>
          <w:p w14:paraId="133909C6" w14:textId="77777777" w:rsidR="00877F0A" w:rsidRPr="00C462A0" w:rsidRDefault="00877F0A" w:rsidP="00210B7E">
            <w:pPr>
              <w:pStyle w:val="NormalWeb"/>
              <w:spacing w:before="40" w:beforeAutospacing="0" w:after="40" w:afterAutospacing="0"/>
              <w:jc w:val="both"/>
              <w:rPr>
                <w:rFonts w:asciiTheme="minorHAnsi" w:hAnsiTheme="minorHAnsi" w:cstheme="minorHAnsi"/>
                <w:sz w:val="20"/>
                <w:szCs w:val="20"/>
                <w:lang w:val="en-GB"/>
              </w:rPr>
            </w:pPr>
          </w:p>
          <w:p w14:paraId="0E38AB14" w14:textId="4AB2C8F5" w:rsidR="00877F0A" w:rsidRPr="00C462A0" w:rsidRDefault="00877F0A" w:rsidP="00CF35C5">
            <w:pPr>
              <w:pStyle w:val="NormalWeb"/>
              <w:numPr>
                <w:ilvl w:val="0"/>
                <w:numId w:val="316"/>
              </w:numPr>
              <w:spacing w:before="0" w:beforeAutospacing="0" w:after="0" w:afterAutospacing="0"/>
              <w:jc w:val="both"/>
              <w:rPr>
                <w:rFonts w:asciiTheme="minorHAnsi" w:hAnsiTheme="minorHAnsi" w:cstheme="minorHAnsi"/>
                <w:b/>
                <w:bCs/>
                <w:color w:val="009889" w:themeColor="accent2"/>
                <w:sz w:val="20"/>
                <w:szCs w:val="20"/>
                <w:lang w:val="en-GB" w:eastAsia="en-GB"/>
              </w:rPr>
            </w:pPr>
            <w:r w:rsidRPr="00C462A0">
              <w:rPr>
                <w:rFonts w:asciiTheme="minorHAnsi" w:hAnsiTheme="minorHAnsi" w:cstheme="minorHAnsi"/>
                <w:b/>
                <w:bCs/>
                <w:color w:val="009889" w:themeColor="accent2"/>
                <w:sz w:val="20"/>
                <w:szCs w:val="20"/>
                <w:lang w:val="en-GB" w:eastAsia="en-GB"/>
              </w:rPr>
              <w:t>Structural Complexity of Smart Grids</w:t>
            </w:r>
          </w:p>
          <w:p w14:paraId="2F07CFF2" w14:textId="77777777" w:rsidR="00877F0A" w:rsidRPr="00C462A0" w:rsidRDefault="00877F0A" w:rsidP="00210B7E">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A smart grid environment generally includes:</w:t>
            </w:r>
          </w:p>
          <w:p w14:paraId="59C13ACC"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Generation systems, including renewable sources such as wind and solar farms.</w:t>
            </w:r>
          </w:p>
          <w:p w14:paraId="64F993AD"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Transmission and distribution substations.</w:t>
            </w:r>
          </w:p>
          <w:p w14:paraId="55A33F72"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Advanced Metering Infrastructure (AMI).</w:t>
            </w:r>
          </w:p>
          <w:p w14:paraId="72C5CBF5"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Control centres and SCADA systems.</w:t>
            </w:r>
          </w:p>
          <w:p w14:paraId="292E6426"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Communication networks, often hybrid in nature, combining fibre, wireless, and industrial protocols.</w:t>
            </w:r>
          </w:p>
          <w:p w14:paraId="73C4E03E"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Consumer-side smart devices.</w:t>
            </w:r>
          </w:p>
          <w:p w14:paraId="62DB8D94" w14:textId="77777777" w:rsidR="00877F0A" w:rsidRPr="00C462A0" w:rsidRDefault="00877F0A" w:rsidP="00210B7E">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The integration of distributed energy resources increases decentralisation, but it also multiplies the number of potential entry points.</w:t>
            </w:r>
          </w:p>
          <w:p w14:paraId="1BD345B4" w14:textId="77777777" w:rsidR="00877F0A" w:rsidRPr="00C462A0" w:rsidRDefault="00877F0A" w:rsidP="00210B7E">
            <w:pPr>
              <w:pStyle w:val="NormalWeb"/>
              <w:keepNext/>
              <w:spacing w:before="40" w:beforeAutospacing="0" w:after="40" w:afterAutospacing="0"/>
              <w:jc w:val="center"/>
              <w:rPr>
                <w:rFonts w:asciiTheme="minorHAnsi" w:hAnsiTheme="minorHAnsi" w:cstheme="minorHAnsi"/>
                <w:sz w:val="20"/>
                <w:szCs w:val="20"/>
                <w:lang w:val="en-GB"/>
              </w:rPr>
            </w:pPr>
            <w:r w:rsidRPr="00C462A0">
              <w:rPr>
                <w:rFonts w:asciiTheme="minorHAnsi" w:hAnsiTheme="minorHAnsi" w:cstheme="minorHAnsi"/>
                <w:noProof/>
                <w:sz w:val="20"/>
                <w:szCs w:val="20"/>
                <w:lang w:val="en-GB"/>
              </w:rPr>
              <w:lastRenderedPageBreak/>
              <w:drawing>
                <wp:inline distT="0" distB="0" distL="0" distR="0" wp14:anchorId="72793F2A" wp14:editId="10D80CD9">
                  <wp:extent cx="5472218" cy="3648527"/>
                  <wp:effectExtent l="0" t="0" r="0" b="9525"/>
                  <wp:docPr id="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pic:cNvPicPr>
                        </pic:nvPicPr>
                        <pic:blipFill>
                          <a:blip r:embed="rId62"/>
                          <a:stretch/>
                        </pic:blipFill>
                        <pic:spPr bwMode="auto">
                          <a:xfrm>
                            <a:off x="0" y="0"/>
                            <a:ext cx="5481842" cy="3654944"/>
                          </a:xfrm>
                          <a:prstGeom prst="rect">
                            <a:avLst/>
                          </a:prstGeom>
                          <a:noFill/>
                          <a:ln>
                            <a:noFill/>
                          </a:ln>
                        </pic:spPr>
                      </pic:pic>
                    </a:graphicData>
                  </a:graphic>
                </wp:inline>
              </w:drawing>
            </w:r>
          </w:p>
          <w:p w14:paraId="1325C330" w14:textId="68809C2D" w:rsidR="00877F0A" w:rsidRDefault="00877F0A" w:rsidP="00210B7E">
            <w:pPr>
              <w:pStyle w:val="Caption"/>
              <w:jc w:val="center"/>
              <w:rPr>
                <w:rFonts w:cstheme="minorHAnsi"/>
                <w:b w:val="0"/>
                <w:bCs w:val="0"/>
                <w:sz w:val="18"/>
                <w:szCs w:val="18"/>
              </w:rPr>
            </w:pPr>
            <w:bookmarkStart w:id="34" w:name="_Toc227623451"/>
            <w:r w:rsidRPr="00C462A0">
              <w:rPr>
                <w:rFonts w:cstheme="minorHAnsi"/>
                <w:b w:val="0"/>
                <w:bCs w:val="0"/>
                <w:sz w:val="18"/>
                <w:szCs w:val="18"/>
              </w:rPr>
              <w:t xml:space="preserve">Figure </w:t>
            </w:r>
            <w:r w:rsidRPr="00C462A0">
              <w:rPr>
                <w:rFonts w:cstheme="minorHAnsi"/>
                <w:b w:val="0"/>
                <w:bCs w:val="0"/>
                <w:sz w:val="18"/>
                <w:szCs w:val="18"/>
              </w:rPr>
              <w:fldChar w:fldCharType="begin"/>
            </w:r>
            <w:r w:rsidRPr="00C462A0">
              <w:rPr>
                <w:rFonts w:cstheme="minorHAnsi"/>
                <w:b w:val="0"/>
                <w:bCs w:val="0"/>
                <w:sz w:val="18"/>
                <w:szCs w:val="18"/>
              </w:rPr>
              <w:instrText xml:space="preserve"> SEQ Figure \* ARABIC </w:instrText>
            </w:r>
            <w:r w:rsidRPr="00C462A0">
              <w:rPr>
                <w:rFonts w:cstheme="minorHAnsi"/>
                <w:b w:val="0"/>
                <w:bCs w:val="0"/>
                <w:sz w:val="18"/>
                <w:szCs w:val="18"/>
              </w:rPr>
              <w:fldChar w:fldCharType="separate"/>
            </w:r>
            <w:r w:rsidRPr="00C462A0">
              <w:rPr>
                <w:rFonts w:cstheme="minorHAnsi"/>
                <w:b w:val="0"/>
                <w:bCs w:val="0"/>
                <w:sz w:val="18"/>
                <w:szCs w:val="18"/>
              </w:rPr>
              <w:t>14</w:t>
            </w:r>
            <w:r w:rsidRPr="00C462A0">
              <w:rPr>
                <w:rFonts w:cstheme="minorHAnsi"/>
                <w:b w:val="0"/>
                <w:bCs w:val="0"/>
                <w:sz w:val="18"/>
                <w:szCs w:val="18"/>
              </w:rPr>
              <w:fldChar w:fldCharType="end"/>
            </w:r>
            <w:r w:rsidR="00CF35C5" w:rsidRPr="00C462A0">
              <w:rPr>
                <w:rFonts w:cstheme="minorHAnsi"/>
                <w:b w:val="0"/>
                <w:bCs w:val="0"/>
                <w:sz w:val="18"/>
                <w:szCs w:val="18"/>
              </w:rPr>
              <w:t xml:space="preserve">. </w:t>
            </w:r>
            <w:r w:rsidRPr="00C462A0">
              <w:rPr>
                <w:rFonts w:cstheme="minorHAnsi"/>
                <w:b w:val="0"/>
                <w:bCs w:val="0"/>
                <w:sz w:val="18"/>
                <w:szCs w:val="18"/>
              </w:rPr>
              <w:t xml:space="preserve"> Smart grid architecture showing interactions between renewable generation, transmission systems, metering infrastructure, communication networks, and control </w:t>
            </w:r>
            <w:r w:rsidR="00C462A0" w:rsidRPr="00C462A0">
              <w:rPr>
                <w:rFonts w:cstheme="minorHAnsi"/>
                <w:b w:val="0"/>
                <w:bCs w:val="0"/>
                <w:sz w:val="18"/>
                <w:szCs w:val="18"/>
              </w:rPr>
              <w:t>centres</w:t>
            </w:r>
            <w:r w:rsidR="00CF35C5" w:rsidRPr="00C462A0">
              <w:rPr>
                <w:rFonts w:cstheme="minorHAnsi"/>
                <w:b w:val="0"/>
                <w:bCs w:val="0"/>
                <w:sz w:val="18"/>
                <w:szCs w:val="18"/>
              </w:rPr>
              <w:t xml:space="preserve"> (source: Author)</w:t>
            </w:r>
            <w:bookmarkEnd w:id="34"/>
          </w:p>
          <w:p w14:paraId="7AB412EE" w14:textId="77777777" w:rsidR="00721C5E" w:rsidRDefault="00721C5E" w:rsidP="00721C5E"/>
          <w:p w14:paraId="30587EFE" w14:textId="55778AD9" w:rsidR="00721C5E" w:rsidRPr="00721C5E" w:rsidRDefault="00721C5E" w:rsidP="00721C5E">
            <w:pPr>
              <w:jc w:val="both"/>
              <w:rPr>
                <w:i/>
                <w:iCs/>
                <w:sz w:val="18"/>
                <w:szCs w:val="20"/>
              </w:rPr>
            </w:pPr>
            <w:r w:rsidRPr="00721C5E">
              <w:rPr>
                <w:i/>
                <w:iCs/>
                <w:sz w:val="18"/>
                <w:szCs w:val="20"/>
              </w:rPr>
              <w:t>Th</w:t>
            </w:r>
            <w:r w:rsidRPr="00721C5E">
              <w:rPr>
                <w:i/>
                <w:iCs/>
                <w:sz w:val="18"/>
                <w:szCs w:val="20"/>
              </w:rPr>
              <w:t>e</w:t>
            </w:r>
            <w:r w:rsidRPr="00721C5E">
              <w:rPr>
                <w:i/>
                <w:iCs/>
                <w:sz w:val="18"/>
                <w:szCs w:val="20"/>
              </w:rPr>
              <w:t xml:space="preserve"> image</w:t>
            </w:r>
            <w:r w:rsidRPr="00721C5E">
              <w:rPr>
                <w:i/>
                <w:iCs/>
                <w:sz w:val="18"/>
                <w:szCs w:val="20"/>
              </w:rPr>
              <w:t xml:space="preserve"> above illustrates</w:t>
            </w:r>
            <w:r w:rsidRPr="00721C5E">
              <w:rPr>
                <w:i/>
                <w:iCs/>
                <w:sz w:val="18"/>
                <w:szCs w:val="20"/>
              </w:rPr>
              <w:t xml:space="preserve"> the architecture of a smart grid, which is </w:t>
            </w:r>
            <w:r w:rsidRPr="00721C5E">
              <w:rPr>
                <w:i/>
                <w:iCs/>
                <w:sz w:val="18"/>
                <w:szCs w:val="20"/>
              </w:rPr>
              <w:t>a</w:t>
            </w:r>
            <w:r w:rsidRPr="00721C5E">
              <w:rPr>
                <w:i/>
                <w:iCs/>
                <w:sz w:val="18"/>
                <w:szCs w:val="20"/>
              </w:rPr>
              <w:t xml:space="preserve"> modernized electrical grid that utilizes digital technology for two-way communication and control. </w:t>
            </w:r>
          </w:p>
          <w:p w14:paraId="4E0CAE8A" w14:textId="6483B802" w:rsidR="00721C5E" w:rsidRPr="00721C5E" w:rsidRDefault="00721C5E" w:rsidP="00721C5E">
            <w:pPr>
              <w:jc w:val="both"/>
              <w:rPr>
                <w:i/>
                <w:iCs/>
                <w:sz w:val="18"/>
                <w:szCs w:val="20"/>
              </w:rPr>
            </w:pPr>
            <w:r w:rsidRPr="00721C5E">
              <w:rPr>
                <w:i/>
                <w:iCs/>
                <w:sz w:val="18"/>
                <w:szCs w:val="20"/>
              </w:rPr>
              <w:t xml:space="preserve">Components: The system integrates renewable energy sources (wind and solar), transmission substations, advanced metering infrastructure, control </w:t>
            </w:r>
            <w:r w:rsidRPr="00721C5E">
              <w:rPr>
                <w:i/>
                <w:iCs/>
                <w:sz w:val="18"/>
                <w:szCs w:val="20"/>
              </w:rPr>
              <w:t>centres</w:t>
            </w:r>
            <w:r w:rsidRPr="00721C5E">
              <w:rPr>
                <w:i/>
                <w:iCs/>
                <w:sz w:val="18"/>
                <w:szCs w:val="20"/>
              </w:rPr>
              <w:t xml:space="preserve"> (SCADA), and consumer smart devices. </w:t>
            </w:r>
          </w:p>
          <w:p w14:paraId="5790BCEC" w14:textId="77777777" w:rsidR="00721C5E" w:rsidRPr="00721C5E" w:rsidRDefault="00721C5E" w:rsidP="00721C5E">
            <w:pPr>
              <w:jc w:val="both"/>
              <w:rPr>
                <w:i/>
                <w:iCs/>
                <w:sz w:val="18"/>
                <w:szCs w:val="20"/>
              </w:rPr>
            </w:pPr>
            <w:r w:rsidRPr="00721C5E">
              <w:rPr>
                <w:i/>
                <w:iCs/>
                <w:sz w:val="18"/>
                <w:szCs w:val="20"/>
              </w:rPr>
              <w:t xml:space="preserve">Flow Types: It features bidirectional flows, allowing for both the transmission of electricity (power flow) and the exchange of data (data flow) between producers and consumers. </w:t>
            </w:r>
          </w:p>
          <w:p w14:paraId="67F65AF5" w14:textId="66AC8CF0" w:rsidR="00721C5E" w:rsidRPr="00721C5E" w:rsidRDefault="00721C5E" w:rsidP="00721C5E">
            <w:pPr>
              <w:jc w:val="both"/>
              <w:rPr>
                <w:i/>
                <w:iCs/>
                <w:sz w:val="18"/>
                <w:szCs w:val="20"/>
              </w:rPr>
            </w:pPr>
            <w:r w:rsidRPr="00721C5E">
              <w:rPr>
                <w:i/>
                <w:iCs/>
                <w:sz w:val="18"/>
                <w:szCs w:val="20"/>
              </w:rPr>
              <w:t>Functionality: This infrastructure enables automated monitoring, efficient load balancing, and the integration of distributed energy resources, improving grid reliability and efficiency.</w:t>
            </w:r>
          </w:p>
          <w:p w14:paraId="327A16A0" w14:textId="77777777" w:rsidR="00721C5E" w:rsidRPr="00721C5E" w:rsidRDefault="00721C5E" w:rsidP="00721C5E"/>
          <w:p w14:paraId="2ABDD624" w14:textId="0AEFB24F" w:rsidR="00877F0A" w:rsidRPr="00C462A0" w:rsidRDefault="00877F0A" w:rsidP="00CF35C5">
            <w:pPr>
              <w:pStyle w:val="NormalWeb"/>
              <w:numPr>
                <w:ilvl w:val="0"/>
                <w:numId w:val="316"/>
              </w:numPr>
              <w:spacing w:before="0" w:beforeAutospacing="0" w:after="0" w:afterAutospacing="0"/>
              <w:jc w:val="both"/>
              <w:rPr>
                <w:rFonts w:asciiTheme="minorHAnsi" w:hAnsiTheme="minorHAnsi" w:cstheme="minorHAnsi"/>
                <w:b/>
                <w:bCs/>
                <w:color w:val="009889" w:themeColor="accent2"/>
                <w:sz w:val="20"/>
                <w:szCs w:val="20"/>
                <w:lang w:val="en-GB" w:eastAsia="en-GB"/>
              </w:rPr>
            </w:pPr>
            <w:r w:rsidRPr="00C462A0">
              <w:rPr>
                <w:rFonts w:asciiTheme="minorHAnsi" w:hAnsiTheme="minorHAnsi" w:cstheme="minorHAnsi"/>
                <w:b/>
                <w:bCs/>
                <w:color w:val="009889" w:themeColor="accent2"/>
                <w:sz w:val="20"/>
                <w:szCs w:val="20"/>
                <w:lang w:val="en-GB" w:eastAsia="en-GB"/>
              </w:rPr>
              <w:t>Primary Threat Actors</w:t>
            </w:r>
          </w:p>
          <w:p w14:paraId="4FCCE46A" w14:textId="77777777" w:rsidR="00877F0A" w:rsidRPr="00C462A0" w:rsidRDefault="00877F0A" w:rsidP="00210B7E">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Smart grids are classified as critical national infrastructure and, as a result, attract a broad range of adversaries:</w:t>
            </w:r>
          </w:p>
          <w:p w14:paraId="02639F56"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State-sponsored actors pursuing geopolitical objectives.</w:t>
            </w:r>
          </w:p>
          <w:p w14:paraId="42E45E24"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Cybercriminal groups deploying ransomware.</w:t>
            </w:r>
          </w:p>
          <w:p w14:paraId="4DFC51E3"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Hacktivists targeting energy policy.</w:t>
            </w:r>
          </w:p>
          <w:p w14:paraId="63DE54E5"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Insider threats with privileged access.</w:t>
            </w:r>
          </w:p>
          <w:p w14:paraId="636BB074" w14:textId="4160EF26" w:rsidR="00877F0A" w:rsidRPr="00C462A0" w:rsidRDefault="00877F0A" w:rsidP="00210B7E">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 xml:space="preserve">ENISA recognises energy systems as high-priority targets due to their systemic importance. Similarly, the Cybersecurity and Infrastructure Security Agency </w:t>
            </w:r>
            <w:r w:rsidR="00C462A0" w:rsidRPr="00C462A0">
              <w:rPr>
                <w:rFonts w:asciiTheme="minorHAnsi" w:hAnsiTheme="minorHAnsi" w:cstheme="minorHAnsi"/>
                <w:sz w:val="20"/>
                <w:szCs w:val="20"/>
                <w:lang w:val="en-GB"/>
              </w:rPr>
              <w:t>identify</w:t>
            </w:r>
            <w:r w:rsidRPr="00C462A0">
              <w:rPr>
                <w:rFonts w:asciiTheme="minorHAnsi" w:hAnsiTheme="minorHAnsi" w:cstheme="minorHAnsi"/>
                <w:sz w:val="20"/>
                <w:szCs w:val="20"/>
                <w:lang w:val="en-GB"/>
              </w:rPr>
              <w:t xml:space="preserve"> the energy sector as a critical infrastructure domain that requires enhanced resilience.</w:t>
            </w:r>
          </w:p>
          <w:p w14:paraId="355D351F" w14:textId="77777777" w:rsidR="00877F0A" w:rsidRPr="00C462A0" w:rsidRDefault="00877F0A" w:rsidP="00210B7E">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State-sponsored campaigns may focus on grid destabilisation or espionage, while criminal actors are generally motivated by financial extortion.</w:t>
            </w:r>
          </w:p>
          <w:p w14:paraId="53CBBE14" w14:textId="77777777" w:rsidR="00877F0A" w:rsidRPr="00C462A0" w:rsidRDefault="00877F0A" w:rsidP="00210B7E">
            <w:pPr>
              <w:pStyle w:val="NormalWeb"/>
              <w:spacing w:before="40" w:beforeAutospacing="0" w:after="40" w:afterAutospacing="0"/>
              <w:jc w:val="both"/>
              <w:rPr>
                <w:rFonts w:asciiTheme="minorHAnsi" w:hAnsiTheme="minorHAnsi" w:cstheme="minorHAnsi"/>
                <w:sz w:val="20"/>
                <w:szCs w:val="20"/>
                <w:lang w:val="en-GB"/>
              </w:rPr>
            </w:pPr>
          </w:p>
          <w:p w14:paraId="4A47DA9C" w14:textId="77777777" w:rsidR="00877F0A" w:rsidRPr="00C462A0" w:rsidRDefault="00877F0A" w:rsidP="00210B7E">
            <w:pPr>
              <w:pStyle w:val="NormalWeb"/>
              <w:spacing w:before="40" w:beforeAutospacing="0" w:after="40" w:afterAutospacing="0"/>
              <w:jc w:val="both"/>
              <w:rPr>
                <w:rFonts w:asciiTheme="minorHAnsi" w:hAnsiTheme="minorHAnsi" w:cstheme="minorHAnsi"/>
                <w:sz w:val="20"/>
                <w:szCs w:val="20"/>
                <w:lang w:val="en-GB"/>
              </w:rPr>
            </w:pPr>
          </w:p>
          <w:p w14:paraId="513FE2F6" w14:textId="31B0C9BC" w:rsidR="00877F0A" w:rsidRPr="00C462A0" w:rsidRDefault="00877F0A" w:rsidP="00CF35C5">
            <w:pPr>
              <w:pStyle w:val="NormalWeb"/>
              <w:numPr>
                <w:ilvl w:val="0"/>
                <w:numId w:val="316"/>
              </w:numPr>
              <w:spacing w:before="0" w:beforeAutospacing="0" w:after="0" w:afterAutospacing="0"/>
              <w:jc w:val="both"/>
              <w:rPr>
                <w:rFonts w:asciiTheme="minorHAnsi" w:hAnsiTheme="minorHAnsi" w:cstheme="minorHAnsi"/>
                <w:b/>
                <w:bCs/>
                <w:color w:val="009889" w:themeColor="accent2"/>
                <w:sz w:val="20"/>
                <w:szCs w:val="20"/>
                <w:lang w:val="en-GB" w:eastAsia="en-GB"/>
              </w:rPr>
            </w:pPr>
            <w:r w:rsidRPr="00C462A0">
              <w:rPr>
                <w:rFonts w:asciiTheme="minorHAnsi" w:hAnsiTheme="minorHAnsi" w:cstheme="minorHAnsi"/>
                <w:b/>
                <w:bCs/>
                <w:color w:val="009889" w:themeColor="accent2"/>
                <w:sz w:val="20"/>
                <w:szCs w:val="20"/>
                <w:lang w:val="en-GB" w:eastAsia="en-GB"/>
              </w:rPr>
              <w:lastRenderedPageBreak/>
              <w:t>Common Attack Vectors in Smart Grids</w:t>
            </w:r>
          </w:p>
          <w:p w14:paraId="1AF2D69B" w14:textId="77777777" w:rsidR="00877F0A" w:rsidRPr="00C462A0" w:rsidRDefault="00877F0A" w:rsidP="00210B7E">
            <w:pPr>
              <w:pStyle w:val="NormalWeb"/>
              <w:spacing w:before="0" w:beforeAutospacing="0" w:after="0" w:afterAutospacing="0"/>
              <w:jc w:val="both"/>
              <w:rPr>
                <w:rFonts w:asciiTheme="minorHAnsi" w:hAnsiTheme="minorHAnsi" w:cstheme="minorHAnsi"/>
                <w:b/>
                <w:bCs/>
                <w:sz w:val="20"/>
                <w:szCs w:val="20"/>
                <w:lang w:val="en-GB" w:eastAsia="en-GB"/>
              </w:rPr>
            </w:pPr>
            <w:r w:rsidRPr="00C462A0">
              <w:rPr>
                <w:rFonts w:asciiTheme="minorHAnsi" w:hAnsiTheme="minorHAnsi" w:cstheme="minorHAnsi"/>
                <w:sz w:val="20"/>
                <w:szCs w:val="20"/>
                <w:lang w:val="en-GB"/>
              </w:rPr>
              <w:t>Common attack vectors in Smart Grids are:</w:t>
            </w:r>
          </w:p>
          <w:p w14:paraId="711FA69D"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b/>
                <w:bCs/>
                <w:sz w:val="20"/>
                <w:szCs w:val="20"/>
                <w:lang w:val="en-GB" w:eastAsia="en-GB"/>
              </w:rPr>
              <w:t xml:space="preserve">Compromise of Advanced Metering Infrastructure (AMI): </w:t>
            </w:r>
            <w:r w:rsidRPr="00C462A0">
              <w:rPr>
                <w:rFonts w:asciiTheme="minorHAnsi" w:hAnsiTheme="minorHAnsi" w:cstheme="minorHAnsi"/>
                <w:sz w:val="20"/>
                <w:szCs w:val="20"/>
                <w:lang w:val="en-GB"/>
              </w:rPr>
              <w:t>Large-scale manipulation of smart meters and smart meter gateways (SMGW) can disrupt billing accuracy or overload distribution systems.</w:t>
            </w:r>
          </w:p>
          <w:p w14:paraId="6647B89D"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b/>
                <w:bCs/>
                <w:sz w:val="20"/>
                <w:szCs w:val="20"/>
                <w:lang w:val="en-GB"/>
              </w:rPr>
              <w:t>SCADA and Control System Exploitation</w:t>
            </w:r>
            <w:r w:rsidRPr="00C462A0">
              <w:rPr>
                <w:rFonts w:asciiTheme="minorHAnsi" w:hAnsiTheme="minorHAnsi" w:cstheme="minorHAnsi"/>
                <w:sz w:val="20"/>
                <w:szCs w:val="20"/>
                <w:lang w:val="en-GB"/>
              </w:rPr>
              <w:t>: Unpatched vulnerabilities in control software may enable remote command execution.</w:t>
            </w:r>
          </w:p>
          <w:p w14:paraId="6882484F"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b/>
                <w:bCs/>
                <w:sz w:val="20"/>
                <w:szCs w:val="20"/>
                <w:lang w:val="en-GB"/>
              </w:rPr>
              <w:t>Ransomware Targeting Control Centres</w:t>
            </w:r>
            <w:r w:rsidRPr="00C462A0">
              <w:rPr>
                <w:rFonts w:asciiTheme="minorHAnsi" w:hAnsiTheme="minorHAnsi" w:cstheme="minorHAnsi"/>
                <w:sz w:val="20"/>
                <w:szCs w:val="20"/>
                <w:lang w:val="en-GB"/>
              </w:rPr>
              <w:t>: Operational downtime can force organisations to suspend grid management functions.</w:t>
            </w:r>
          </w:p>
          <w:p w14:paraId="691CE067"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b/>
                <w:bCs/>
                <w:sz w:val="20"/>
                <w:szCs w:val="20"/>
                <w:lang w:val="en-GB"/>
              </w:rPr>
              <w:t>Supply Chain Compromise</w:t>
            </w:r>
            <w:r w:rsidRPr="00C462A0">
              <w:rPr>
                <w:rFonts w:asciiTheme="minorHAnsi" w:hAnsiTheme="minorHAnsi" w:cstheme="minorHAnsi"/>
                <w:sz w:val="20"/>
                <w:szCs w:val="20"/>
                <w:lang w:val="en-GB"/>
              </w:rPr>
              <w:t>: Malicious components introduced during hardware manufacturing or firmware updates.</w:t>
            </w:r>
          </w:p>
          <w:p w14:paraId="13D9CA3A"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b/>
                <w:bCs/>
                <w:sz w:val="20"/>
                <w:szCs w:val="20"/>
                <w:lang w:val="en-GB"/>
              </w:rPr>
              <w:t>Distributed Denial-of-Service (DDoS):</w:t>
            </w:r>
            <w:r w:rsidRPr="00C462A0">
              <w:rPr>
                <w:rFonts w:asciiTheme="minorHAnsi" w:hAnsiTheme="minorHAnsi" w:cstheme="minorHAnsi"/>
                <w:sz w:val="20"/>
                <w:szCs w:val="20"/>
                <w:lang w:val="en-GB"/>
              </w:rPr>
              <w:t xml:space="preserve"> Attacks against communication networks can interfere with real-time grid monitoring.</w:t>
            </w:r>
          </w:p>
          <w:p w14:paraId="252FE1BF" w14:textId="77777777" w:rsidR="00877F0A" w:rsidRPr="00C462A0" w:rsidRDefault="00877F0A" w:rsidP="00210B7E">
            <w:pPr>
              <w:pStyle w:val="NormalWeb"/>
              <w:spacing w:before="40" w:beforeAutospacing="0" w:after="40" w:afterAutospacing="0"/>
              <w:ind w:left="720"/>
              <w:jc w:val="both"/>
              <w:rPr>
                <w:rFonts w:asciiTheme="minorHAnsi" w:hAnsiTheme="minorHAnsi" w:cstheme="minorHAnsi"/>
                <w:sz w:val="20"/>
                <w:szCs w:val="20"/>
                <w:lang w:val="en-GB"/>
              </w:rPr>
            </w:pPr>
          </w:p>
          <w:p w14:paraId="38F42B96" w14:textId="77777777" w:rsidR="00877F0A" w:rsidRPr="00C462A0" w:rsidRDefault="00877F0A" w:rsidP="00210B7E">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The MITRE Corporation ATT&amp;CK for ICS framework offers structured mapping of tactics and techniques relevant to industrial control systems, including those used in smart grids.</w:t>
            </w:r>
          </w:p>
          <w:p w14:paraId="37E325C3" w14:textId="77777777" w:rsidR="00721C5E" w:rsidRDefault="00721C5E" w:rsidP="00210B7E">
            <w:pPr>
              <w:pStyle w:val="NormalWeb"/>
              <w:keepNext/>
              <w:spacing w:before="40" w:beforeAutospacing="0" w:after="40" w:afterAutospacing="0"/>
              <w:jc w:val="center"/>
              <w:rPr>
                <w:rFonts w:asciiTheme="minorHAnsi" w:hAnsiTheme="minorHAnsi" w:cstheme="minorHAnsi"/>
                <w:noProof/>
                <w:sz w:val="20"/>
                <w:szCs w:val="20"/>
                <w:lang w:val="en-GB"/>
              </w:rPr>
            </w:pPr>
          </w:p>
          <w:p w14:paraId="0A38F31C" w14:textId="760EFBEA" w:rsidR="00877F0A" w:rsidRPr="00C462A0" w:rsidRDefault="00877F0A" w:rsidP="00210B7E">
            <w:pPr>
              <w:pStyle w:val="NormalWeb"/>
              <w:keepNext/>
              <w:spacing w:before="40" w:beforeAutospacing="0" w:after="40" w:afterAutospacing="0"/>
              <w:jc w:val="center"/>
              <w:rPr>
                <w:rFonts w:asciiTheme="minorHAnsi" w:hAnsiTheme="minorHAnsi" w:cstheme="minorHAnsi"/>
                <w:sz w:val="20"/>
                <w:szCs w:val="20"/>
                <w:lang w:val="en-GB"/>
              </w:rPr>
            </w:pPr>
            <w:r w:rsidRPr="00C462A0">
              <w:rPr>
                <w:rFonts w:asciiTheme="minorHAnsi" w:hAnsiTheme="minorHAnsi" w:cstheme="minorHAnsi"/>
                <w:noProof/>
                <w:sz w:val="20"/>
                <w:szCs w:val="20"/>
                <w:lang w:val="en-GB"/>
              </w:rPr>
              <w:drawing>
                <wp:inline distT="0" distB="0" distL="0" distR="0" wp14:anchorId="32FE21CB" wp14:editId="5C103D5D">
                  <wp:extent cx="5984875" cy="3171825"/>
                  <wp:effectExtent l="0" t="0" r="0" b="9525"/>
                  <wp:docPr id="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pic:cNvPicPr>
                        </pic:nvPicPr>
                        <pic:blipFill rotWithShape="1">
                          <a:blip r:embed="rId63"/>
                          <a:srcRect t="6921" b="13590"/>
                          <a:stretch>
                            <a:fillRect/>
                          </a:stretch>
                        </pic:blipFill>
                        <pic:spPr bwMode="auto">
                          <a:xfrm>
                            <a:off x="0" y="0"/>
                            <a:ext cx="6010543" cy="3185428"/>
                          </a:xfrm>
                          <a:prstGeom prst="rect">
                            <a:avLst/>
                          </a:prstGeom>
                          <a:noFill/>
                          <a:ln>
                            <a:noFill/>
                          </a:ln>
                          <a:extLst>
                            <a:ext uri="{53640926-AAD7-44D8-BBD7-CCE9431645EC}">
                              <a14:shadowObscured xmlns:a14="http://schemas.microsoft.com/office/drawing/2010/main"/>
                            </a:ext>
                          </a:extLst>
                        </pic:spPr>
                      </pic:pic>
                    </a:graphicData>
                  </a:graphic>
                </wp:inline>
              </w:drawing>
            </w:r>
          </w:p>
          <w:p w14:paraId="45D335F0" w14:textId="66E4DF31" w:rsidR="00877F0A" w:rsidRDefault="00877F0A" w:rsidP="00210B7E">
            <w:pPr>
              <w:pStyle w:val="Caption"/>
              <w:jc w:val="center"/>
              <w:rPr>
                <w:rFonts w:cstheme="minorHAnsi"/>
                <w:b w:val="0"/>
                <w:bCs w:val="0"/>
                <w:sz w:val="18"/>
                <w:szCs w:val="18"/>
              </w:rPr>
            </w:pPr>
            <w:bookmarkStart w:id="35" w:name="_Toc227623452"/>
            <w:r w:rsidRPr="00C462A0">
              <w:rPr>
                <w:rFonts w:cstheme="minorHAnsi"/>
                <w:b w:val="0"/>
                <w:bCs w:val="0"/>
                <w:sz w:val="18"/>
                <w:szCs w:val="18"/>
              </w:rPr>
              <w:t xml:space="preserve">Figure </w:t>
            </w:r>
            <w:r w:rsidRPr="00C462A0">
              <w:rPr>
                <w:rFonts w:cstheme="minorHAnsi"/>
                <w:b w:val="0"/>
                <w:bCs w:val="0"/>
                <w:sz w:val="18"/>
                <w:szCs w:val="18"/>
              </w:rPr>
              <w:fldChar w:fldCharType="begin"/>
            </w:r>
            <w:r w:rsidRPr="00C462A0">
              <w:rPr>
                <w:rFonts w:cstheme="minorHAnsi"/>
                <w:b w:val="0"/>
                <w:bCs w:val="0"/>
                <w:sz w:val="18"/>
                <w:szCs w:val="18"/>
              </w:rPr>
              <w:instrText xml:space="preserve"> SEQ Figure \* ARABIC </w:instrText>
            </w:r>
            <w:r w:rsidRPr="00C462A0">
              <w:rPr>
                <w:rFonts w:cstheme="minorHAnsi"/>
                <w:b w:val="0"/>
                <w:bCs w:val="0"/>
                <w:sz w:val="18"/>
                <w:szCs w:val="18"/>
              </w:rPr>
              <w:fldChar w:fldCharType="separate"/>
            </w:r>
            <w:r w:rsidRPr="00C462A0">
              <w:rPr>
                <w:rFonts w:cstheme="minorHAnsi"/>
                <w:b w:val="0"/>
                <w:bCs w:val="0"/>
                <w:sz w:val="18"/>
                <w:szCs w:val="18"/>
              </w:rPr>
              <w:t>15</w:t>
            </w:r>
            <w:r w:rsidRPr="00C462A0">
              <w:rPr>
                <w:rFonts w:cstheme="minorHAnsi"/>
                <w:b w:val="0"/>
                <w:bCs w:val="0"/>
                <w:sz w:val="18"/>
                <w:szCs w:val="18"/>
              </w:rPr>
              <w:fldChar w:fldCharType="end"/>
            </w:r>
            <w:r w:rsidR="00CF35C5" w:rsidRPr="00C462A0">
              <w:rPr>
                <w:rFonts w:cstheme="minorHAnsi"/>
                <w:b w:val="0"/>
                <w:bCs w:val="0"/>
                <w:sz w:val="18"/>
                <w:szCs w:val="18"/>
              </w:rPr>
              <w:t xml:space="preserve">. </w:t>
            </w:r>
            <w:r w:rsidRPr="00C462A0">
              <w:rPr>
                <w:rFonts w:cstheme="minorHAnsi"/>
                <w:b w:val="0"/>
                <w:bCs w:val="0"/>
                <w:sz w:val="18"/>
                <w:szCs w:val="18"/>
              </w:rPr>
              <w:t xml:space="preserve"> Example of a cascading </w:t>
            </w:r>
            <w:r w:rsidR="00C462A0" w:rsidRPr="00C462A0">
              <w:rPr>
                <w:rFonts w:cstheme="minorHAnsi"/>
                <w:b w:val="0"/>
                <w:bCs w:val="0"/>
                <w:sz w:val="18"/>
                <w:szCs w:val="18"/>
              </w:rPr>
              <w:t>cyber-attack</w:t>
            </w:r>
            <w:r w:rsidRPr="00C462A0">
              <w:rPr>
                <w:rFonts w:cstheme="minorHAnsi"/>
                <w:b w:val="0"/>
                <w:bCs w:val="0"/>
                <w:sz w:val="18"/>
                <w:szCs w:val="18"/>
              </w:rPr>
              <w:t xml:space="preserve"> in a smart grid. A compromised smart meter can enable lateral movement to control systems and lead to grid instability or service disruption</w:t>
            </w:r>
            <w:r w:rsidR="00CF35C5" w:rsidRPr="00C462A0">
              <w:rPr>
                <w:rFonts w:cstheme="minorHAnsi"/>
                <w:b w:val="0"/>
                <w:bCs w:val="0"/>
                <w:sz w:val="18"/>
                <w:szCs w:val="18"/>
              </w:rPr>
              <w:t xml:space="preserve"> (source: Author)</w:t>
            </w:r>
            <w:bookmarkEnd w:id="35"/>
          </w:p>
          <w:p w14:paraId="45CD5AA0" w14:textId="77777777" w:rsidR="00721C5E" w:rsidRPr="00721C5E" w:rsidRDefault="00721C5E" w:rsidP="00721C5E"/>
          <w:p w14:paraId="5CB9B2B9" w14:textId="77777777" w:rsidR="00721C5E" w:rsidRPr="00721C5E" w:rsidRDefault="00721C5E" w:rsidP="00721C5E">
            <w:pPr>
              <w:jc w:val="both"/>
              <w:rPr>
                <w:rFonts w:cstheme="minorHAnsi"/>
                <w:i/>
                <w:iCs/>
                <w:sz w:val="18"/>
                <w:szCs w:val="18"/>
              </w:rPr>
            </w:pPr>
            <w:r w:rsidRPr="00721C5E">
              <w:rPr>
                <w:rFonts w:cstheme="minorHAnsi"/>
                <w:i/>
                <w:iCs/>
                <w:sz w:val="18"/>
                <w:szCs w:val="18"/>
              </w:rPr>
              <w:t>The image illustrates an Attack Cascade in Smart Grid, showing how a cyberattack can propagate from a single point to affect the entire infrastructure.</w:t>
            </w:r>
          </w:p>
          <w:p w14:paraId="5B0A4BF5" w14:textId="77777777" w:rsidR="00721C5E" w:rsidRPr="00721C5E" w:rsidRDefault="00721C5E" w:rsidP="00721C5E">
            <w:pPr>
              <w:jc w:val="both"/>
              <w:rPr>
                <w:rFonts w:cstheme="minorHAnsi"/>
                <w:i/>
                <w:iCs/>
                <w:sz w:val="18"/>
                <w:szCs w:val="18"/>
              </w:rPr>
            </w:pPr>
            <w:r w:rsidRPr="00721C5E">
              <w:rPr>
                <w:rFonts w:cstheme="minorHAnsi"/>
                <w:i/>
                <w:iCs/>
                <w:sz w:val="18"/>
                <w:szCs w:val="18"/>
              </w:rPr>
              <w:t>Stage 1: Smart Meter Compromise - The attack begins by breaching a residential smart meter.</w:t>
            </w:r>
          </w:p>
          <w:p w14:paraId="3510CD4C" w14:textId="77777777" w:rsidR="00721C5E" w:rsidRPr="00721C5E" w:rsidRDefault="00721C5E" w:rsidP="00721C5E">
            <w:pPr>
              <w:jc w:val="both"/>
              <w:rPr>
                <w:rFonts w:cstheme="minorHAnsi"/>
                <w:i/>
                <w:iCs/>
                <w:sz w:val="18"/>
                <w:szCs w:val="18"/>
              </w:rPr>
            </w:pPr>
            <w:r w:rsidRPr="00721C5E">
              <w:rPr>
                <w:rFonts w:cstheme="minorHAnsi"/>
                <w:i/>
                <w:iCs/>
                <w:sz w:val="18"/>
                <w:szCs w:val="18"/>
              </w:rPr>
              <w:t>Stage 2: Pivot to Substation Control System - The breach is used to gain access to a local substation's control system.</w:t>
            </w:r>
          </w:p>
          <w:p w14:paraId="60A0A789" w14:textId="77777777" w:rsidR="00721C5E" w:rsidRPr="00721C5E" w:rsidRDefault="00721C5E" w:rsidP="00721C5E">
            <w:pPr>
              <w:jc w:val="both"/>
              <w:rPr>
                <w:rFonts w:cstheme="minorHAnsi"/>
                <w:i/>
                <w:iCs/>
                <w:sz w:val="18"/>
                <w:szCs w:val="18"/>
              </w:rPr>
            </w:pPr>
            <w:r w:rsidRPr="00721C5E">
              <w:rPr>
                <w:rFonts w:cstheme="minorHAnsi"/>
                <w:i/>
                <w:iCs/>
                <w:sz w:val="18"/>
                <w:szCs w:val="18"/>
              </w:rPr>
              <w:t>Stage 3: Lateral Movement to Control Centre - Attackers move laterally from the substation to the central control center.</w:t>
            </w:r>
          </w:p>
          <w:p w14:paraId="52C91DF0" w14:textId="0E482530" w:rsidR="00877F0A" w:rsidRDefault="00721C5E" w:rsidP="00721C5E">
            <w:pPr>
              <w:jc w:val="both"/>
              <w:rPr>
                <w:rFonts w:cstheme="minorHAnsi"/>
                <w:i/>
                <w:iCs/>
                <w:sz w:val="18"/>
                <w:szCs w:val="18"/>
              </w:rPr>
            </w:pPr>
            <w:r w:rsidRPr="00721C5E">
              <w:rPr>
                <w:rFonts w:cstheme="minorHAnsi"/>
                <w:i/>
                <w:iCs/>
                <w:sz w:val="18"/>
                <w:szCs w:val="18"/>
              </w:rPr>
              <w:t>Stage 4: Grid Instability or Service Disruption - The final stage results in a significant disruption or failure of the power grid.</w:t>
            </w:r>
          </w:p>
          <w:p w14:paraId="7C514B7E" w14:textId="77777777" w:rsidR="00721C5E" w:rsidRPr="00721C5E" w:rsidRDefault="00721C5E" w:rsidP="00721C5E">
            <w:pPr>
              <w:jc w:val="both"/>
              <w:rPr>
                <w:rFonts w:cstheme="minorHAnsi"/>
                <w:i/>
                <w:iCs/>
                <w:sz w:val="18"/>
                <w:szCs w:val="18"/>
              </w:rPr>
            </w:pPr>
          </w:p>
          <w:p w14:paraId="088E73A8" w14:textId="6981032E" w:rsidR="00877F0A" w:rsidRPr="00C462A0" w:rsidRDefault="00877F0A" w:rsidP="00CF35C5">
            <w:pPr>
              <w:pStyle w:val="NormalWeb"/>
              <w:numPr>
                <w:ilvl w:val="0"/>
                <w:numId w:val="316"/>
              </w:numPr>
              <w:spacing w:before="0" w:beforeAutospacing="0" w:after="0" w:afterAutospacing="0"/>
              <w:jc w:val="both"/>
              <w:rPr>
                <w:rFonts w:asciiTheme="minorHAnsi" w:hAnsiTheme="minorHAnsi" w:cstheme="minorHAnsi"/>
                <w:b/>
                <w:bCs/>
                <w:color w:val="009889" w:themeColor="accent2"/>
                <w:sz w:val="20"/>
                <w:szCs w:val="20"/>
                <w:lang w:val="en-GB" w:eastAsia="en-GB"/>
              </w:rPr>
            </w:pPr>
            <w:r w:rsidRPr="00C462A0">
              <w:rPr>
                <w:rFonts w:asciiTheme="minorHAnsi" w:hAnsiTheme="minorHAnsi" w:cstheme="minorHAnsi"/>
                <w:b/>
                <w:bCs/>
                <w:color w:val="009889" w:themeColor="accent2"/>
                <w:sz w:val="20"/>
                <w:szCs w:val="20"/>
                <w:lang w:val="en-GB" w:eastAsia="en-GB"/>
              </w:rPr>
              <w:t>Focused Contribution: Security Implications of Smart Meter Gateways</w:t>
            </w:r>
          </w:p>
          <w:p w14:paraId="5BF7A3FC" w14:textId="77777777" w:rsidR="00877F0A" w:rsidRPr="00C462A0" w:rsidRDefault="00877F0A" w:rsidP="00210B7E">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Smart meter gateways represent a critical security component within smart grid architectures. As defined in the EU regulatory context, they are digital products that control communication between components in smart metering systems and authorised third parties, including utility providers. Functionally, they collect, process, and store meter data—including personal data—while supporting cryptographic operations, such as encryption and decryption, and firewalling capabilities, as well as remote control of connected devices.</w:t>
            </w:r>
          </w:p>
          <w:p w14:paraId="465ADDFA" w14:textId="77777777" w:rsidR="00877F0A" w:rsidRPr="00C462A0" w:rsidRDefault="00877F0A" w:rsidP="00210B7E">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From a cybersecurity perspective, smart meter gateways operate at a highly sensitive convergence point: they bridge household or industrial metering devices, grid operators, and external service providers. This makes them both data-aggregation nodes and communication-control hubs. Compromise of such a gateway may therefore impact:</w:t>
            </w:r>
          </w:p>
          <w:p w14:paraId="27029B16"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b/>
                <w:bCs/>
                <w:sz w:val="20"/>
                <w:szCs w:val="20"/>
                <w:lang w:val="en-GB"/>
              </w:rPr>
              <w:t>Data confidentiality</w:t>
            </w:r>
            <w:r w:rsidRPr="00C462A0">
              <w:rPr>
                <w:rFonts w:asciiTheme="minorHAnsi" w:hAnsiTheme="minorHAnsi" w:cstheme="minorHAnsi"/>
                <w:sz w:val="20"/>
                <w:szCs w:val="20"/>
                <w:lang w:val="en-GB"/>
              </w:rPr>
              <w:t>, by exposing granular consumption patterns that reveal behavioural information.</w:t>
            </w:r>
          </w:p>
          <w:p w14:paraId="2A04579C"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b/>
                <w:bCs/>
                <w:sz w:val="20"/>
                <w:szCs w:val="20"/>
                <w:lang w:val="en-GB"/>
              </w:rPr>
              <w:t>Data integrity</w:t>
            </w:r>
            <w:r w:rsidRPr="00C462A0">
              <w:rPr>
                <w:rFonts w:asciiTheme="minorHAnsi" w:hAnsiTheme="minorHAnsi" w:cstheme="minorHAnsi"/>
                <w:sz w:val="20"/>
                <w:szCs w:val="20"/>
                <w:lang w:val="en-GB"/>
              </w:rPr>
              <w:t>, by altering measurement values used for billing or ESG reporting.</w:t>
            </w:r>
          </w:p>
          <w:p w14:paraId="03A1D37E"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b/>
                <w:bCs/>
                <w:sz w:val="20"/>
                <w:szCs w:val="20"/>
                <w:lang w:val="en-GB"/>
              </w:rPr>
              <w:t>System availability</w:t>
            </w:r>
            <w:r w:rsidRPr="00C462A0">
              <w:rPr>
                <w:rFonts w:asciiTheme="minorHAnsi" w:hAnsiTheme="minorHAnsi" w:cstheme="minorHAnsi"/>
                <w:sz w:val="20"/>
                <w:szCs w:val="20"/>
                <w:lang w:val="en-GB"/>
              </w:rPr>
              <w:t>, by disrupting communication between smart meters and grid operators.</w:t>
            </w:r>
          </w:p>
          <w:p w14:paraId="723B37C0"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b/>
                <w:bCs/>
                <w:sz w:val="20"/>
                <w:szCs w:val="20"/>
                <w:lang w:val="en-GB"/>
              </w:rPr>
              <w:t>Process reliability</w:t>
            </w:r>
            <w:r w:rsidRPr="00C462A0">
              <w:rPr>
                <w:rFonts w:asciiTheme="minorHAnsi" w:hAnsiTheme="minorHAnsi" w:cstheme="minorHAnsi"/>
                <w:sz w:val="20"/>
                <w:szCs w:val="20"/>
                <w:lang w:val="en-GB"/>
              </w:rPr>
              <w:t>, where gateways enable remote control functions or demand-response mechanisms.</w:t>
            </w:r>
          </w:p>
          <w:p w14:paraId="64D6BCAE" w14:textId="77777777" w:rsidR="00877F0A" w:rsidRPr="00C462A0" w:rsidRDefault="00877F0A" w:rsidP="00210B7E">
            <w:pPr>
              <w:pStyle w:val="NormalWeb"/>
              <w:spacing w:before="40" w:beforeAutospacing="0" w:after="40" w:afterAutospacing="0"/>
              <w:ind w:left="720"/>
              <w:jc w:val="both"/>
              <w:rPr>
                <w:rFonts w:asciiTheme="minorHAnsi" w:hAnsiTheme="minorHAnsi" w:cstheme="minorHAnsi"/>
                <w:sz w:val="20"/>
                <w:szCs w:val="20"/>
                <w:lang w:val="en-GB"/>
              </w:rPr>
            </w:pPr>
          </w:p>
          <w:p w14:paraId="1D1149D6" w14:textId="77777777" w:rsidR="00877F0A" w:rsidRPr="00C462A0" w:rsidRDefault="00877F0A" w:rsidP="00210B7E">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In smart grids, gateways are not limited to electricity systems but may also support gas or heat metering infrastructures. This multi-utility integration increases systemic risk, as a single gateway vulnerability could propagate across multiple energy domains.</w:t>
            </w:r>
          </w:p>
          <w:p w14:paraId="3B4A5C6D" w14:textId="77777777" w:rsidR="00877F0A" w:rsidRPr="00C462A0" w:rsidRDefault="00877F0A" w:rsidP="00210B7E">
            <w:pPr>
              <w:pStyle w:val="NormalWeb"/>
              <w:spacing w:before="40" w:beforeAutospacing="0" w:after="40" w:afterAutospacing="0"/>
              <w:jc w:val="both"/>
              <w:rPr>
                <w:rFonts w:asciiTheme="minorHAnsi" w:hAnsiTheme="minorHAnsi" w:cstheme="minorHAnsi"/>
                <w:sz w:val="20"/>
                <w:szCs w:val="20"/>
                <w:lang w:val="en-GB"/>
              </w:rPr>
            </w:pPr>
          </w:p>
          <w:p w14:paraId="2EC89897" w14:textId="77777777" w:rsidR="00877F0A" w:rsidRPr="00C462A0" w:rsidRDefault="00877F0A" w:rsidP="00210B7E">
            <w:pPr>
              <w:pStyle w:val="NormalWeb"/>
              <w:keepNext/>
              <w:spacing w:before="40" w:beforeAutospacing="0" w:after="40" w:afterAutospacing="0"/>
              <w:jc w:val="center"/>
              <w:rPr>
                <w:rFonts w:asciiTheme="minorHAnsi" w:hAnsiTheme="minorHAnsi" w:cstheme="minorHAnsi"/>
                <w:sz w:val="20"/>
                <w:szCs w:val="20"/>
                <w:lang w:val="en-GB"/>
              </w:rPr>
            </w:pPr>
            <w:r w:rsidRPr="00C462A0">
              <w:rPr>
                <w:rFonts w:asciiTheme="minorHAnsi" w:hAnsiTheme="minorHAnsi" w:cstheme="minorHAnsi"/>
                <w:noProof/>
                <w:sz w:val="20"/>
                <w:szCs w:val="20"/>
                <w:lang w:val="en-GB"/>
              </w:rPr>
              <w:drawing>
                <wp:inline distT="0" distB="0" distL="0" distR="0" wp14:anchorId="292A1244" wp14:editId="5DF3750A">
                  <wp:extent cx="5846404" cy="3293533"/>
                  <wp:effectExtent l="0" t="0" r="2540" b="254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64"/>
                          <a:stretch/>
                        </pic:blipFill>
                        <pic:spPr bwMode="auto">
                          <a:xfrm>
                            <a:off x="0" y="0"/>
                            <a:ext cx="5852359" cy="3296887"/>
                          </a:xfrm>
                          <a:prstGeom prst="rect">
                            <a:avLst/>
                          </a:prstGeom>
                          <a:noFill/>
                        </pic:spPr>
                      </pic:pic>
                    </a:graphicData>
                  </a:graphic>
                </wp:inline>
              </w:drawing>
            </w:r>
          </w:p>
          <w:p w14:paraId="6092AE46" w14:textId="66C296F7" w:rsidR="00877F0A" w:rsidRPr="00C462A0" w:rsidRDefault="00877F0A" w:rsidP="00210B7E">
            <w:pPr>
              <w:pStyle w:val="Caption"/>
              <w:jc w:val="center"/>
              <w:rPr>
                <w:rFonts w:cstheme="minorHAnsi"/>
                <w:b w:val="0"/>
                <w:bCs w:val="0"/>
                <w:sz w:val="18"/>
                <w:szCs w:val="18"/>
              </w:rPr>
            </w:pPr>
            <w:bookmarkStart w:id="36" w:name="_Toc227623453"/>
            <w:r w:rsidRPr="00C462A0">
              <w:rPr>
                <w:rFonts w:cstheme="minorHAnsi"/>
                <w:b w:val="0"/>
                <w:bCs w:val="0"/>
                <w:sz w:val="18"/>
                <w:szCs w:val="18"/>
              </w:rPr>
              <w:t xml:space="preserve">Figure </w:t>
            </w:r>
            <w:r w:rsidRPr="00C462A0">
              <w:rPr>
                <w:rFonts w:cstheme="minorHAnsi"/>
                <w:b w:val="0"/>
                <w:bCs w:val="0"/>
                <w:sz w:val="18"/>
                <w:szCs w:val="18"/>
              </w:rPr>
              <w:fldChar w:fldCharType="begin"/>
            </w:r>
            <w:r w:rsidRPr="00C462A0">
              <w:rPr>
                <w:rFonts w:cstheme="minorHAnsi"/>
                <w:b w:val="0"/>
                <w:bCs w:val="0"/>
                <w:sz w:val="18"/>
                <w:szCs w:val="18"/>
              </w:rPr>
              <w:instrText xml:space="preserve"> SEQ Figure \* ARABIC </w:instrText>
            </w:r>
            <w:r w:rsidRPr="00C462A0">
              <w:rPr>
                <w:rFonts w:cstheme="minorHAnsi"/>
                <w:b w:val="0"/>
                <w:bCs w:val="0"/>
                <w:sz w:val="18"/>
                <w:szCs w:val="18"/>
              </w:rPr>
              <w:fldChar w:fldCharType="separate"/>
            </w:r>
            <w:r w:rsidRPr="00C462A0">
              <w:rPr>
                <w:rFonts w:cstheme="minorHAnsi"/>
                <w:b w:val="0"/>
                <w:bCs w:val="0"/>
                <w:sz w:val="18"/>
                <w:szCs w:val="18"/>
              </w:rPr>
              <w:t>16</w:t>
            </w:r>
            <w:r w:rsidRPr="00C462A0">
              <w:rPr>
                <w:rFonts w:cstheme="minorHAnsi"/>
                <w:b w:val="0"/>
                <w:bCs w:val="0"/>
                <w:sz w:val="18"/>
                <w:szCs w:val="18"/>
              </w:rPr>
              <w:fldChar w:fldCharType="end"/>
            </w:r>
            <w:r w:rsidR="00CF35C5" w:rsidRPr="00C462A0">
              <w:rPr>
                <w:rFonts w:cstheme="minorHAnsi"/>
                <w:b w:val="0"/>
                <w:bCs w:val="0"/>
                <w:sz w:val="18"/>
                <w:szCs w:val="18"/>
              </w:rPr>
              <w:t xml:space="preserve">. </w:t>
            </w:r>
            <w:r w:rsidRPr="00C462A0">
              <w:rPr>
                <w:rFonts w:cstheme="minorHAnsi"/>
                <w:b w:val="0"/>
                <w:bCs w:val="0"/>
                <w:sz w:val="18"/>
                <w:szCs w:val="18"/>
              </w:rPr>
              <w:t xml:space="preserve"> Smart meter gateway acting as a secure communication hub between smart metering devices and authorized external systems</w:t>
            </w:r>
            <w:r w:rsidR="00CF35C5" w:rsidRPr="00C462A0">
              <w:rPr>
                <w:rFonts w:cstheme="minorHAnsi"/>
                <w:b w:val="0"/>
                <w:bCs w:val="0"/>
                <w:sz w:val="18"/>
                <w:szCs w:val="18"/>
              </w:rPr>
              <w:t xml:space="preserve"> (source: Author)</w:t>
            </w:r>
            <w:bookmarkEnd w:id="36"/>
          </w:p>
          <w:p w14:paraId="76348FF7" w14:textId="77777777" w:rsidR="00877F0A" w:rsidRPr="00C462A0" w:rsidRDefault="00877F0A" w:rsidP="00210B7E">
            <w:pPr>
              <w:rPr>
                <w:rFonts w:cstheme="minorHAnsi"/>
                <w:szCs w:val="20"/>
              </w:rPr>
            </w:pPr>
          </w:p>
          <w:p w14:paraId="0118E94F" w14:textId="77777777" w:rsidR="00721C5E" w:rsidRDefault="00721C5E" w:rsidP="00210B7E">
            <w:pPr>
              <w:pStyle w:val="NormalWeb"/>
              <w:spacing w:before="40" w:beforeAutospacing="0" w:after="40" w:afterAutospacing="0"/>
              <w:jc w:val="both"/>
              <w:rPr>
                <w:rFonts w:asciiTheme="minorHAnsi" w:hAnsiTheme="minorHAnsi" w:cstheme="minorHAnsi"/>
                <w:sz w:val="20"/>
                <w:szCs w:val="20"/>
                <w:lang w:val="en-GB"/>
              </w:rPr>
            </w:pPr>
          </w:p>
          <w:p w14:paraId="19D01893" w14:textId="0896149B" w:rsidR="00721C5E" w:rsidRPr="00721C5E" w:rsidRDefault="00721C5E" w:rsidP="00721C5E">
            <w:pPr>
              <w:jc w:val="both"/>
              <w:rPr>
                <w:i/>
                <w:iCs/>
                <w:sz w:val="18"/>
                <w:szCs w:val="20"/>
              </w:rPr>
            </w:pPr>
            <w:r>
              <w:rPr>
                <w:i/>
                <w:iCs/>
                <w:sz w:val="18"/>
                <w:szCs w:val="20"/>
              </w:rPr>
              <w:lastRenderedPageBreak/>
              <w:t>The</w:t>
            </w:r>
            <w:r w:rsidRPr="00721C5E">
              <w:rPr>
                <w:i/>
                <w:iCs/>
                <w:sz w:val="18"/>
                <w:szCs w:val="20"/>
              </w:rPr>
              <w:t xml:space="preserve"> diagram</w:t>
            </w:r>
            <w:r>
              <w:rPr>
                <w:i/>
                <w:iCs/>
                <w:sz w:val="18"/>
                <w:szCs w:val="20"/>
              </w:rPr>
              <w:t xml:space="preserve"> above</w:t>
            </w:r>
            <w:r w:rsidRPr="00721C5E">
              <w:rPr>
                <w:i/>
                <w:iCs/>
                <w:sz w:val="18"/>
                <w:szCs w:val="20"/>
              </w:rPr>
              <w:t xml:space="preserve"> illustrates the function of a Smart Meter Gateway, which acts as a secure communication hub between utility meters and authorized third parties.</w:t>
            </w:r>
            <w:r>
              <w:rPr>
                <w:i/>
                <w:iCs/>
                <w:sz w:val="18"/>
                <w:szCs w:val="20"/>
              </w:rPr>
              <w:t xml:space="preserve"> </w:t>
            </w:r>
          </w:p>
          <w:p w14:paraId="5F4B7580" w14:textId="77777777" w:rsidR="00721C5E" w:rsidRPr="00721C5E" w:rsidRDefault="00721C5E" w:rsidP="00721C5E">
            <w:pPr>
              <w:jc w:val="both"/>
              <w:rPr>
                <w:i/>
                <w:iCs/>
                <w:sz w:val="18"/>
                <w:szCs w:val="20"/>
              </w:rPr>
            </w:pPr>
            <w:r w:rsidRPr="00721C5E">
              <w:rPr>
                <w:i/>
                <w:iCs/>
                <w:sz w:val="18"/>
                <w:szCs w:val="20"/>
              </w:rPr>
              <w:t>Smart Metering System: Collects, processes, and stores data from various meters and connected components.</w:t>
            </w:r>
          </w:p>
          <w:p w14:paraId="6CE78EE2" w14:textId="77777777" w:rsidR="00721C5E" w:rsidRPr="00721C5E" w:rsidRDefault="00721C5E" w:rsidP="00721C5E">
            <w:pPr>
              <w:jc w:val="both"/>
              <w:rPr>
                <w:i/>
                <w:iCs/>
                <w:sz w:val="18"/>
                <w:szCs w:val="20"/>
              </w:rPr>
            </w:pPr>
            <w:r w:rsidRPr="00721C5E">
              <w:rPr>
                <w:i/>
                <w:iCs/>
                <w:sz w:val="18"/>
                <w:szCs w:val="20"/>
              </w:rPr>
              <w:t>Gateway Hub: Features built-in security including a firewall, cryptographic functions for encryption/decryption, and device control.</w:t>
            </w:r>
          </w:p>
          <w:p w14:paraId="0A6156B6" w14:textId="77777777" w:rsidR="00721C5E" w:rsidRPr="00721C5E" w:rsidRDefault="00721C5E" w:rsidP="00721C5E">
            <w:pPr>
              <w:jc w:val="both"/>
              <w:rPr>
                <w:i/>
                <w:iCs/>
                <w:sz w:val="18"/>
                <w:szCs w:val="20"/>
              </w:rPr>
            </w:pPr>
            <w:r w:rsidRPr="00721C5E">
              <w:rPr>
                <w:i/>
                <w:iCs/>
                <w:sz w:val="18"/>
                <w:szCs w:val="20"/>
              </w:rPr>
              <w:t>Authorised Third Parties: Securely receives data to communicate with utility providers and other entities.</w:t>
            </w:r>
          </w:p>
          <w:p w14:paraId="2E052EEC" w14:textId="00A120EE" w:rsidR="00721C5E" w:rsidRPr="00721C5E" w:rsidRDefault="00721C5E" w:rsidP="00721C5E">
            <w:pPr>
              <w:jc w:val="both"/>
              <w:rPr>
                <w:i/>
                <w:iCs/>
                <w:sz w:val="18"/>
                <w:szCs w:val="20"/>
              </w:rPr>
            </w:pPr>
            <w:r w:rsidRPr="00721C5E">
              <w:rPr>
                <w:i/>
                <w:iCs/>
                <w:sz w:val="18"/>
                <w:szCs w:val="20"/>
              </w:rPr>
              <w:t>Applications: The system primarily applies to electricity metering, with optional support for gas and heat monitoring</w:t>
            </w:r>
            <w:r>
              <w:rPr>
                <w:i/>
                <w:iCs/>
                <w:sz w:val="18"/>
                <w:szCs w:val="20"/>
              </w:rPr>
              <w:t>.</w:t>
            </w:r>
          </w:p>
          <w:p w14:paraId="1A7BB109" w14:textId="77777777" w:rsidR="00721C5E" w:rsidRDefault="00721C5E" w:rsidP="00721C5E">
            <w:pPr>
              <w:pStyle w:val="NormalWeb"/>
              <w:spacing w:before="40" w:beforeAutospacing="0" w:after="40" w:afterAutospacing="0"/>
              <w:jc w:val="both"/>
              <w:rPr>
                <w:rFonts w:asciiTheme="minorHAnsi" w:hAnsiTheme="minorHAnsi" w:cstheme="minorHAnsi"/>
                <w:sz w:val="20"/>
                <w:szCs w:val="20"/>
                <w:lang w:val="en-GB"/>
              </w:rPr>
            </w:pPr>
          </w:p>
          <w:p w14:paraId="5983DD15" w14:textId="33BB2848" w:rsidR="00877F0A" w:rsidRPr="00C462A0" w:rsidRDefault="00877F0A" w:rsidP="00210B7E">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From an ATT&amp;CK for ICS perspective, smart meter gateways may be targeted through techniques such as Valid Accounts (credential abuse), Exploitation of Remote Services, or Modify Parameter/Modify Control Logic if the gateway supports control functions. Given their cryptographic and firewalling roles, misconfiguration or weak key management may undermine the entire trust model of the metering ecosystem.</w:t>
            </w:r>
          </w:p>
          <w:p w14:paraId="32C54D44" w14:textId="77777777" w:rsidR="00877F0A" w:rsidRPr="00C462A0" w:rsidRDefault="00877F0A" w:rsidP="00210B7E">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For sustainable systems, the risk extends beyond operational disruption. Manipulated smart meter data can distort energy optimisation models, carbon accounting processes, and regulatory compliance reporting. Consequently, smart meter gateways must be analysed not only as communication devices but as security-critical control points within modern smart grids.</w:t>
            </w:r>
          </w:p>
          <w:p w14:paraId="5631ECFD" w14:textId="77777777" w:rsidR="00877F0A" w:rsidRPr="00C462A0" w:rsidRDefault="00877F0A" w:rsidP="00210B7E">
            <w:pPr>
              <w:pStyle w:val="NormalWeb"/>
              <w:spacing w:before="40" w:beforeAutospacing="0" w:after="40" w:afterAutospacing="0"/>
              <w:jc w:val="both"/>
              <w:rPr>
                <w:rFonts w:asciiTheme="minorHAnsi" w:hAnsiTheme="minorHAnsi" w:cstheme="minorHAnsi"/>
                <w:sz w:val="20"/>
                <w:szCs w:val="20"/>
                <w:lang w:val="en-GB"/>
              </w:rPr>
            </w:pPr>
          </w:p>
          <w:p w14:paraId="545D8418" w14:textId="435B94BC" w:rsidR="00877F0A" w:rsidRPr="00C462A0" w:rsidRDefault="00877F0A" w:rsidP="00CF35C5">
            <w:pPr>
              <w:pStyle w:val="NormalWeb"/>
              <w:numPr>
                <w:ilvl w:val="0"/>
                <w:numId w:val="316"/>
              </w:numPr>
              <w:spacing w:before="0" w:beforeAutospacing="0" w:after="0" w:afterAutospacing="0"/>
              <w:jc w:val="both"/>
              <w:rPr>
                <w:rFonts w:asciiTheme="minorHAnsi" w:hAnsiTheme="minorHAnsi" w:cstheme="minorHAnsi"/>
                <w:b/>
                <w:bCs/>
                <w:color w:val="009889" w:themeColor="accent2"/>
                <w:sz w:val="20"/>
                <w:szCs w:val="20"/>
                <w:lang w:val="en-GB" w:eastAsia="en-GB"/>
              </w:rPr>
            </w:pPr>
            <w:r w:rsidRPr="00C462A0">
              <w:rPr>
                <w:rFonts w:asciiTheme="minorHAnsi" w:hAnsiTheme="minorHAnsi" w:cstheme="minorHAnsi"/>
                <w:b/>
                <w:bCs/>
                <w:color w:val="009889" w:themeColor="accent2"/>
                <w:sz w:val="20"/>
                <w:szCs w:val="20"/>
                <w:lang w:val="en-GB" w:eastAsia="en-GB"/>
              </w:rPr>
              <w:t>Risk Dimensions in Smart Grids</w:t>
            </w:r>
          </w:p>
          <w:p w14:paraId="22A172EC" w14:textId="77777777" w:rsidR="00877F0A" w:rsidRPr="00C462A0" w:rsidRDefault="00877F0A" w:rsidP="00210B7E">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Cyber incidents affecting smart grids can lead to:</w:t>
            </w:r>
          </w:p>
          <w:p w14:paraId="26C29849"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Power outages that disrupt critical services.</w:t>
            </w:r>
          </w:p>
          <w:p w14:paraId="1258E61D"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Economic losses at a regional or national level.</w:t>
            </w:r>
          </w:p>
          <w:p w14:paraId="7780A5D9"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Environmental disruption, such as the mismanagement of renewable energy integration.</w:t>
            </w:r>
          </w:p>
          <w:p w14:paraId="1D676255"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Regulatory penalties.</w:t>
            </w:r>
          </w:p>
          <w:p w14:paraId="22340AF5"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Public safety risks.</w:t>
            </w:r>
          </w:p>
          <w:p w14:paraId="419515B2" w14:textId="77777777" w:rsidR="00877F0A" w:rsidRPr="00C462A0" w:rsidRDefault="00877F0A" w:rsidP="00210B7E">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Because smart grids form the backbone of modern economies, cyber risk assessment must consider cascading and systemic effects, not just isolated technical damage.</w:t>
            </w:r>
          </w:p>
          <w:p w14:paraId="0F6E2C74" w14:textId="77777777" w:rsidR="00877F0A" w:rsidRPr="00C462A0" w:rsidRDefault="00877F0A" w:rsidP="00210B7E">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The convergence of IT, OT, and IoT layers, therefore, demands coordinated governance, continuous monitoring, and well-integrated incident response capabilities.</w:t>
            </w:r>
          </w:p>
          <w:p w14:paraId="10AC0901" w14:textId="77777777" w:rsidR="00877F0A" w:rsidRPr="00C462A0" w:rsidRDefault="00877F0A" w:rsidP="00210B7E">
            <w:pPr>
              <w:pStyle w:val="NormalWeb"/>
              <w:spacing w:before="40" w:beforeAutospacing="0" w:after="40" w:afterAutospacing="0"/>
              <w:jc w:val="both"/>
              <w:rPr>
                <w:rFonts w:asciiTheme="minorHAnsi" w:hAnsiTheme="minorHAnsi" w:cstheme="minorHAnsi"/>
                <w:sz w:val="20"/>
                <w:szCs w:val="20"/>
                <w:lang w:val="en-GB"/>
              </w:rPr>
            </w:pPr>
          </w:p>
          <w:p w14:paraId="32E21AF2" w14:textId="77777777" w:rsidR="00877F0A" w:rsidRPr="00C462A0" w:rsidRDefault="00877F0A" w:rsidP="00210B7E">
            <w:pPr>
              <w:pStyle w:val="NoSpacing"/>
              <w:jc w:val="both"/>
              <w:rPr>
                <w:rFonts w:cstheme="minorHAnsi"/>
                <w:b/>
                <w:bCs/>
                <w:color w:val="00AC4E" w:themeColor="accent1"/>
                <w:sz w:val="20"/>
                <w:szCs w:val="20"/>
                <w:u w:val="single"/>
                <w:lang w:val="en-GB"/>
              </w:rPr>
            </w:pPr>
            <w:r w:rsidRPr="00C462A0">
              <w:rPr>
                <w:rFonts w:cstheme="minorHAnsi"/>
                <w:b/>
                <w:bCs/>
                <w:color w:val="00AC4E" w:themeColor="accent1"/>
                <w:sz w:val="20"/>
                <w:szCs w:val="20"/>
                <w:u w:val="single"/>
                <w:lang w:val="en-GB"/>
              </w:rPr>
              <w:t>Micro-Activity:</w:t>
            </w:r>
          </w:p>
          <w:p w14:paraId="27307681" w14:textId="77777777" w:rsidR="00877F0A" w:rsidRPr="00C462A0" w:rsidRDefault="00877F0A" w:rsidP="00210B7E">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Consider a national smart grid integrating renewable generation, AMI, and centralised SCADA control.</w:t>
            </w:r>
          </w:p>
          <w:p w14:paraId="093EFC5F" w14:textId="4266948A" w:rsidR="00877F0A" w:rsidRPr="00C462A0" w:rsidRDefault="00CF35C5" w:rsidP="00210B7E">
            <w:pPr>
              <w:pStyle w:val="NormalWeb"/>
              <w:spacing w:before="40" w:beforeAutospacing="0" w:after="40" w:afterAutospacing="0"/>
              <w:jc w:val="both"/>
              <w:rPr>
                <w:rFonts w:asciiTheme="minorHAnsi" w:hAnsiTheme="minorHAnsi" w:cstheme="minorHAnsi"/>
                <w:b/>
                <w:bCs/>
                <w:sz w:val="20"/>
                <w:szCs w:val="20"/>
                <w:lang w:val="en-GB"/>
              </w:rPr>
            </w:pPr>
            <w:r w:rsidRPr="00C462A0">
              <w:rPr>
                <w:rFonts w:asciiTheme="minorHAnsi" w:hAnsiTheme="minorHAnsi" w:cstheme="minorHAnsi"/>
                <w:b/>
                <w:bCs/>
                <w:sz w:val="20"/>
                <w:szCs w:val="20"/>
                <w:lang w:val="en-GB"/>
              </w:rPr>
              <w:t>Learner t</w:t>
            </w:r>
            <w:r w:rsidR="00877F0A" w:rsidRPr="00C462A0">
              <w:rPr>
                <w:rFonts w:asciiTheme="minorHAnsi" w:hAnsiTheme="minorHAnsi" w:cstheme="minorHAnsi"/>
                <w:b/>
                <w:bCs/>
                <w:sz w:val="20"/>
                <w:szCs w:val="20"/>
                <w:lang w:val="en-GB"/>
              </w:rPr>
              <w:t>ask:</w:t>
            </w:r>
          </w:p>
          <w:p w14:paraId="50648341"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Identify one high-value asset within this ecosystem.</w:t>
            </w:r>
          </w:p>
          <w:p w14:paraId="3B0C3E0A"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Identify one realistic attack vector targeting that asset.</w:t>
            </w:r>
          </w:p>
          <w:p w14:paraId="5FB4CEE9"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Describe a potential cascading impact across the grid.</w:t>
            </w:r>
          </w:p>
          <w:p w14:paraId="3672B336"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Propose one technical and one organisational mitigation strategy.</w:t>
            </w:r>
          </w:p>
          <w:p w14:paraId="6951EE0A" w14:textId="77777777" w:rsidR="00877F0A" w:rsidRPr="00C462A0" w:rsidRDefault="00877F0A" w:rsidP="00210B7E">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Respond in 8–10 structured sentences.</w:t>
            </w:r>
          </w:p>
          <w:p w14:paraId="0725E428" w14:textId="77777777" w:rsidR="00877F0A" w:rsidRPr="00C462A0" w:rsidRDefault="00877F0A" w:rsidP="00210B7E">
            <w:pPr>
              <w:pStyle w:val="NormalWeb"/>
              <w:spacing w:before="40" w:beforeAutospacing="0" w:after="40" w:afterAutospacing="0"/>
              <w:rPr>
                <w:rFonts w:asciiTheme="minorHAnsi" w:hAnsiTheme="minorHAnsi" w:cstheme="minorHAnsi"/>
                <w:sz w:val="20"/>
                <w:szCs w:val="20"/>
                <w:lang w:val="en-GB"/>
              </w:rPr>
            </w:pPr>
          </w:p>
          <w:p w14:paraId="53AE82EF" w14:textId="77777777" w:rsidR="00877F0A" w:rsidRPr="00C462A0" w:rsidRDefault="00877F0A" w:rsidP="00210B7E">
            <w:pPr>
              <w:pStyle w:val="NormalWeb"/>
              <w:spacing w:before="0" w:beforeAutospacing="0" w:after="0" w:afterAutospacing="0"/>
              <w:jc w:val="both"/>
              <w:rPr>
                <w:rFonts w:asciiTheme="minorHAnsi" w:hAnsiTheme="minorHAnsi" w:cstheme="minorHAnsi"/>
                <w:b/>
                <w:color w:val="00AC4E" w:themeColor="accent1"/>
                <w:sz w:val="20"/>
                <w:szCs w:val="20"/>
                <w:lang w:val="en-GB"/>
              </w:rPr>
            </w:pPr>
            <w:r w:rsidRPr="00C462A0">
              <w:rPr>
                <w:rFonts w:asciiTheme="minorHAnsi" w:hAnsiTheme="minorHAnsi" w:cstheme="minorHAnsi"/>
                <w:b/>
                <w:color w:val="00AC4E" w:themeColor="accent1"/>
                <w:sz w:val="20"/>
                <w:szCs w:val="20"/>
                <w:lang w:val="en-GB"/>
              </w:rPr>
              <w:lastRenderedPageBreak/>
              <w:t>Additional Reading:</w:t>
            </w:r>
          </w:p>
          <w:p w14:paraId="68E1F1B3" w14:textId="626E0AA4" w:rsidR="00877F0A" w:rsidRPr="00C462A0" w:rsidRDefault="00877F0A" w:rsidP="00877F0A">
            <w:pPr>
              <w:pStyle w:val="ListParagraph"/>
              <w:numPr>
                <w:ilvl w:val="0"/>
                <w:numId w:val="274"/>
              </w:numPr>
              <w:rPr>
                <w:rFonts w:cstheme="minorHAnsi"/>
                <w:color w:val="00AC4E" w:themeColor="accent1"/>
                <w:szCs w:val="20"/>
              </w:rPr>
            </w:pPr>
            <w:hyperlink r:id="rId65" w:history="1">
              <w:r w:rsidRPr="00C462A0">
                <w:rPr>
                  <w:rStyle w:val="Hyperlink"/>
                  <w:rFonts w:cstheme="minorHAnsi"/>
                  <w:color w:val="00AC4E" w:themeColor="accent1"/>
                  <w:szCs w:val="20"/>
                </w:rPr>
                <w:t>CEN/CLC/ETSI/TR 50572 Functional reference architecture for communications in smart metering systems</w:t>
              </w:r>
            </w:hyperlink>
          </w:p>
          <w:p w14:paraId="3F0248ED" w14:textId="223AE1A5" w:rsidR="00877F0A" w:rsidRPr="00C462A0" w:rsidRDefault="00877F0A" w:rsidP="00877F0A">
            <w:pPr>
              <w:pStyle w:val="ListParagraph"/>
              <w:numPr>
                <w:ilvl w:val="0"/>
                <w:numId w:val="274"/>
              </w:numPr>
              <w:rPr>
                <w:rFonts w:cstheme="minorHAnsi"/>
                <w:szCs w:val="20"/>
              </w:rPr>
            </w:pPr>
            <w:hyperlink r:id="rId66" w:history="1">
              <w:r w:rsidRPr="00C462A0">
                <w:rPr>
                  <w:rStyle w:val="Hyperlink"/>
                  <w:rFonts w:eastAsia="Times New Roman" w:cstheme="minorHAnsi"/>
                  <w:color w:val="00AC4E" w:themeColor="accent1"/>
                  <w:szCs w:val="20"/>
                </w:rPr>
                <w:t xml:space="preserve">ENISA (Latest Edition). </w:t>
              </w:r>
              <w:r w:rsidRPr="00C462A0">
                <w:rPr>
                  <w:rStyle w:val="Hyperlink"/>
                  <w:rFonts w:eastAsia="Times New Roman" w:cstheme="minorHAnsi"/>
                  <w:i/>
                  <w:iCs/>
                  <w:color w:val="00AC4E" w:themeColor="accent1"/>
                  <w:szCs w:val="20"/>
                </w:rPr>
                <w:t>Cybersecurity in the Smart Grid – Good Practices</w:t>
              </w:r>
            </w:hyperlink>
            <w:r w:rsidRPr="00C462A0">
              <w:rPr>
                <w:rFonts w:eastAsia="Times New Roman" w:cstheme="minorHAnsi"/>
                <w:szCs w:val="20"/>
              </w:rPr>
              <w:br/>
              <w:t xml:space="preserve">Offers structured guidance on risk assessment, secure communication architectures, and protection of smart metering infrastructures within European smart grids, </w:t>
            </w:r>
            <w:hyperlink r:id="rId67" w:tooltip="https://www.enisa.europa.eu/publications/smart-grid-threat-landscape-and-good-practice-guide" w:history="1"/>
            <w:r w:rsidR="00CF35C5" w:rsidRPr="00C462A0">
              <w:rPr>
                <w:rFonts w:cstheme="minorHAnsi"/>
                <w:szCs w:val="20"/>
              </w:rPr>
              <w:t xml:space="preserve"> </w:t>
            </w:r>
            <w:r w:rsidRPr="00C462A0">
              <w:rPr>
                <w:rFonts w:eastAsia="Times New Roman" w:cstheme="minorHAnsi"/>
                <w:szCs w:val="20"/>
              </w:rPr>
              <w:t xml:space="preserve"> </w:t>
            </w:r>
          </w:p>
          <w:p w14:paraId="55B49153" w14:textId="474B6AE6" w:rsidR="00877F0A" w:rsidRPr="00C462A0" w:rsidRDefault="00877F0A" w:rsidP="00877F0A">
            <w:pPr>
              <w:numPr>
                <w:ilvl w:val="0"/>
                <w:numId w:val="274"/>
              </w:numPr>
              <w:spacing w:before="100" w:beforeAutospacing="1" w:after="100" w:afterAutospacing="1"/>
              <w:rPr>
                <w:rFonts w:eastAsia="Times New Roman" w:cstheme="minorHAnsi"/>
                <w:szCs w:val="20"/>
              </w:rPr>
            </w:pPr>
            <w:hyperlink r:id="rId68" w:history="1">
              <w:r w:rsidRPr="00C462A0">
                <w:rPr>
                  <w:rStyle w:val="Hyperlink"/>
                  <w:rFonts w:eastAsia="Times New Roman" w:cstheme="minorHAnsi"/>
                  <w:color w:val="00AC4E" w:themeColor="accent1"/>
                  <w:szCs w:val="20"/>
                </w:rPr>
                <w:t xml:space="preserve">CISA. </w:t>
              </w:r>
              <w:r w:rsidRPr="00C462A0">
                <w:rPr>
                  <w:rStyle w:val="Hyperlink"/>
                  <w:rFonts w:eastAsia="Times New Roman" w:cstheme="minorHAnsi"/>
                  <w:i/>
                  <w:iCs/>
                  <w:color w:val="00AC4E" w:themeColor="accent1"/>
                  <w:szCs w:val="20"/>
                </w:rPr>
                <w:t>Recommended Practice: Improving Industrial Control Systems Cybersecurity with Defense-in-Depth Strategies</w:t>
              </w:r>
            </w:hyperlink>
            <w:r w:rsidRPr="00C462A0">
              <w:rPr>
                <w:rFonts w:eastAsia="Times New Roman" w:cstheme="minorHAnsi"/>
                <w:szCs w:val="20"/>
              </w:rPr>
              <w:br/>
              <w:t>Relevant for understanding segmentation, remote access protection, and layered security controls applicable to smart meter gateways as boundary devices between IT and OT</w:t>
            </w:r>
            <w:r w:rsidR="00CF35C5" w:rsidRPr="00C462A0">
              <w:rPr>
                <w:rFonts w:eastAsia="Times New Roman" w:cstheme="minorHAnsi"/>
                <w:szCs w:val="20"/>
              </w:rPr>
              <w:t xml:space="preserve"> </w:t>
            </w:r>
            <w:r w:rsidRPr="00C462A0">
              <w:rPr>
                <w:rFonts w:eastAsia="Times New Roman" w:cstheme="minorHAnsi"/>
                <w:szCs w:val="20"/>
              </w:rPr>
              <w:t xml:space="preserve"> </w:t>
            </w:r>
          </w:p>
          <w:p w14:paraId="0B380635" w14:textId="3C1456E3" w:rsidR="00877F0A" w:rsidRPr="00C462A0" w:rsidRDefault="00877F0A" w:rsidP="00877F0A">
            <w:pPr>
              <w:numPr>
                <w:ilvl w:val="0"/>
                <w:numId w:val="274"/>
              </w:numPr>
              <w:spacing w:before="100" w:beforeAutospacing="1" w:after="100" w:afterAutospacing="1"/>
              <w:rPr>
                <w:rFonts w:eastAsia="Times New Roman" w:cstheme="minorHAnsi"/>
                <w:szCs w:val="20"/>
              </w:rPr>
            </w:pPr>
            <w:hyperlink r:id="rId69" w:history="1">
              <w:r w:rsidRPr="00C462A0">
                <w:rPr>
                  <w:rStyle w:val="Hyperlink"/>
                  <w:rFonts w:eastAsia="Times New Roman" w:cstheme="minorHAnsi"/>
                  <w:color w:val="00AC4E" w:themeColor="accent1"/>
                  <w:szCs w:val="20"/>
                </w:rPr>
                <w:t>MITRE ATT&amp;CK for ICS – ICS Matrix (Field Device &amp; Gateway Techniques)</w:t>
              </w:r>
            </w:hyperlink>
            <w:r w:rsidRPr="00C462A0">
              <w:rPr>
                <w:rFonts w:eastAsia="Times New Roman" w:cstheme="minorHAnsi"/>
                <w:color w:val="00AC4E" w:themeColor="accent1"/>
                <w:szCs w:val="20"/>
              </w:rPr>
              <w:br/>
            </w:r>
            <w:r w:rsidRPr="00C462A0">
              <w:rPr>
                <w:rFonts w:eastAsia="Times New Roman" w:cstheme="minorHAnsi"/>
                <w:szCs w:val="20"/>
              </w:rPr>
              <w:t>Useful for mapping techniques such as:</w:t>
            </w:r>
          </w:p>
          <w:p w14:paraId="7F52C5B0" w14:textId="77777777" w:rsidR="00877F0A" w:rsidRPr="00C462A0" w:rsidRDefault="00877F0A" w:rsidP="00877F0A">
            <w:pPr>
              <w:numPr>
                <w:ilvl w:val="1"/>
                <w:numId w:val="274"/>
              </w:numPr>
              <w:spacing w:before="100" w:beforeAutospacing="1" w:after="100" w:afterAutospacing="1"/>
              <w:rPr>
                <w:rFonts w:eastAsia="Times New Roman" w:cstheme="minorHAnsi"/>
                <w:szCs w:val="20"/>
              </w:rPr>
            </w:pPr>
            <w:r w:rsidRPr="00C462A0">
              <w:rPr>
                <w:rFonts w:eastAsia="Times New Roman" w:cstheme="minorHAnsi"/>
                <w:szCs w:val="20"/>
              </w:rPr>
              <w:t>Valid Accounts (T0859)</w:t>
            </w:r>
          </w:p>
          <w:p w14:paraId="2576F81C" w14:textId="77777777" w:rsidR="00877F0A" w:rsidRPr="00C462A0" w:rsidRDefault="00877F0A" w:rsidP="00877F0A">
            <w:pPr>
              <w:numPr>
                <w:ilvl w:val="1"/>
                <w:numId w:val="274"/>
              </w:numPr>
              <w:spacing w:before="100" w:beforeAutospacing="1" w:after="100" w:afterAutospacing="1"/>
              <w:rPr>
                <w:rFonts w:eastAsia="Times New Roman" w:cstheme="minorHAnsi"/>
                <w:szCs w:val="20"/>
              </w:rPr>
            </w:pPr>
            <w:r w:rsidRPr="00C462A0">
              <w:rPr>
                <w:rFonts w:eastAsia="Times New Roman" w:cstheme="minorHAnsi"/>
                <w:szCs w:val="20"/>
              </w:rPr>
              <w:t>Exploitation of Remote Services (T0866)</w:t>
            </w:r>
          </w:p>
          <w:p w14:paraId="601917B9" w14:textId="77777777" w:rsidR="00877F0A" w:rsidRPr="00C462A0" w:rsidRDefault="00877F0A" w:rsidP="00877F0A">
            <w:pPr>
              <w:numPr>
                <w:ilvl w:val="1"/>
                <w:numId w:val="274"/>
              </w:numPr>
              <w:spacing w:before="100" w:beforeAutospacing="1" w:after="100" w:afterAutospacing="1"/>
              <w:rPr>
                <w:rFonts w:eastAsia="Times New Roman" w:cstheme="minorHAnsi"/>
                <w:szCs w:val="20"/>
              </w:rPr>
            </w:pPr>
            <w:r w:rsidRPr="00C462A0">
              <w:rPr>
                <w:rFonts w:eastAsia="Times New Roman" w:cstheme="minorHAnsi"/>
                <w:szCs w:val="20"/>
              </w:rPr>
              <w:t>Modify Parameter (T0842)</w:t>
            </w:r>
          </w:p>
          <w:p w14:paraId="3DAFEDF9" w14:textId="77777777" w:rsidR="00877F0A" w:rsidRPr="00C462A0" w:rsidRDefault="00877F0A" w:rsidP="00877F0A">
            <w:pPr>
              <w:numPr>
                <w:ilvl w:val="1"/>
                <w:numId w:val="274"/>
              </w:numPr>
              <w:rPr>
                <w:rFonts w:eastAsia="Times New Roman" w:cstheme="minorHAnsi"/>
                <w:szCs w:val="20"/>
              </w:rPr>
            </w:pPr>
            <w:r w:rsidRPr="00C462A0">
              <w:rPr>
                <w:rFonts w:eastAsia="Times New Roman" w:cstheme="minorHAnsi"/>
                <w:szCs w:val="20"/>
              </w:rPr>
              <w:t>Modify Control Logic (T0855)</w:t>
            </w:r>
            <w:r w:rsidRPr="00C462A0">
              <w:rPr>
                <w:rFonts w:eastAsia="Times New Roman" w:cstheme="minorHAnsi"/>
                <w:szCs w:val="20"/>
              </w:rPr>
              <w:br/>
              <w:t>These techniques are particularly relevant where gateways support remote control or configuration updates.</w:t>
            </w:r>
          </w:p>
          <w:p w14:paraId="1062E669" w14:textId="25948588" w:rsidR="00877F0A" w:rsidRPr="00C462A0" w:rsidRDefault="00877F0A" w:rsidP="00877F0A">
            <w:pPr>
              <w:numPr>
                <w:ilvl w:val="0"/>
                <w:numId w:val="274"/>
              </w:numPr>
              <w:rPr>
                <w:rFonts w:eastAsia="Times New Roman" w:cstheme="minorHAnsi"/>
                <w:szCs w:val="20"/>
              </w:rPr>
            </w:pPr>
            <w:hyperlink r:id="rId70" w:history="1">
              <w:r w:rsidRPr="00C462A0">
                <w:rPr>
                  <w:rStyle w:val="Hyperlink"/>
                  <w:rFonts w:eastAsia="Times New Roman" w:cstheme="minorHAnsi"/>
                  <w:color w:val="00AC4E" w:themeColor="accent1"/>
                  <w:szCs w:val="20"/>
                </w:rPr>
                <w:t>IEC 62443 Series – Security for Industrial Automation and Control Systems</w:t>
              </w:r>
            </w:hyperlink>
            <w:r w:rsidRPr="00C462A0">
              <w:rPr>
                <w:rFonts w:eastAsia="Times New Roman" w:cstheme="minorHAnsi"/>
                <w:szCs w:val="20"/>
              </w:rPr>
              <w:br/>
              <w:t xml:space="preserve">Provides internationally recognised requirements for secure development, deployment, and lifecycle management of control components, including communication gateways within smart grids </w:t>
            </w:r>
          </w:p>
          <w:p w14:paraId="269BA321" w14:textId="26DE1898" w:rsidR="00877F0A" w:rsidRPr="00C462A0" w:rsidRDefault="00877F0A" w:rsidP="00CF35C5">
            <w:pPr>
              <w:numPr>
                <w:ilvl w:val="0"/>
                <w:numId w:val="274"/>
              </w:numPr>
              <w:spacing w:before="100" w:beforeAutospacing="1" w:after="100" w:afterAutospacing="1"/>
              <w:rPr>
                <w:rFonts w:eastAsia="Times New Roman" w:cstheme="minorHAnsi"/>
                <w:szCs w:val="20"/>
              </w:rPr>
            </w:pPr>
            <w:hyperlink r:id="rId71" w:history="1">
              <w:r w:rsidRPr="00C462A0">
                <w:rPr>
                  <w:rStyle w:val="Hyperlink"/>
                  <w:rFonts w:eastAsia="Times New Roman" w:cstheme="minorHAnsi"/>
                  <w:color w:val="00AC4E" w:themeColor="accent1"/>
                  <w:szCs w:val="20"/>
                </w:rPr>
                <w:t>NISTIR 7628 – Guidelines for Smart Grid Cybersecurity</w:t>
              </w:r>
            </w:hyperlink>
            <w:r w:rsidRPr="00C462A0">
              <w:rPr>
                <w:rFonts w:eastAsia="Times New Roman" w:cstheme="minorHAnsi"/>
                <w:szCs w:val="20"/>
              </w:rPr>
              <w:br/>
              <w:t xml:space="preserve">A comprehensive reference on smart grid architecture, privacy considerations, cryptographic protection, and secure interoperability across metering infrastructures, </w:t>
            </w:r>
            <w:hyperlink r:id="rId72" w:tooltip="https://csrc.nist.gov/pubs/ir/7628/r1/final" w:history="1"/>
            <w:r w:rsidR="00CF35C5" w:rsidRPr="00C462A0">
              <w:rPr>
                <w:rFonts w:cstheme="minorHAnsi"/>
                <w:szCs w:val="20"/>
              </w:rPr>
              <w:t xml:space="preserve"> </w:t>
            </w:r>
            <w:r w:rsidRPr="00C462A0">
              <w:rPr>
                <w:rFonts w:eastAsia="Times New Roman" w:cstheme="minorHAnsi"/>
                <w:szCs w:val="20"/>
              </w:rPr>
              <w:t xml:space="preserve"> </w:t>
            </w:r>
          </w:p>
          <w:p w14:paraId="3BCDE335" w14:textId="0F93877A" w:rsidR="00877F0A" w:rsidRPr="00C462A0" w:rsidRDefault="00877F0A" w:rsidP="00210B7E">
            <w:pPr>
              <w:pStyle w:val="NormalWeb"/>
              <w:spacing w:before="0" w:beforeAutospacing="0" w:after="0" w:afterAutospacing="0"/>
              <w:jc w:val="both"/>
              <w:rPr>
                <w:rFonts w:asciiTheme="minorHAnsi" w:hAnsiTheme="minorHAnsi" w:cstheme="minorHAnsi"/>
                <w:b/>
                <w:color w:val="00AC4E" w:themeColor="accent1"/>
                <w:sz w:val="20"/>
                <w:szCs w:val="20"/>
                <w:lang w:val="en-GB"/>
              </w:rPr>
            </w:pPr>
            <w:r w:rsidRPr="00C462A0">
              <w:rPr>
                <w:rFonts w:asciiTheme="minorHAnsi" w:hAnsiTheme="minorHAnsi" w:cstheme="minorHAnsi"/>
                <w:b/>
                <w:color w:val="00AC4E" w:themeColor="accent1"/>
                <w:sz w:val="20"/>
                <w:szCs w:val="20"/>
                <w:lang w:val="en-GB"/>
              </w:rPr>
              <w:t>Key Takeaways</w:t>
            </w:r>
            <w:r w:rsidR="00CF35C5" w:rsidRPr="00C462A0">
              <w:rPr>
                <w:rFonts w:asciiTheme="minorHAnsi" w:hAnsiTheme="minorHAnsi" w:cstheme="minorHAnsi"/>
                <w:b/>
                <w:color w:val="00AC4E" w:themeColor="accent1"/>
                <w:sz w:val="20"/>
                <w:szCs w:val="20"/>
                <w:lang w:val="en-GB"/>
              </w:rPr>
              <w:t>:</w:t>
            </w:r>
          </w:p>
          <w:p w14:paraId="64924743"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Smart grids integrate IT, OT, and IoT components, increasing complexity and exposure.</w:t>
            </w:r>
          </w:p>
          <w:p w14:paraId="5AC4BB77"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Critical infrastructure status makes smart grids high-value targets.</w:t>
            </w:r>
          </w:p>
          <w:p w14:paraId="4858B42C"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Common attack vectors include AMI compromise, SCADA exploitation, ransomware, and supply chain attacks.</w:t>
            </w:r>
          </w:p>
          <w:p w14:paraId="0E04E410"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Cyber incidents may generate cascading operational and societal impacts.</w:t>
            </w:r>
          </w:p>
          <w:p w14:paraId="6CADF8C0"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Risk assessment must consider systemic and national-level consequences.</w:t>
            </w:r>
          </w:p>
          <w:p w14:paraId="692CCDC4" w14:textId="77777777" w:rsidR="00877F0A" w:rsidRPr="00C462A0" w:rsidRDefault="00877F0A" w:rsidP="00877F0A">
            <w:pPr>
              <w:pStyle w:val="NormalWeb"/>
              <w:numPr>
                <w:ilvl w:val="0"/>
                <w:numId w:val="274"/>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Critical components such as SM and SMGWs</w:t>
            </w:r>
          </w:p>
          <w:p w14:paraId="76DEC752" w14:textId="77777777" w:rsidR="00877F0A" w:rsidRPr="00C462A0" w:rsidRDefault="00877F0A" w:rsidP="00210B7E">
            <w:pPr>
              <w:pStyle w:val="NormalWeb"/>
              <w:spacing w:before="40" w:beforeAutospacing="0" w:after="40" w:afterAutospacing="0"/>
              <w:rPr>
                <w:rFonts w:asciiTheme="minorHAnsi" w:hAnsiTheme="minorHAnsi" w:cstheme="minorHAnsi"/>
                <w:sz w:val="20"/>
                <w:szCs w:val="20"/>
                <w:lang w:val="en-GB"/>
              </w:rPr>
            </w:pPr>
          </w:p>
          <w:p w14:paraId="5B917CF0" w14:textId="77777777" w:rsidR="00877F0A" w:rsidRPr="00C462A0" w:rsidRDefault="00877F0A" w:rsidP="00210B7E">
            <w:pPr>
              <w:pStyle w:val="NormalWeb"/>
              <w:spacing w:before="0" w:beforeAutospacing="0" w:after="0" w:afterAutospacing="0"/>
              <w:jc w:val="both"/>
              <w:rPr>
                <w:rFonts w:asciiTheme="minorHAnsi" w:hAnsiTheme="minorHAnsi" w:cstheme="minorHAnsi"/>
                <w:b/>
                <w:color w:val="00AC4E" w:themeColor="accent1"/>
                <w:sz w:val="20"/>
                <w:szCs w:val="20"/>
                <w:lang w:val="en-GB"/>
              </w:rPr>
            </w:pPr>
            <w:r w:rsidRPr="00C462A0">
              <w:rPr>
                <w:rFonts w:asciiTheme="minorHAnsi" w:hAnsiTheme="minorHAnsi" w:cstheme="minorHAnsi"/>
                <w:b/>
                <w:color w:val="00AC4E" w:themeColor="accent1"/>
                <w:sz w:val="20"/>
                <w:szCs w:val="20"/>
                <w:lang w:val="en-GB"/>
              </w:rPr>
              <w:t>Quick check:</w:t>
            </w:r>
          </w:p>
          <w:p w14:paraId="0F5F0725" w14:textId="01D0ECC3" w:rsidR="00877F0A" w:rsidRPr="00C462A0" w:rsidRDefault="00877F0A" w:rsidP="00C462A0">
            <w:pPr>
              <w:pStyle w:val="NormalWeb"/>
              <w:numPr>
                <w:ilvl w:val="0"/>
                <w:numId w:val="304"/>
              </w:numPr>
              <w:spacing w:before="40" w:beforeAutospacing="0" w:after="40" w:afterAutospacing="0"/>
              <w:ind w:left="360"/>
              <w:jc w:val="both"/>
              <w:rPr>
                <w:rFonts w:asciiTheme="minorHAnsi" w:hAnsiTheme="minorHAnsi" w:cstheme="minorHAnsi"/>
                <w:b/>
                <w:bCs/>
                <w:color w:val="009889" w:themeColor="accent2"/>
                <w:sz w:val="20"/>
                <w:szCs w:val="20"/>
                <w:lang w:val="en-GB"/>
              </w:rPr>
            </w:pPr>
            <w:r w:rsidRPr="00C462A0">
              <w:rPr>
                <w:rFonts w:asciiTheme="minorHAnsi" w:hAnsiTheme="minorHAnsi" w:cstheme="minorHAnsi"/>
                <w:color w:val="009889" w:themeColor="accent2"/>
                <w:sz w:val="20"/>
                <w:szCs w:val="20"/>
                <w:lang w:val="en-GB"/>
              </w:rPr>
              <w:t>True or False:</w:t>
            </w:r>
            <w:r w:rsidR="00CF35C5" w:rsidRPr="00C462A0">
              <w:rPr>
                <w:rFonts w:asciiTheme="minorHAnsi" w:hAnsiTheme="minorHAnsi" w:cstheme="minorHAnsi"/>
                <w:color w:val="009889" w:themeColor="accent2"/>
                <w:sz w:val="20"/>
                <w:szCs w:val="20"/>
                <w:lang w:val="en-GB"/>
              </w:rPr>
              <w:t xml:space="preserve"> </w:t>
            </w:r>
            <w:r w:rsidRPr="00C462A0">
              <w:rPr>
                <w:rFonts w:asciiTheme="minorHAnsi" w:hAnsiTheme="minorHAnsi" w:cstheme="minorHAnsi"/>
                <w:color w:val="009889" w:themeColor="accent2"/>
                <w:sz w:val="20"/>
                <w:szCs w:val="20"/>
                <w:lang w:val="en-GB"/>
              </w:rPr>
              <w:t>Because smart grids distribute energy generation across multiple renewable sources, cyber-attacks on individual components cannot significantly affect overall grid stability</w:t>
            </w:r>
            <w:r w:rsidR="00CF35C5" w:rsidRPr="00C462A0">
              <w:rPr>
                <w:rFonts w:asciiTheme="minorHAnsi" w:hAnsiTheme="minorHAnsi" w:cstheme="minorHAnsi"/>
                <w:color w:val="009889" w:themeColor="accent2"/>
                <w:sz w:val="20"/>
                <w:szCs w:val="20"/>
                <w:lang w:val="en-GB"/>
              </w:rPr>
              <w:t>.</w:t>
            </w:r>
          </w:p>
          <w:p w14:paraId="503E51B2" w14:textId="77777777" w:rsidR="00CF35C5" w:rsidRPr="00C462A0" w:rsidRDefault="00CF35C5" w:rsidP="00C462A0">
            <w:pPr>
              <w:pStyle w:val="NormalWeb"/>
              <w:spacing w:before="40" w:beforeAutospacing="0" w:after="40" w:afterAutospacing="0"/>
              <w:ind w:left="360"/>
              <w:jc w:val="both"/>
              <w:rPr>
                <w:rFonts w:asciiTheme="minorHAnsi" w:hAnsiTheme="minorHAnsi" w:cstheme="minorHAnsi"/>
                <w:b/>
                <w:bCs/>
                <w:color w:val="009889" w:themeColor="accent2"/>
                <w:sz w:val="20"/>
                <w:szCs w:val="20"/>
                <w:lang w:val="en-GB"/>
              </w:rPr>
            </w:pPr>
          </w:p>
          <w:p w14:paraId="1AD176C4" w14:textId="7F85C604" w:rsidR="00877F0A" w:rsidRPr="00C462A0" w:rsidRDefault="00877F0A" w:rsidP="00C462A0">
            <w:pPr>
              <w:pStyle w:val="NormalWeb"/>
              <w:numPr>
                <w:ilvl w:val="0"/>
                <w:numId w:val="304"/>
              </w:numPr>
              <w:spacing w:before="40" w:beforeAutospacing="0" w:after="40" w:afterAutospacing="0"/>
              <w:ind w:left="360"/>
              <w:jc w:val="both"/>
              <w:rPr>
                <w:rFonts w:asciiTheme="minorHAnsi" w:hAnsiTheme="minorHAnsi" w:cstheme="minorHAnsi"/>
                <w:color w:val="009889" w:themeColor="accent2"/>
                <w:sz w:val="20"/>
                <w:szCs w:val="20"/>
                <w:lang w:val="en-GB"/>
              </w:rPr>
            </w:pPr>
            <w:r w:rsidRPr="00C462A0">
              <w:rPr>
                <w:rFonts w:asciiTheme="minorHAnsi" w:hAnsiTheme="minorHAnsi" w:cstheme="minorHAnsi"/>
                <w:color w:val="009889" w:themeColor="accent2"/>
                <w:sz w:val="20"/>
                <w:szCs w:val="20"/>
                <w:lang w:val="en-GB"/>
              </w:rPr>
              <w:t xml:space="preserve">An attacker compromises thousands of smart meters and manipulates demand data to create artificial load imbalances. Which impact dimension is most directly affected? </w:t>
            </w:r>
          </w:p>
          <w:p w14:paraId="70C609B4" w14:textId="77777777" w:rsidR="00877F0A" w:rsidRPr="00C462A0" w:rsidRDefault="00877F0A" w:rsidP="00CF35C5">
            <w:pPr>
              <w:pStyle w:val="NormalWeb"/>
              <w:numPr>
                <w:ilvl w:val="1"/>
                <w:numId w:val="275"/>
              </w:numPr>
              <w:spacing w:before="40" w:beforeAutospacing="0" w:after="40" w:afterAutospacing="0"/>
              <w:rPr>
                <w:rFonts w:asciiTheme="minorHAnsi" w:hAnsiTheme="minorHAnsi" w:cstheme="minorHAnsi"/>
                <w:sz w:val="20"/>
                <w:szCs w:val="20"/>
                <w:lang w:val="en-GB"/>
              </w:rPr>
            </w:pPr>
            <w:r w:rsidRPr="00C462A0">
              <w:rPr>
                <w:rFonts w:asciiTheme="minorHAnsi" w:hAnsiTheme="minorHAnsi" w:cstheme="minorHAnsi"/>
                <w:sz w:val="20"/>
                <w:szCs w:val="20"/>
                <w:lang w:val="en-GB"/>
              </w:rPr>
              <w:t>Only confidentiality of billing data</w:t>
            </w:r>
          </w:p>
          <w:p w14:paraId="786F29AF" w14:textId="77777777" w:rsidR="00877F0A" w:rsidRPr="00C462A0" w:rsidRDefault="00877F0A" w:rsidP="00CF35C5">
            <w:pPr>
              <w:pStyle w:val="NormalWeb"/>
              <w:numPr>
                <w:ilvl w:val="1"/>
                <w:numId w:val="275"/>
              </w:numPr>
              <w:spacing w:before="40" w:beforeAutospacing="0" w:after="40" w:afterAutospacing="0"/>
              <w:rPr>
                <w:rFonts w:asciiTheme="minorHAnsi" w:hAnsiTheme="minorHAnsi" w:cstheme="minorHAnsi"/>
                <w:sz w:val="20"/>
                <w:szCs w:val="20"/>
                <w:lang w:val="en-GB"/>
              </w:rPr>
            </w:pPr>
            <w:r w:rsidRPr="00C462A0">
              <w:rPr>
                <w:rFonts w:asciiTheme="minorHAnsi" w:hAnsiTheme="minorHAnsi" w:cstheme="minorHAnsi"/>
                <w:sz w:val="20"/>
                <w:szCs w:val="20"/>
                <w:lang w:val="en-GB"/>
              </w:rPr>
              <w:t>Operational stability and load balancing</w:t>
            </w:r>
          </w:p>
          <w:p w14:paraId="5B9F22F9" w14:textId="77777777" w:rsidR="00877F0A" w:rsidRPr="00C462A0" w:rsidRDefault="00877F0A" w:rsidP="00CF35C5">
            <w:pPr>
              <w:pStyle w:val="NormalWeb"/>
              <w:numPr>
                <w:ilvl w:val="1"/>
                <w:numId w:val="275"/>
              </w:numPr>
              <w:spacing w:before="40" w:beforeAutospacing="0" w:after="40" w:afterAutospacing="0"/>
              <w:rPr>
                <w:rFonts w:asciiTheme="minorHAnsi" w:hAnsiTheme="minorHAnsi" w:cstheme="minorHAnsi"/>
                <w:sz w:val="20"/>
                <w:szCs w:val="20"/>
                <w:lang w:val="en-GB"/>
              </w:rPr>
            </w:pPr>
            <w:r w:rsidRPr="00C462A0">
              <w:rPr>
                <w:rFonts w:asciiTheme="minorHAnsi" w:hAnsiTheme="minorHAnsi" w:cstheme="minorHAnsi"/>
                <w:sz w:val="20"/>
                <w:szCs w:val="20"/>
                <w:lang w:val="en-GB"/>
              </w:rPr>
              <w:lastRenderedPageBreak/>
              <w:t>Employee productivity</w:t>
            </w:r>
          </w:p>
          <w:p w14:paraId="030D82CD" w14:textId="2E72D19A" w:rsidR="00877F0A" w:rsidRPr="00C462A0" w:rsidRDefault="00877F0A" w:rsidP="00CF35C5">
            <w:pPr>
              <w:pStyle w:val="NormalWeb"/>
              <w:numPr>
                <w:ilvl w:val="1"/>
                <w:numId w:val="275"/>
              </w:numPr>
              <w:spacing w:before="40" w:beforeAutospacing="0" w:after="40" w:afterAutospacing="0"/>
              <w:rPr>
                <w:rFonts w:asciiTheme="minorHAnsi" w:hAnsiTheme="minorHAnsi" w:cstheme="minorHAnsi"/>
                <w:sz w:val="20"/>
                <w:szCs w:val="20"/>
                <w:lang w:val="en-GB"/>
              </w:rPr>
            </w:pPr>
            <w:r w:rsidRPr="00C462A0">
              <w:rPr>
                <w:rFonts w:asciiTheme="minorHAnsi" w:hAnsiTheme="minorHAnsi" w:cstheme="minorHAnsi"/>
                <w:sz w:val="20"/>
                <w:szCs w:val="20"/>
                <w:lang w:val="en-GB"/>
              </w:rPr>
              <w:t>Physical isolation of substations</w:t>
            </w:r>
            <w:r w:rsidR="00CF35C5" w:rsidRPr="00C462A0">
              <w:rPr>
                <w:rFonts w:asciiTheme="minorHAnsi" w:hAnsiTheme="minorHAnsi" w:cstheme="minorHAnsi"/>
                <w:sz w:val="20"/>
                <w:szCs w:val="20"/>
                <w:lang w:val="en-GB"/>
              </w:rPr>
              <w:t>.</w:t>
            </w:r>
          </w:p>
          <w:p w14:paraId="76EA8D6C" w14:textId="77777777" w:rsidR="00CF35C5" w:rsidRPr="00C462A0" w:rsidRDefault="00CF35C5" w:rsidP="00CF35C5">
            <w:pPr>
              <w:pStyle w:val="NormalWeb"/>
              <w:spacing w:before="40" w:beforeAutospacing="0" w:after="40" w:afterAutospacing="0"/>
              <w:ind w:left="720"/>
              <w:rPr>
                <w:rFonts w:asciiTheme="minorHAnsi" w:hAnsiTheme="minorHAnsi" w:cstheme="minorHAnsi"/>
                <w:sz w:val="20"/>
                <w:szCs w:val="20"/>
                <w:lang w:val="en-GB"/>
              </w:rPr>
            </w:pPr>
          </w:p>
          <w:p w14:paraId="385FABDE" w14:textId="40171C3E" w:rsidR="00877F0A" w:rsidRPr="00C462A0" w:rsidRDefault="00877F0A" w:rsidP="00CF35C5">
            <w:pPr>
              <w:pStyle w:val="NormalWeb"/>
              <w:numPr>
                <w:ilvl w:val="0"/>
                <w:numId w:val="275"/>
              </w:numPr>
              <w:spacing w:before="40" w:beforeAutospacing="0" w:after="40" w:afterAutospacing="0"/>
              <w:rPr>
                <w:rFonts w:asciiTheme="minorHAnsi" w:hAnsiTheme="minorHAnsi" w:cstheme="minorHAnsi"/>
                <w:color w:val="009889" w:themeColor="accent2"/>
                <w:sz w:val="20"/>
                <w:szCs w:val="20"/>
                <w:lang w:val="en-GB"/>
              </w:rPr>
            </w:pPr>
            <w:r w:rsidRPr="00C462A0">
              <w:rPr>
                <w:rFonts w:asciiTheme="minorHAnsi" w:hAnsiTheme="minorHAnsi" w:cstheme="minorHAnsi"/>
                <w:color w:val="009889" w:themeColor="accent2"/>
                <w:sz w:val="20"/>
                <w:szCs w:val="20"/>
                <w:lang w:val="en-GB"/>
              </w:rPr>
              <w:t xml:space="preserve">Which control strategy most effectively reduces cascading risk within a smart grid architecture? </w:t>
            </w:r>
          </w:p>
          <w:p w14:paraId="495142BC" w14:textId="77777777" w:rsidR="00877F0A" w:rsidRPr="00C462A0" w:rsidRDefault="00877F0A" w:rsidP="00CF35C5">
            <w:pPr>
              <w:pStyle w:val="NormalWeb"/>
              <w:numPr>
                <w:ilvl w:val="1"/>
                <w:numId w:val="275"/>
              </w:numPr>
              <w:spacing w:before="40" w:beforeAutospacing="0" w:after="40" w:afterAutospacing="0"/>
              <w:rPr>
                <w:rFonts w:asciiTheme="minorHAnsi" w:hAnsiTheme="minorHAnsi" w:cstheme="minorHAnsi"/>
                <w:sz w:val="20"/>
                <w:szCs w:val="20"/>
                <w:lang w:val="en-GB"/>
              </w:rPr>
            </w:pPr>
            <w:r w:rsidRPr="00C462A0">
              <w:rPr>
                <w:rFonts w:asciiTheme="minorHAnsi" w:hAnsiTheme="minorHAnsi" w:cstheme="minorHAnsi"/>
                <w:sz w:val="20"/>
                <w:szCs w:val="20"/>
                <w:lang w:val="en-GB"/>
              </w:rPr>
              <w:t>Relying solely on perimeter firewalls</w:t>
            </w:r>
          </w:p>
          <w:p w14:paraId="4D7A0408" w14:textId="77777777" w:rsidR="00877F0A" w:rsidRPr="00C462A0" w:rsidRDefault="00877F0A" w:rsidP="00CF35C5">
            <w:pPr>
              <w:pStyle w:val="NormalWeb"/>
              <w:numPr>
                <w:ilvl w:val="1"/>
                <w:numId w:val="275"/>
              </w:numPr>
              <w:spacing w:before="40" w:beforeAutospacing="0" w:after="40" w:afterAutospacing="0"/>
              <w:rPr>
                <w:rFonts w:asciiTheme="minorHAnsi" w:hAnsiTheme="minorHAnsi" w:cstheme="minorHAnsi"/>
                <w:sz w:val="20"/>
                <w:szCs w:val="20"/>
                <w:lang w:val="en-GB"/>
              </w:rPr>
            </w:pPr>
            <w:r w:rsidRPr="00C462A0">
              <w:rPr>
                <w:rFonts w:asciiTheme="minorHAnsi" w:hAnsiTheme="minorHAnsi" w:cstheme="minorHAnsi"/>
                <w:sz w:val="20"/>
                <w:szCs w:val="20"/>
                <w:lang w:val="en-GB"/>
              </w:rPr>
              <w:t>Implementing network segmentation between AMI, substations, and control centres</w:t>
            </w:r>
          </w:p>
          <w:p w14:paraId="5CF989A9" w14:textId="77777777" w:rsidR="00877F0A" w:rsidRPr="00C462A0" w:rsidRDefault="00877F0A" w:rsidP="00CF35C5">
            <w:pPr>
              <w:pStyle w:val="NormalWeb"/>
              <w:numPr>
                <w:ilvl w:val="1"/>
                <w:numId w:val="275"/>
              </w:numPr>
              <w:spacing w:before="40" w:beforeAutospacing="0" w:after="40" w:afterAutospacing="0"/>
              <w:rPr>
                <w:rFonts w:asciiTheme="minorHAnsi" w:hAnsiTheme="minorHAnsi" w:cstheme="minorHAnsi"/>
                <w:sz w:val="20"/>
                <w:szCs w:val="20"/>
                <w:lang w:val="en-GB"/>
              </w:rPr>
            </w:pPr>
            <w:r w:rsidRPr="00C462A0">
              <w:rPr>
                <w:rFonts w:asciiTheme="minorHAnsi" w:hAnsiTheme="minorHAnsi" w:cstheme="minorHAnsi"/>
                <w:sz w:val="20"/>
                <w:szCs w:val="20"/>
                <w:lang w:val="en-GB"/>
              </w:rPr>
              <w:t>Increasing the number of connected smart devices</w:t>
            </w:r>
          </w:p>
          <w:p w14:paraId="6C2301AB" w14:textId="1F4064C4" w:rsidR="00877F0A" w:rsidRPr="00C462A0" w:rsidRDefault="00877F0A" w:rsidP="00CF35C5">
            <w:pPr>
              <w:pStyle w:val="NormalWeb"/>
              <w:numPr>
                <w:ilvl w:val="1"/>
                <w:numId w:val="275"/>
              </w:numPr>
              <w:spacing w:before="40" w:beforeAutospacing="0" w:after="40" w:afterAutospacing="0"/>
              <w:rPr>
                <w:rFonts w:asciiTheme="minorHAnsi" w:hAnsiTheme="minorHAnsi" w:cstheme="minorHAnsi"/>
                <w:sz w:val="20"/>
                <w:szCs w:val="20"/>
                <w:lang w:val="en-GB"/>
              </w:rPr>
            </w:pPr>
            <w:r w:rsidRPr="00C462A0">
              <w:rPr>
                <w:rFonts w:asciiTheme="minorHAnsi" w:hAnsiTheme="minorHAnsi" w:cstheme="minorHAnsi"/>
                <w:sz w:val="20"/>
                <w:szCs w:val="20"/>
                <w:lang w:val="en-GB"/>
              </w:rPr>
              <w:t>Removing renewable energy integration</w:t>
            </w:r>
            <w:r w:rsidR="00CF35C5" w:rsidRPr="00C462A0">
              <w:rPr>
                <w:rFonts w:asciiTheme="minorHAnsi" w:hAnsiTheme="minorHAnsi" w:cstheme="minorHAnsi"/>
                <w:sz w:val="20"/>
                <w:szCs w:val="20"/>
                <w:lang w:val="en-GB"/>
              </w:rPr>
              <w:t>.</w:t>
            </w:r>
          </w:p>
          <w:p w14:paraId="6C9CB7E8" w14:textId="77777777" w:rsidR="00CF35C5" w:rsidRPr="00C462A0" w:rsidRDefault="00CF35C5" w:rsidP="00CF35C5">
            <w:pPr>
              <w:pStyle w:val="NormalWeb"/>
              <w:spacing w:before="40" w:beforeAutospacing="0" w:after="40" w:afterAutospacing="0"/>
              <w:ind w:left="720"/>
              <w:rPr>
                <w:rFonts w:asciiTheme="minorHAnsi" w:hAnsiTheme="minorHAnsi" w:cstheme="minorHAnsi"/>
                <w:sz w:val="20"/>
                <w:szCs w:val="20"/>
                <w:lang w:val="en-GB"/>
              </w:rPr>
            </w:pPr>
          </w:p>
          <w:p w14:paraId="1603DED5" w14:textId="6F3674F6" w:rsidR="00877F0A" w:rsidRPr="00C462A0" w:rsidRDefault="00877F0A" w:rsidP="00C462A0">
            <w:pPr>
              <w:pStyle w:val="NormalWeb"/>
              <w:numPr>
                <w:ilvl w:val="0"/>
                <w:numId w:val="275"/>
              </w:numPr>
              <w:spacing w:before="40" w:beforeAutospacing="0" w:after="40" w:afterAutospacing="0"/>
              <w:jc w:val="both"/>
              <w:rPr>
                <w:rFonts w:asciiTheme="minorHAnsi" w:hAnsiTheme="minorHAnsi" w:cstheme="minorHAnsi"/>
                <w:color w:val="009889" w:themeColor="accent2"/>
                <w:sz w:val="20"/>
                <w:szCs w:val="20"/>
                <w:lang w:val="en-GB"/>
              </w:rPr>
            </w:pPr>
            <w:r w:rsidRPr="00C462A0">
              <w:rPr>
                <w:rFonts w:asciiTheme="minorHAnsi" w:hAnsiTheme="minorHAnsi" w:cstheme="minorHAnsi"/>
                <w:color w:val="009889" w:themeColor="accent2"/>
                <w:sz w:val="20"/>
                <w:szCs w:val="20"/>
                <w:lang w:val="en-GB"/>
              </w:rPr>
              <w:t xml:space="preserve">An attacker compromises a third-party maintenance account with valid credentials and pushes a malicious firmware update that subtly alters consumption values while preserving normal communication behaviour. Which of the following best characterises the primary systemic risk in this scenario? </w:t>
            </w:r>
          </w:p>
          <w:p w14:paraId="2D883F76" w14:textId="77777777" w:rsidR="00877F0A" w:rsidRPr="00C462A0" w:rsidRDefault="00877F0A" w:rsidP="00CF35C5">
            <w:pPr>
              <w:pStyle w:val="NormalWeb"/>
              <w:numPr>
                <w:ilvl w:val="1"/>
                <w:numId w:val="275"/>
              </w:numPr>
              <w:spacing w:before="40" w:beforeAutospacing="0" w:after="40" w:afterAutospacing="0"/>
              <w:rPr>
                <w:rFonts w:asciiTheme="minorHAnsi" w:hAnsiTheme="minorHAnsi" w:cstheme="minorHAnsi"/>
                <w:sz w:val="20"/>
                <w:szCs w:val="20"/>
                <w:lang w:val="en-GB"/>
              </w:rPr>
            </w:pPr>
            <w:r w:rsidRPr="00C462A0">
              <w:rPr>
                <w:rFonts w:asciiTheme="minorHAnsi" w:hAnsiTheme="minorHAnsi" w:cstheme="minorHAnsi"/>
                <w:sz w:val="20"/>
                <w:szCs w:val="20"/>
                <w:lang w:val="en-GB"/>
              </w:rPr>
              <w:t>A confidentiality breach limited to personal data exposure under GDPR.</w:t>
            </w:r>
          </w:p>
          <w:p w14:paraId="5EF7608A" w14:textId="77777777" w:rsidR="00877F0A" w:rsidRPr="00C462A0" w:rsidRDefault="00877F0A" w:rsidP="00CF35C5">
            <w:pPr>
              <w:pStyle w:val="NormalWeb"/>
              <w:numPr>
                <w:ilvl w:val="1"/>
                <w:numId w:val="275"/>
              </w:numPr>
              <w:spacing w:before="40" w:beforeAutospacing="0" w:after="40" w:afterAutospacing="0"/>
              <w:rPr>
                <w:rFonts w:asciiTheme="minorHAnsi" w:hAnsiTheme="minorHAnsi" w:cstheme="minorHAnsi"/>
                <w:sz w:val="20"/>
                <w:szCs w:val="20"/>
                <w:lang w:val="en-GB"/>
              </w:rPr>
            </w:pPr>
            <w:r w:rsidRPr="00C462A0">
              <w:rPr>
                <w:rFonts w:asciiTheme="minorHAnsi" w:hAnsiTheme="minorHAnsi" w:cstheme="minorHAnsi"/>
                <w:sz w:val="20"/>
                <w:szCs w:val="20"/>
                <w:lang w:val="en-GB"/>
              </w:rPr>
              <w:t>A denial-of-service attack affecting the availability of metering services only.</w:t>
            </w:r>
          </w:p>
          <w:p w14:paraId="533F83B2" w14:textId="77777777" w:rsidR="00877F0A" w:rsidRPr="00C462A0" w:rsidRDefault="00877F0A" w:rsidP="00CF35C5">
            <w:pPr>
              <w:pStyle w:val="NormalWeb"/>
              <w:numPr>
                <w:ilvl w:val="1"/>
                <w:numId w:val="275"/>
              </w:numPr>
              <w:spacing w:before="40" w:beforeAutospacing="0" w:after="40" w:afterAutospacing="0"/>
              <w:rPr>
                <w:rFonts w:asciiTheme="minorHAnsi" w:hAnsiTheme="minorHAnsi" w:cstheme="minorHAnsi"/>
                <w:sz w:val="20"/>
                <w:szCs w:val="20"/>
                <w:lang w:val="en-GB"/>
              </w:rPr>
            </w:pPr>
            <w:r w:rsidRPr="00C462A0">
              <w:rPr>
                <w:rFonts w:asciiTheme="minorHAnsi" w:hAnsiTheme="minorHAnsi" w:cstheme="minorHAnsi"/>
                <w:sz w:val="20"/>
                <w:szCs w:val="20"/>
                <w:lang w:val="en-GB"/>
              </w:rPr>
              <w:t>A combined integrity and process-control compromise that may distort billing, energy balancing, and ESG reporting while remaining operationally stealthy.</w:t>
            </w:r>
          </w:p>
          <w:p w14:paraId="46AC1D47" w14:textId="77777777" w:rsidR="00877F0A" w:rsidRPr="00C462A0" w:rsidRDefault="00877F0A" w:rsidP="00CF35C5">
            <w:pPr>
              <w:pStyle w:val="NormalWeb"/>
              <w:numPr>
                <w:ilvl w:val="1"/>
                <w:numId w:val="275"/>
              </w:numPr>
              <w:spacing w:before="40" w:beforeAutospacing="0" w:after="40" w:afterAutospacing="0"/>
              <w:rPr>
                <w:rFonts w:asciiTheme="minorHAnsi" w:hAnsiTheme="minorHAnsi" w:cstheme="minorHAnsi"/>
                <w:sz w:val="20"/>
                <w:szCs w:val="20"/>
                <w:lang w:val="en-GB"/>
              </w:rPr>
            </w:pPr>
            <w:r w:rsidRPr="00C462A0">
              <w:rPr>
                <w:rFonts w:asciiTheme="minorHAnsi" w:hAnsiTheme="minorHAnsi" w:cstheme="minorHAnsi"/>
                <w:sz w:val="20"/>
                <w:szCs w:val="20"/>
                <w:lang w:val="en-GB"/>
              </w:rPr>
              <w:t>A local device malfunction with no broader grid-level implications.</w:t>
            </w:r>
          </w:p>
          <w:p w14:paraId="15BE098A" w14:textId="77777777" w:rsidR="00877F0A" w:rsidRPr="00C462A0" w:rsidRDefault="00877F0A" w:rsidP="00210B7E">
            <w:pPr>
              <w:pStyle w:val="NormalWeb"/>
              <w:spacing w:before="40" w:beforeAutospacing="0" w:after="40" w:afterAutospacing="0"/>
              <w:jc w:val="both"/>
              <w:rPr>
                <w:rFonts w:asciiTheme="minorHAnsi" w:hAnsiTheme="minorHAnsi" w:cstheme="minorHAnsi"/>
                <w:i/>
                <w:sz w:val="20"/>
                <w:szCs w:val="20"/>
                <w:lang w:val="en-GB"/>
              </w:rPr>
            </w:pPr>
          </w:p>
          <w:p w14:paraId="53EC0FEC" w14:textId="29750DAF" w:rsidR="00CF35C5" w:rsidRPr="00C462A0" w:rsidRDefault="00CF35C5" w:rsidP="00210B7E">
            <w:pPr>
              <w:pStyle w:val="NormalWeb"/>
              <w:spacing w:before="40" w:beforeAutospacing="0" w:after="40" w:afterAutospacing="0"/>
              <w:jc w:val="both"/>
              <w:rPr>
                <w:rFonts w:asciiTheme="minorHAnsi" w:hAnsiTheme="minorHAnsi" w:cstheme="minorHAnsi"/>
                <w:iCs/>
                <w:color w:val="00AC4E" w:themeColor="accent1"/>
                <w:sz w:val="20"/>
                <w:szCs w:val="20"/>
                <w:lang w:val="en-GB"/>
              </w:rPr>
            </w:pPr>
            <w:r w:rsidRPr="00C462A0">
              <w:rPr>
                <w:rFonts w:asciiTheme="minorHAnsi" w:hAnsiTheme="minorHAnsi" w:cstheme="minorHAnsi"/>
                <w:i/>
                <w:sz w:val="20"/>
                <w:szCs w:val="20"/>
                <w:lang w:val="en-GB"/>
              </w:rPr>
              <w:t xml:space="preserve">Answer key: 1. false; 2. b), 3. b), 4. c). </w:t>
            </w:r>
          </w:p>
        </w:tc>
      </w:tr>
    </w:tbl>
    <w:p w14:paraId="7C39F74A" w14:textId="77777777" w:rsidR="00721C5E" w:rsidRDefault="00721C5E">
      <w:bookmarkStart w:id="37" w:name="_Toc227623409"/>
      <w:r>
        <w:rPr>
          <w:iCs/>
        </w:rPr>
        <w:lastRenderedPageBreak/>
        <w:br w:type="page"/>
      </w:r>
    </w:p>
    <w:tbl>
      <w:tblPr>
        <w:tblStyle w:val="TableGrid"/>
        <w:tblW w:w="0" w:type="auto"/>
        <w:tblLook w:val="04A0" w:firstRow="1" w:lastRow="0" w:firstColumn="1" w:lastColumn="0" w:noHBand="0" w:noVBand="1"/>
      </w:tblPr>
      <w:tblGrid>
        <w:gridCol w:w="9628"/>
      </w:tblGrid>
      <w:tr w:rsidR="00CF35C5" w:rsidRPr="00C462A0" w14:paraId="22D783DE" w14:textId="77777777" w:rsidTr="00877F0A">
        <w:trPr>
          <w:trHeight w:val="300"/>
        </w:trPr>
        <w:tc>
          <w:tcPr>
            <w:tcW w:w="9628" w:type="dxa"/>
          </w:tcPr>
          <w:p w14:paraId="7607C32D" w14:textId="4078FACA" w:rsidR="00CF35C5" w:rsidRPr="00C462A0" w:rsidRDefault="00CF35C5" w:rsidP="00CF35C5">
            <w:pPr>
              <w:pStyle w:val="Heading2"/>
              <w:numPr>
                <w:ilvl w:val="0"/>
                <w:numId w:val="0"/>
              </w:numPr>
            </w:pPr>
            <w:r w:rsidRPr="00C462A0">
              <w:lastRenderedPageBreak/>
              <w:t>Topic 2.4: Introduction to ESG platforms</w:t>
            </w:r>
            <w:bookmarkEnd w:id="37"/>
          </w:p>
        </w:tc>
      </w:tr>
      <w:tr w:rsidR="00CF35C5" w:rsidRPr="00C462A0" w14:paraId="3D082C0F" w14:textId="77777777" w:rsidTr="00CF35C5">
        <w:trPr>
          <w:trHeight w:val="300"/>
        </w:trPr>
        <w:tc>
          <w:tcPr>
            <w:tcW w:w="9628" w:type="dxa"/>
            <w:shd w:val="clear" w:color="auto" w:fill="D9D9D9" w:themeFill="background1" w:themeFillShade="D9"/>
          </w:tcPr>
          <w:p w14:paraId="02EC4463" w14:textId="10943B63" w:rsidR="00CF35C5" w:rsidRPr="00C462A0" w:rsidRDefault="00CF35C5" w:rsidP="00CF35C5">
            <w:pPr>
              <w:pStyle w:val="NormalWeb"/>
              <w:spacing w:before="0" w:beforeAutospacing="0" w:after="0" w:afterAutospacing="0"/>
              <w:jc w:val="both"/>
              <w:rPr>
                <w:rFonts w:asciiTheme="minorHAnsi" w:hAnsiTheme="minorHAnsi" w:cstheme="minorHAnsi"/>
                <w:b/>
                <w:sz w:val="20"/>
                <w:szCs w:val="20"/>
                <w:lang w:val="en-GB"/>
              </w:rPr>
            </w:pPr>
            <w:r w:rsidRPr="00C462A0">
              <w:rPr>
                <w:rFonts w:asciiTheme="minorHAnsi" w:hAnsiTheme="minorHAnsi" w:cstheme="minorHAnsi"/>
                <w:b/>
                <w:sz w:val="20"/>
                <w:szCs w:val="20"/>
                <w:lang w:val="en-GB"/>
              </w:rPr>
              <w:t>Short introduction:</w:t>
            </w:r>
          </w:p>
        </w:tc>
      </w:tr>
      <w:tr w:rsidR="00CF35C5" w:rsidRPr="00C462A0" w14:paraId="378E3185" w14:textId="77777777" w:rsidTr="00877F0A">
        <w:trPr>
          <w:trHeight w:val="300"/>
        </w:trPr>
        <w:tc>
          <w:tcPr>
            <w:tcW w:w="9628" w:type="dxa"/>
          </w:tcPr>
          <w:p w14:paraId="60765B01" w14:textId="21B6FAFE" w:rsidR="00CF35C5" w:rsidRPr="00C462A0" w:rsidRDefault="00CF35C5" w:rsidP="00CF35C5">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ESG platforms are digital systems built to collect, process, analyse, and report sustainability-related data. They play a central role in supporting regulatory compliance, investor transparency, and informed sustainability decision-making. As ESG reporting becomes more mandatory and increasingly data-driven, these platforms have become critical digital assets that require strong protection against cyber threats. Understanding their architecture and associated threat landscape is therefore essential to securing sustainable digital systems.</w:t>
            </w:r>
          </w:p>
        </w:tc>
      </w:tr>
      <w:tr w:rsidR="00CF35C5" w:rsidRPr="00C462A0" w14:paraId="721E04B3" w14:textId="77777777" w:rsidTr="00CF35C5">
        <w:trPr>
          <w:trHeight w:val="300"/>
        </w:trPr>
        <w:tc>
          <w:tcPr>
            <w:tcW w:w="9628" w:type="dxa"/>
            <w:shd w:val="clear" w:color="auto" w:fill="D9D9D9" w:themeFill="background1" w:themeFillShade="D9"/>
          </w:tcPr>
          <w:p w14:paraId="1A921AE2" w14:textId="52F7DB83" w:rsidR="00CF35C5" w:rsidRPr="00C462A0" w:rsidRDefault="00CF35C5" w:rsidP="00CF35C5">
            <w:pPr>
              <w:pStyle w:val="NormalWeb"/>
              <w:spacing w:before="0" w:beforeAutospacing="0" w:after="0" w:afterAutospacing="0"/>
              <w:jc w:val="both"/>
              <w:rPr>
                <w:rFonts w:asciiTheme="minorHAnsi" w:hAnsiTheme="minorHAnsi" w:cstheme="minorHAnsi"/>
                <w:b/>
                <w:sz w:val="20"/>
                <w:szCs w:val="20"/>
                <w:lang w:val="en-GB"/>
              </w:rPr>
            </w:pPr>
            <w:r w:rsidRPr="00C462A0">
              <w:rPr>
                <w:rFonts w:asciiTheme="minorHAnsi" w:hAnsiTheme="minorHAnsi" w:cstheme="minorHAnsi"/>
                <w:b/>
                <w:sz w:val="20"/>
                <w:szCs w:val="20"/>
                <w:lang w:val="en-GB"/>
              </w:rPr>
              <w:t>Theory &amp; Knowledge:</w:t>
            </w:r>
          </w:p>
        </w:tc>
      </w:tr>
      <w:tr w:rsidR="00877F0A" w:rsidRPr="00C462A0" w14:paraId="1E44D7F2" w14:textId="77777777" w:rsidTr="00877F0A">
        <w:trPr>
          <w:trHeight w:val="300"/>
        </w:trPr>
        <w:tc>
          <w:tcPr>
            <w:tcW w:w="9628" w:type="dxa"/>
          </w:tcPr>
          <w:p w14:paraId="61990457" w14:textId="77777777" w:rsidR="00877F0A" w:rsidRPr="00C462A0" w:rsidRDefault="00877F0A" w:rsidP="00CF35C5">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ESG platforms operate as integrated digital ecosystems that bring together data from multiple sources, including IoT sensors, Enterprise Resource Planning (ERP) systems, energy management systems, supply chain databases, and external reporting frameworks. They convert raw operational data into structured sustainability indicators, often aligned with regulatory obligations and international reporting standards.</w:t>
            </w:r>
          </w:p>
          <w:p w14:paraId="464860A9" w14:textId="77777777" w:rsidR="00877F0A" w:rsidRPr="00C462A0" w:rsidRDefault="00877F0A" w:rsidP="00CF35C5">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As ESG disclosures play an increasing role in shaping investor confidence, regulatory positioning, and corporate reputation, the integrity and availability of ESG platforms carry clear strategic importance.</w:t>
            </w:r>
          </w:p>
          <w:p w14:paraId="61B1122D" w14:textId="77777777" w:rsidR="00877F0A" w:rsidRPr="00C462A0" w:rsidRDefault="00877F0A" w:rsidP="00CF35C5">
            <w:pPr>
              <w:pStyle w:val="NormalWeb"/>
              <w:spacing w:before="40" w:beforeAutospacing="0" w:after="40" w:afterAutospacing="0"/>
              <w:jc w:val="both"/>
              <w:rPr>
                <w:rFonts w:asciiTheme="minorHAnsi" w:hAnsiTheme="minorHAnsi" w:cstheme="minorHAnsi"/>
                <w:sz w:val="20"/>
                <w:szCs w:val="20"/>
                <w:lang w:val="en-GB"/>
              </w:rPr>
            </w:pPr>
          </w:p>
          <w:p w14:paraId="61133FEE" w14:textId="1EA9DC5E" w:rsidR="00877F0A" w:rsidRPr="00C462A0" w:rsidRDefault="00877F0A" w:rsidP="00CF35C5">
            <w:pPr>
              <w:pStyle w:val="NormalWeb"/>
              <w:numPr>
                <w:ilvl w:val="0"/>
                <w:numId w:val="275"/>
              </w:numPr>
              <w:spacing w:before="0" w:beforeAutospacing="0" w:after="0" w:afterAutospacing="0"/>
              <w:jc w:val="both"/>
              <w:rPr>
                <w:rFonts w:asciiTheme="minorHAnsi" w:hAnsiTheme="minorHAnsi" w:cstheme="minorHAnsi"/>
                <w:b/>
                <w:bCs/>
                <w:color w:val="009889" w:themeColor="accent2"/>
                <w:sz w:val="20"/>
                <w:szCs w:val="20"/>
                <w:lang w:val="en-GB" w:eastAsia="en-GB"/>
              </w:rPr>
            </w:pPr>
            <w:r w:rsidRPr="00C462A0">
              <w:rPr>
                <w:rFonts w:asciiTheme="minorHAnsi" w:hAnsiTheme="minorHAnsi" w:cstheme="minorHAnsi"/>
                <w:b/>
                <w:bCs/>
                <w:color w:val="009889" w:themeColor="accent2"/>
                <w:sz w:val="20"/>
                <w:szCs w:val="20"/>
                <w:lang w:val="en-GB" w:eastAsia="en-GB"/>
              </w:rPr>
              <w:t>Core Functional Components of ESG Platforms</w:t>
            </w:r>
          </w:p>
          <w:p w14:paraId="3A8889C5" w14:textId="77777777" w:rsidR="00877F0A" w:rsidRPr="00C462A0" w:rsidRDefault="00877F0A" w:rsidP="00CF35C5">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An ESG platform generally includes:</w:t>
            </w:r>
          </w:p>
          <w:p w14:paraId="231A0B28" w14:textId="77777777" w:rsidR="00877F0A" w:rsidRPr="00C462A0" w:rsidRDefault="00877F0A" w:rsidP="00CF35C5">
            <w:pPr>
              <w:pStyle w:val="NormalWeb"/>
              <w:numPr>
                <w:ilvl w:val="0"/>
                <w:numId w:val="276"/>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A data ingestion layer, incorporating APIs, IoT integration, and manual uploads.</w:t>
            </w:r>
          </w:p>
          <w:p w14:paraId="392AC709" w14:textId="77777777" w:rsidR="00877F0A" w:rsidRPr="00C462A0" w:rsidRDefault="00877F0A" w:rsidP="00CF35C5">
            <w:pPr>
              <w:pStyle w:val="NormalWeb"/>
              <w:numPr>
                <w:ilvl w:val="0"/>
                <w:numId w:val="276"/>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Data storage systems, typically cloud-based databases or hybrid environments.</w:t>
            </w:r>
          </w:p>
          <w:p w14:paraId="39228561" w14:textId="77777777" w:rsidR="00877F0A" w:rsidRPr="00C462A0" w:rsidRDefault="00877F0A" w:rsidP="00CF35C5">
            <w:pPr>
              <w:pStyle w:val="NormalWeb"/>
              <w:numPr>
                <w:ilvl w:val="0"/>
                <w:numId w:val="276"/>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Analytics and calculation engines.</w:t>
            </w:r>
          </w:p>
          <w:p w14:paraId="7C639D4C" w14:textId="77777777" w:rsidR="00877F0A" w:rsidRPr="00C462A0" w:rsidRDefault="00877F0A" w:rsidP="00CF35C5">
            <w:pPr>
              <w:pStyle w:val="NormalWeb"/>
              <w:numPr>
                <w:ilvl w:val="0"/>
                <w:numId w:val="276"/>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Reporting dashboards and visualisation tools.</w:t>
            </w:r>
          </w:p>
          <w:p w14:paraId="14965C41" w14:textId="77777777" w:rsidR="00877F0A" w:rsidRPr="00C462A0" w:rsidRDefault="00877F0A" w:rsidP="00CF35C5">
            <w:pPr>
              <w:pStyle w:val="NormalWeb"/>
              <w:numPr>
                <w:ilvl w:val="0"/>
                <w:numId w:val="276"/>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Access control and identity management systems.</w:t>
            </w:r>
          </w:p>
          <w:p w14:paraId="7CF94A66" w14:textId="77777777" w:rsidR="00721C5E" w:rsidRDefault="00877F0A" w:rsidP="00721C5E">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These components frequently run in cloud-native environments and depend on third-party integrations. While APIs and distributed data sources improve flexibility, they also widen the attack surface.</w:t>
            </w:r>
          </w:p>
          <w:p w14:paraId="1C225A1F" w14:textId="441A913E" w:rsidR="00721C5E" w:rsidRPr="00C462A0" w:rsidRDefault="00877F0A" w:rsidP="00721C5E">
            <w:pPr>
              <w:pStyle w:val="NormalWeb"/>
              <w:spacing w:before="40" w:beforeAutospacing="0" w:after="40" w:afterAutospacing="0"/>
              <w:jc w:val="center"/>
              <w:rPr>
                <w:rFonts w:asciiTheme="minorHAnsi" w:hAnsiTheme="minorHAnsi" w:cstheme="minorHAnsi"/>
                <w:sz w:val="20"/>
                <w:szCs w:val="20"/>
                <w:lang w:val="en-GB"/>
              </w:rPr>
            </w:pPr>
            <w:r w:rsidRPr="00C462A0">
              <w:rPr>
                <w:rFonts w:asciiTheme="minorHAnsi" w:hAnsiTheme="minorHAnsi" w:cstheme="minorHAnsi"/>
                <w:noProof/>
                <w:sz w:val="20"/>
                <w:szCs w:val="20"/>
                <w:lang w:val="en-GB"/>
              </w:rPr>
              <w:drawing>
                <wp:inline distT="0" distB="0" distL="0" distR="0" wp14:anchorId="2B1DE363" wp14:editId="41ED3517">
                  <wp:extent cx="2886075" cy="2918790"/>
                  <wp:effectExtent l="0" t="0" r="0" b="0"/>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pic:cNvPicPr>
                        </pic:nvPicPr>
                        <pic:blipFill rotWithShape="1">
                          <a:blip r:embed="rId73"/>
                          <a:srcRect l="18436" t="2974" r="24213" b="10034"/>
                          <a:stretch>
                            <a:fillRect/>
                          </a:stretch>
                        </pic:blipFill>
                        <pic:spPr bwMode="auto">
                          <a:xfrm>
                            <a:off x="0" y="0"/>
                            <a:ext cx="2925746" cy="2958911"/>
                          </a:xfrm>
                          <a:prstGeom prst="rect">
                            <a:avLst/>
                          </a:prstGeom>
                          <a:noFill/>
                          <a:ln>
                            <a:noFill/>
                          </a:ln>
                          <a:extLst>
                            <a:ext uri="{53640926-AAD7-44D8-BBD7-CCE9431645EC}">
                              <a14:shadowObscured xmlns:a14="http://schemas.microsoft.com/office/drawing/2010/main"/>
                            </a:ext>
                          </a:extLst>
                        </pic:spPr>
                      </pic:pic>
                    </a:graphicData>
                  </a:graphic>
                </wp:inline>
              </w:drawing>
            </w:r>
          </w:p>
          <w:p w14:paraId="353B72A2" w14:textId="61E5CC30" w:rsidR="00877F0A" w:rsidRDefault="00877F0A" w:rsidP="00CF35C5">
            <w:pPr>
              <w:pStyle w:val="Caption"/>
              <w:jc w:val="center"/>
              <w:rPr>
                <w:rFonts w:cstheme="minorHAnsi"/>
                <w:b w:val="0"/>
                <w:bCs w:val="0"/>
                <w:sz w:val="18"/>
                <w:szCs w:val="18"/>
              </w:rPr>
            </w:pPr>
            <w:bookmarkStart w:id="38" w:name="_Toc227623454"/>
            <w:r w:rsidRPr="00C462A0">
              <w:rPr>
                <w:rFonts w:cstheme="minorHAnsi"/>
                <w:b w:val="0"/>
                <w:bCs w:val="0"/>
                <w:sz w:val="18"/>
                <w:szCs w:val="18"/>
              </w:rPr>
              <w:lastRenderedPageBreak/>
              <w:t xml:space="preserve">Figure </w:t>
            </w:r>
            <w:r w:rsidRPr="00C462A0">
              <w:rPr>
                <w:rFonts w:cstheme="minorHAnsi"/>
                <w:b w:val="0"/>
                <w:bCs w:val="0"/>
                <w:sz w:val="18"/>
                <w:szCs w:val="18"/>
              </w:rPr>
              <w:fldChar w:fldCharType="begin"/>
            </w:r>
            <w:r w:rsidRPr="00C462A0">
              <w:rPr>
                <w:rFonts w:cstheme="minorHAnsi"/>
                <w:b w:val="0"/>
                <w:bCs w:val="0"/>
                <w:sz w:val="18"/>
                <w:szCs w:val="18"/>
              </w:rPr>
              <w:instrText xml:space="preserve"> SEQ Figure \* ARABIC </w:instrText>
            </w:r>
            <w:r w:rsidRPr="00C462A0">
              <w:rPr>
                <w:rFonts w:cstheme="minorHAnsi"/>
                <w:b w:val="0"/>
                <w:bCs w:val="0"/>
                <w:sz w:val="18"/>
                <w:szCs w:val="18"/>
              </w:rPr>
              <w:fldChar w:fldCharType="separate"/>
            </w:r>
            <w:r w:rsidRPr="00C462A0">
              <w:rPr>
                <w:rFonts w:cstheme="minorHAnsi"/>
                <w:b w:val="0"/>
                <w:bCs w:val="0"/>
                <w:sz w:val="18"/>
                <w:szCs w:val="18"/>
              </w:rPr>
              <w:t>17</w:t>
            </w:r>
            <w:r w:rsidRPr="00C462A0">
              <w:rPr>
                <w:rFonts w:cstheme="minorHAnsi"/>
                <w:b w:val="0"/>
                <w:bCs w:val="0"/>
                <w:sz w:val="18"/>
                <w:szCs w:val="18"/>
              </w:rPr>
              <w:fldChar w:fldCharType="end"/>
            </w:r>
            <w:r w:rsidR="00CF35C5" w:rsidRPr="00C462A0">
              <w:rPr>
                <w:rFonts w:cstheme="minorHAnsi"/>
                <w:b w:val="0"/>
                <w:bCs w:val="0"/>
                <w:sz w:val="18"/>
                <w:szCs w:val="18"/>
              </w:rPr>
              <w:t>.</w:t>
            </w:r>
            <w:r w:rsidRPr="00C462A0">
              <w:rPr>
                <w:rFonts w:cstheme="minorHAnsi"/>
                <w:b w:val="0"/>
                <w:bCs w:val="0"/>
                <w:sz w:val="18"/>
                <w:szCs w:val="18"/>
              </w:rPr>
              <w:t xml:space="preserve"> Typical ESG platform architecture integrating IoT sensors, enterprise systems, and supply chain data through APIs, cloud storage, analytics, and reporting dashboards</w:t>
            </w:r>
            <w:r w:rsidR="00CF35C5" w:rsidRPr="00C462A0">
              <w:rPr>
                <w:rFonts w:cstheme="minorHAnsi"/>
                <w:b w:val="0"/>
                <w:bCs w:val="0"/>
                <w:sz w:val="18"/>
                <w:szCs w:val="18"/>
              </w:rPr>
              <w:t xml:space="preserve"> (source: Author)</w:t>
            </w:r>
            <w:bookmarkEnd w:id="38"/>
          </w:p>
          <w:p w14:paraId="67267708" w14:textId="77777777" w:rsidR="00721C5E" w:rsidRPr="00721C5E" w:rsidRDefault="00721C5E" w:rsidP="00721C5E"/>
          <w:p w14:paraId="511C1A4F" w14:textId="36F566C8" w:rsidR="00721C5E" w:rsidRPr="00721C5E" w:rsidRDefault="00721C5E" w:rsidP="00721C5E">
            <w:pPr>
              <w:jc w:val="both"/>
              <w:rPr>
                <w:rFonts w:cstheme="minorHAnsi"/>
                <w:i/>
                <w:iCs/>
                <w:sz w:val="18"/>
                <w:szCs w:val="18"/>
              </w:rPr>
            </w:pPr>
            <w:r w:rsidRPr="00721C5E">
              <w:rPr>
                <w:rFonts w:cstheme="minorHAnsi"/>
                <w:i/>
                <w:iCs/>
                <w:sz w:val="18"/>
                <w:szCs w:val="18"/>
              </w:rPr>
              <w:t>The</w:t>
            </w:r>
            <w:r w:rsidRPr="00721C5E">
              <w:rPr>
                <w:rFonts w:cstheme="minorHAnsi"/>
                <w:i/>
                <w:iCs/>
                <w:sz w:val="18"/>
                <w:szCs w:val="18"/>
              </w:rPr>
              <w:t xml:space="preserve"> diagram </w:t>
            </w:r>
            <w:r w:rsidRPr="00721C5E">
              <w:rPr>
                <w:rFonts w:cstheme="minorHAnsi"/>
                <w:i/>
                <w:iCs/>
                <w:sz w:val="18"/>
                <w:szCs w:val="18"/>
              </w:rPr>
              <w:t xml:space="preserve">above </w:t>
            </w:r>
            <w:r w:rsidRPr="00721C5E">
              <w:rPr>
                <w:rFonts w:cstheme="minorHAnsi"/>
                <w:i/>
                <w:iCs/>
                <w:sz w:val="18"/>
                <w:szCs w:val="18"/>
              </w:rPr>
              <w:t xml:space="preserve">illustrates the architecture of an Environmental, Social, and Governance (ESG) platform designed to consolidate data for sustainability reporting. It maps the flow of information from initial data sources up to a final reporting dashboard. </w:t>
            </w:r>
          </w:p>
          <w:p w14:paraId="3E2A2D8E" w14:textId="77777777" w:rsidR="00721C5E" w:rsidRPr="00721C5E" w:rsidRDefault="00721C5E" w:rsidP="00721C5E">
            <w:pPr>
              <w:jc w:val="both"/>
              <w:rPr>
                <w:rFonts w:cstheme="minorHAnsi"/>
                <w:i/>
                <w:iCs/>
                <w:sz w:val="18"/>
                <w:szCs w:val="18"/>
              </w:rPr>
            </w:pPr>
            <w:r w:rsidRPr="00721C5E">
              <w:rPr>
                <w:rFonts w:cstheme="minorHAnsi"/>
                <w:i/>
                <w:iCs/>
                <w:sz w:val="18"/>
                <w:szCs w:val="18"/>
              </w:rPr>
              <w:t xml:space="preserve">Data Ingestion: Information is gathered from diverse sources, including IoT sensors, ERP systems, and supply chain management tools. </w:t>
            </w:r>
          </w:p>
          <w:p w14:paraId="732266CA" w14:textId="3835C884" w:rsidR="00721C5E" w:rsidRPr="00721C5E" w:rsidRDefault="00721C5E" w:rsidP="00721C5E">
            <w:pPr>
              <w:jc w:val="both"/>
              <w:rPr>
                <w:rFonts w:cstheme="minorHAnsi"/>
                <w:i/>
                <w:iCs/>
                <w:sz w:val="18"/>
                <w:szCs w:val="18"/>
              </w:rPr>
            </w:pPr>
            <w:r w:rsidRPr="00721C5E">
              <w:rPr>
                <w:rFonts w:cstheme="minorHAnsi"/>
                <w:i/>
                <w:iCs/>
                <w:sz w:val="18"/>
                <w:szCs w:val="18"/>
              </w:rPr>
              <w:t xml:space="preserve">Storage and Processing: Collected data is stored in the cloud and </w:t>
            </w:r>
            <w:r w:rsidRPr="00721C5E">
              <w:rPr>
                <w:rFonts w:cstheme="minorHAnsi"/>
                <w:i/>
                <w:iCs/>
                <w:sz w:val="18"/>
                <w:szCs w:val="18"/>
              </w:rPr>
              <w:t>analysed</w:t>
            </w:r>
            <w:r w:rsidRPr="00721C5E">
              <w:rPr>
                <w:rFonts w:cstheme="minorHAnsi"/>
                <w:i/>
                <w:iCs/>
                <w:sz w:val="18"/>
                <w:szCs w:val="18"/>
              </w:rPr>
              <w:t xml:space="preserve"> using an analytics engine to identify patterns and metrics. </w:t>
            </w:r>
          </w:p>
          <w:p w14:paraId="44A9885E" w14:textId="59022E21" w:rsidR="00877F0A" w:rsidRPr="00721C5E" w:rsidRDefault="00721C5E" w:rsidP="00721C5E">
            <w:pPr>
              <w:jc w:val="both"/>
              <w:rPr>
                <w:rFonts w:cstheme="minorHAnsi"/>
                <w:i/>
                <w:iCs/>
                <w:sz w:val="18"/>
                <w:szCs w:val="18"/>
              </w:rPr>
            </w:pPr>
            <w:r w:rsidRPr="00721C5E">
              <w:rPr>
                <w:rFonts w:cstheme="minorHAnsi"/>
                <w:i/>
                <w:iCs/>
                <w:sz w:val="18"/>
                <w:szCs w:val="18"/>
              </w:rPr>
              <w:t xml:space="preserve">Reporting: The </w:t>
            </w:r>
            <w:r w:rsidRPr="00721C5E">
              <w:rPr>
                <w:rFonts w:cstheme="minorHAnsi"/>
                <w:i/>
                <w:iCs/>
                <w:sz w:val="18"/>
                <w:szCs w:val="18"/>
              </w:rPr>
              <w:t>analysed</w:t>
            </w:r>
            <w:r w:rsidRPr="00721C5E">
              <w:rPr>
                <w:rFonts w:cstheme="minorHAnsi"/>
                <w:i/>
                <w:iCs/>
                <w:sz w:val="18"/>
                <w:szCs w:val="18"/>
              </w:rPr>
              <w:t xml:space="preserve"> data is visualized on an ESG Reporting Dashboard, providing insights for stakeholders and ensuring compliance.</w:t>
            </w:r>
          </w:p>
          <w:p w14:paraId="3E6E40FF" w14:textId="77777777" w:rsidR="00721C5E" w:rsidRPr="00C462A0" w:rsidRDefault="00721C5E" w:rsidP="00721C5E">
            <w:pPr>
              <w:jc w:val="both"/>
              <w:rPr>
                <w:rFonts w:cstheme="minorHAnsi"/>
                <w:szCs w:val="20"/>
              </w:rPr>
            </w:pPr>
          </w:p>
          <w:p w14:paraId="36E15DFC" w14:textId="5B2903DA" w:rsidR="00877F0A" w:rsidRPr="00C462A0" w:rsidRDefault="00877F0A" w:rsidP="00CF35C5">
            <w:pPr>
              <w:pStyle w:val="NormalWeb"/>
              <w:numPr>
                <w:ilvl w:val="0"/>
                <w:numId w:val="318"/>
              </w:numPr>
              <w:spacing w:before="0" w:beforeAutospacing="0" w:after="0" w:afterAutospacing="0"/>
              <w:jc w:val="both"/>
              <w:rPr>
                <w:rFonts w:asciiTheme="minorHAnsi" w:hAnsiTheme="minorHAnsi" w:cstheme="minorHAnsi"/>
                <w:b/>
                <w:bCs/>
                <w:color w:val="009889" w:themeColor="accent2"/>
                <w:sz w:val="20"/>
                <w:szCs w:val="20"/>
                <w:lang w:val="en-GB" w:eastAsia="en-GB"/>
              </w:rPr>
            </w:pPr>
            <w:r w:rsidRPr="00C462A0">
              <w:rPr>
                <w:rFonts w:asciiTheme="minorHAnsi" w:hAnsiTheme="minorHAnsi" w:cstheme="minorHAnsi"/>
                <w:b/>
                <w:bCs/>
                <w:color w:val="009889" w:themeColor="accent2"/>
                <w:sz w:val="20"/>
                <w:szCs w:val="20"/>
                <w:lang w:val="en-GB" w:eastAsia="en-GB"/>
              </w:rPr>
              <w:t>Why ESG Platforms Are High-Value Targets</w:t>
            </w:r>
          </w:p>
          <w:p w14:paraId="7EDF4C3B" w14:textId="77777777" w:rsidR="00877F0A" w:rsidRPr="00C462A0" w:rsidRDefault="00877F0A" w:rsidP="00CF35C5">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ESG platforms can attract attackers because they store:</w:t>
            </w:r>
          </w:p>
          <w:p w14:paraId="577C82C5" w14:textId="77777777" w:rsidR="00877F0A" w:rsidRPr="00C462A0" w:rsidRDefault="00877F0A" w:rsidP="00CF35C5">
            <w:pPr>
              <w:pStyle w:val="NormalWeb"/>
              <w:numPr>
                <w:ilvl w:val="0"/>
                <w:numId w:val="277"/>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Sensitive operational data.</w:t>
            </w:r>
          </w:p>
          <w:p w14:paraId="5EB1ABD6" w14:textId="77777777" w:rsidR="00877F0A" w:rsidRPr="00C462A0" w:rsidRDefault="00877F0A" w:rsidP="00CF35C5">
            <w:pPr>
              <w:pStyle w:val="NormalWeb"/>
              <w:numPr>
                <w:ilvl w:val="0"/>
                <w:numId w:val="277"/>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Sustainability metrics that influence public disclosures.</w:t>
            </w:r>
          </w:p>
          <w:p w14:paraId="611A1CA3" w14:textId="77777777" w:rsidR="00877F0A" w:rsidRPr="00C462A0" w:rsidRDefault="00877F0A" w:rsidP="00CF35C5">
            <w:pPr>
              <w:pStyle w:val="NormalWeb"/>
              <w:numPr>
                <w:ilvl w:val="0"/>
                <w:numId w:val="277"/>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Regulatory compliance documentation.</w:t>
            </w:r>
          </w:p>
          <w:p w14:paraId="41C988A2" w14:textId="77777777" w:rsidR="00877F0A" w:rsidRPr="00C462A0" w:rsidRDefault="00877F0A" w:rsidP="00CF35C5">
            <w:pPr>
              <w:pStyle w:val="NormalWeb"/>
              <w:numPr>
                <w:ilvl w:val="0"/>
                <w:numId w:val="277"/>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Strategic corporate performance indicators.</w:t>
            </w:r>
          </w:p>
          <w:p w14:paraId="6B8B8C82" w14:textId="77777777" w:rsidR="00877F0A" w:rsidRPr="00C462A0" w:rsidRDefault="00877F0A" w:rsidP="00CF35C5">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Manipulating ESG data could result in:</w:t>
            </w:r>
          </w:p>
          <w:p w14:paraId="639A5960" w14:textId="77777777" w:rsidR="00877F0A" w:rsidRPr="00C462A0" w:rsidRDefault="00877F0A" w:rsidP="00CF35C5">
            <w:pPr>
              <w:pStyle w:val="NormalWeb"/>
              <w:numPr>
                <w:ilvl w:val="0"/>
                <w:numId w:val="278"/>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Misleading sustainability reporting.</w:t>
            </w:r>
          </w:p>
          <w:p w14:paraId="3363A559" w14:textId="77777777" w:rsidR="00877F0A" w:rsidRPr="00C462A0" w:rsidRDefault="00877F0A" w:rsidP="00CF35C5">
            <w:pPr>
              <w:pStyle w:val="NormalWeb"/>
              <w:numPr>
                <w:ilvl w:val="0"/>
                <w:numId w:val="278"/>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Regulatory penalties.</w:t>
            </w:r>
          </w:p>
          <w:p w14:paraId="10CB0946" w14:textId="77777777" w:rsidR="00877F0A" w:rsidRPr="00C462A0" w:rsidRDefault="00877F0A" w:rsidP="00CF35C5">
            <w:pPr>
              <w:pStyle w:val="NormalWeb"/>
              <w:numPr>
                <w:ilvl w:val="0"/>
                <w:numId w:val="278"/>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Reputational damage.</w:t>
            </w:r>
          </w:p>
          <w:p w14:paraId="582F6FE9" w14:textId="77777777" w:rsidR="00877F0A" w:rsidRPr="00C462A0" w:rsidRDefault="00877F0A" w:rsidP="00CF35C5">
            <w:pPr>
              <w:pStyle w:val="NormalWeb"/>
              <w:numPr>
                <w:ilvl w:val="0"/>
                <w:numId w:val="278"/>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Loss of investor confidence.</w:t>
            </w:r>
          </w:p>
          <w:p w14:paraId="2EE5214D" w14:textId="77777777" w:rsidR="00877F0A" w:rsidRPr="00C462A0" w:rsidRDefault="00877F0A" w:rsidP="00CF35C5">
            <w:pPr>
              <w:pStyle w:val="NormalWeb"/>
              <w:numPr>
                <w:ilvl w:val="0"/>
                <w:numId w:val="278"/>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Legal liabilities.</w:t>
            </w:r>
          </w:p>
          <w:p w14:paraId="273B50C7" w14:textId="77777777" w:rsidR="00877F0A" w:rsidRPr="00C462A0" w:rsidRDefault="00877F0A" w:rsidP="00CF35C5">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The European Union Agency for Cybersecurity identifies data integrity and compliance systems as high-impact targets within digital transformation environments.</w:t>
            </w:r>
          </w:p>
          <w:p w14:paraId="2996B8E9" w14:textId="77777777" w:rsidR="00877F0A" w:rsidRDefault="00877F0A" w:rsidP="00CF35C5">
            <w:pPr>
              <w:pStyle w:val="NormalWeb"/>
              <w:spacing w:before="40" w:beforeAutospacing="0" w:after="40" w:afterAutospacing="0"/>
              <w:jc w:val="both"/>
              <w:rPr>
                <w:rFonts w:asciiTheme="minorHAnsi" w:hAnsiTheme="minorHAnsi" w:cstheme="minorHAnsi"/>
                <w:sz w:val="20"/>
                <w:szCs w:val="20"/>
                <w:lang w:val="en-GB"/>
              </w:rPr>
            </w:pPr>
          </w:p>
          <w:p w14:paraId="15A11789" w14:textId="77777777" w:rsidR="00C462A0" w:rsidRDefault="00C462A0" w:rsidP="00CF35C5">
            <w:pPr>
              <w:pStyle w:val="NormalWeb"/>
              <w:spacing w:before="40" w:beforeAutospacing="0" w:after="40" w:afterAutospacing="0"/>
              <w:jc w:val="both"/>
              <w:rPr>
                <w:rFonts w:asciiTheme="minorHAnsi" w:hAnsiTheme="minorHAnsi" w:cstheme="minorHAnsi"/>
                <w:sz w:val="20"/>
                <w:szCs w:val="20"/>
                <w:lang w:val="en-GB"/>
              </w:rPr>
            </w:pPr>
          </w:p>
          <w:p w14:paraId="16409B96" w14:textId="4C5C34E2" w:rsidR="00877F0A" w:rsidRPr="00C462A0" w:rsidRDefault="00877F0A" w:rsidP="00CF35C5">
            <w:pPr>
              <w:pStyle w:val="NormalWeb"/>
              <w:numPr>
                <w:ilvl w:val="0"/>
                <w:numId w:val="318"/>
              </w:numPr>
              <w:spacing w:before="0" w:beforeAutospacing="0" w:after="0" w:afterAutospacing="0"/>
              <w:jc w:val="both"/>
              <w:rPr>
                <w:rFonts w:asciiTheme="minorHAnsi" w:hAnsiTheme="minorHAnsi" w:cstheme="minorHAnsi"/>
                <w:b/>
                <w:bCs/>
                <w:color w:val="009889" w:themeColor="accent2"/>
                <w:sz w:val="20"/>
                <w:szCs w:val="20"/>
                <w:lang w:val="en-GB" w:eastAsia="en-GB"/>
              </w:rPr>
            </w:pPr>
            <w:r w:rsidRPr="00C462A0">
              <w:rPr>
                <w:rFonts w:asciiTheme="minorHAnsi" w:hAnsiTheme="minorHAnsi" w:cstheme="minorHAnsi"/>
                <w:b/>
                <w:bCs/>
                <w:color w:val="009889" w:themeColor="accent2"/>
                <w:sz w:val="20"/>
                <w:szCs w:val="20"/>
                <w:lang w:val="en-GB" w:eastAsia="en-GB"/>
              </w:rPr>
              <w:t>Common Threat Vectors Affecting ESG Platforms</w:t>
            </w:r>
          </w:p>
          <w:p w14:paraId="479D9445" w14:textId="77777777" w:rsidR="00877F0A" w:rsidRPr="00C462A0" w:rsidRDefault="00877F0A" w:rsidP="00CF35C5">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The common threat vectors affecting ESG platforms are:</w:t>
            </w:r>
          </w:p>
          <w:p w14:paraId="034DFF8D" w14:textId="77777777" w:rsidR="00877F0A" w:rsidRPr="00C462A0" w:rsidRDefault="00877F0A" w:rsidP="00CF35C5">
            <w:pPr>
              <w:pStyle w:val="NormalWeb"/>
              <w:numPr>
                <w:ilvl w:val="0"/>
                <w:numId w:val="279"/>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b/>
                <w:bCs/>
                <w:sz w:val="20"/>
                <w:szCs w:val="20"/>
                <w:lang w:val="en-GB"/>
              </w:rPr>
              <w:t>API Exploitation</w:t>
            </w:r>
            <w:r w:rsidRPr="00C462A0">
              <w:rPr>
                <w:rFonts w:asciiTheme="minorHAnsi" w:hAnsiTheme="minorHAnsi" w:cstheme="minorHAnsi"/>
                <w:sz w:val="20"/>
                <w:szCs w:val="20"/>
                <w:lang w:val="en-GB"/>
              </w:rPr>
              <w:t>: Weakly secured APIs connecting IoT or ERP systems can enable unauthorised access to data.</w:t>
            </w:r>
          </w:p>
          <w:p w14:paraId="62516796" w14:textId="77777777" w:rsidR="00877F0A" w:rsidRPr="00C462A0" w:rsidRDefault="00877F0A" w:rsidP="00CF35C5">
            <w:pPr>
              <w:pStyle w:val="NormalWeb"/>
              <w:numPr>
                <w:ilvl w:val="0"/>
                <w:numId w:val="279"/>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b/>
                <w:bCs/>
                <w:sz w:val="20"/>
                <w:szCs w:val="20"/>
                <w:lang w:val="en-GB"/>
              </w:rPr>
              <w:t>Credential-Based Attacks:</w:t>
            </w:r>
            <w:r w:rsidRPr="00C462A0">
              <w:rPr>
                <w:rFonts w:asciiTheme="minorHAnsi" w:hAnsiTheme="minorHAnsi" w:cstheme="minorHAnsi"/>
                <w:sz w:val="20"/>
                <w:szCs w:val="20"/>
                <w:lang w:val="en-GB"/>
              </w:rPr>
              <w:t xml:space="preserve"> Phishing campaigns targeting ESG analysts or compliance officers may lead to dashboard compromise.</w:t>
            </w:r>
          </w:p>
          <w:p w14:paraId="67FFDB81" w14:textId="77777777" w:rsidR="00877F0A" w:rsidRPr="00C462A0" w:rsidRDefault="00877F0A" w:rsidP="00CF35C5">
            <w:pPr>
              <w:pStyle w:val="NormalWeb"/>
              <w:numPr>
                <w:ilvl w:val="0"/>
                <w:numId w:val="279"/>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b/>
                <w:bCs/>
                <w:sz w:val="20"/>
                <w:szCs w:val="20"/>
                <w:lang w:val="en-GB"/>
              </w:rPr>
              <w:t>Data Manipulation and Integrity Attacks:</w:t>
            </w:r>
            <w:r w:rsidRPr="00C462A0">
              <w:rPr>
                <w:rFonts w:asciiTheme="minorHAnsi" w:hAnsiTheme="minorHAnsi" w:cstheme="minorHAnsi"/>
                <w:sz w:val="20"/>
                <w:szCs w:val="20"/>
                <w:lang w:val="en-GB"/>
              </w:rPr>
              <w:t xml:space="preserve"> Altering stored sustainability metrics can directly affect official disclosures.</w:t>
            </w:r>
          </w:p>
          <w:p w14:paraId="5D94D7ED" w14:textId="77777777" w:rsidR="00877F0A" w:rsidRPr="00C462A0" w:rsidRDefault="00877F0A" w:rsidP="00CF35C5">
            <w:pPr>
              <w:pStyle w:val="NormalWeb"/>
              <w:numPr>
                <w:ilvl w:val="0"/>
                <w:numId w:val="279"/>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b/>
                <w:bCs/>
                <w:sz w:val="20"/>
                <w:szCs w:val="20"/>
                <w:lang w:val="en-GB"/>
              </w:rPr>
              <w:t>Cloud Misconfiguration</w:t>
            </w:r>
            <w:r w:rsidRPr="00C462A0">
              <w:rPr>
                <w:rFonts w:asciiTheme="minorHAnsi" w:hAnsiTheme="minorHAnsi" w:cstheme="minorHAnsi"/>
                <w:sz w:val="20"/>
                <w:szCs w:val="20"/>
                <w:lang w:val="en-GB"/>
              </w:rPr>
              <w:t>: Incorrect access control settings may expose databases to public access.</w:t>
            </w:r>
          </w:p>
          <w:p w14:paraId="322C86CD" w14:textId="77777777" w:rsidR="00877F0A" w:rsidRPr="00C462A0" w:rsidRDefault="00877F0A" w:rsidP="00CF35C5">
            <w:pPr>
              <w:pStyle w:val="NormalWeb"/>
              <w:numPr>
                <w:ilvl w:val="0"/>
                <w:numId w:val="279"/>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b/>
                <w:bCs/>
                <w:sz w:val="20"/>
                <w:szCs w:val="20"/>
                <w:lang w:val="en-GB"/>
              </w:rPr>
              <w:t>Insider Threats</w:t>
            </w:r>
            <w:r w:rsidRPr="00C462A0">
              <w:rPr>
                <w:rFonts w:asciiTheme="minorHAnsi" w:hAnsiTheme="minorHAnsi" w:cstheme="minorHAnsi"/>
                <w:sz w:val="20"/>
                <w:szCs w:val="20"/>
                <w:lang w:val="en-GB"/>
              </w:rPr>
              <w:t>: Privileged users may deliberately or inadvertently modify ESG data.</w:t>
            </w:r>
          </w:p>
          <w:p w14:paraId="713C28EE" w14:textId="77777777" w:rsidR="00877F0A" w:rsidRPr="00C462A0" w:rsidRDefault="00877F0A" w:rsidP="00CF35C5">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The OWASP Foundation Top 10 offers guidance on web application vulnerabilities that are particularly relevant to ESG dashboards and reporting portals.</w:t>
            </w:r>
          </w:p>
          <w:p w14:paraId="6064F6BC" w14:textId="77777777" w:rsidR="00CF35C5" w:rsidRPr="00C462A0" w:rsidRDefault="00CF35C5" w:rsidP="00CF35C5">
            <w:pPr>
              <w:pStyle w:val="NormalWeb"/>
              <w:spacing w:before="40" w:beforeAutospacing="0" w:after="40" w:afterAutospacing="0"/>
              <w:jc w:val="both"/>
              <w:rPr>
                <w:rFonts w:asciiTheme="minorHAnsi" w:hAnsiTheme="minorHAnsi" w:cstheme="minorHAnsi"/>
                <w:sz w:val="20"/>
                <w:szCs w:val="20"/>
                <w:lang w:val="en-GB"/>
              </w:rPr>
            </w:pPr>
          </w:p>
          <w:p w14:paraId="2BFB3716" w14:textId="77777777" w:rsidR="00877F0A" w:rsidRPr="00C462A0" w:rsidRDefault="00877F0A" w:rsidP="00CF35C5">
            <w:pPr>
              <w:pStyle w:val="NormalWeb"/>
              <w:keepNext/>
              <w:spacing w:before="40" w:beforeAutospacing="0" w:after="40" w:afterAutospacing="0"/>
              <w:jc w:val="center"/>
              <w:rPr>
                <w:rFonts w:asciiTheme="minorHAnsi" w:hAnsiTheme="minorHAnsi" w:cstheme="minorHAnsi"/>
                <w:sz w:val="20"/>
                <w:szCs w:val="20"/>
                <w:lang w:val="en-GB"/>
              </w:rPr>
            </w:pPr>
            <w:r w:rsidRPr="00C462A0">
              <w:rPr>
                <w:rFonts w:asciiTheme="minorHAnsi" w:hAnsiTheme="minorHAnsi" w:cstheme="minorHAnsi"/>
                <w:noProof/>
                <w:sz w:val="20"/>
                <w:szCs w:val="20"/>
                <w:lang w:val="en-GB"/>
              </w:rPr>
              <w:lastRenderedPageBreak/>
              <w:drawing>
                <wp:inline distT="0" distB="0" distL="0" distR="0" wp14:anchorId="57E3A2C6" wp14:editId="42E557D1">
                  <wp:extent cx="5476875" cy="3651634"/>
                  <wp:effectExtent l="0" t="0" r="0" b="6350"/>
                  <wp:docPr id="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pic:cNvPicPr>
                        </pic:nvPicPr>
                        <pic:blipFill>
                          <a:blip r:embed="rId74"/>
                          <a:stretch/>
                        </pic:blipFill>
                        <pic:spPr bwMode="auto">
                          <a:xfrm>
                            <a:off x="0" y="0"/>
                            <a:ext cx="5491496" cy="3661382"/>
                          </a:xfrm>
                          <a:prstGeom prst="rect">
                            <a:avLst/>
                          </a:prstGeom>
                          <a:noFill/>
                          <a:ln>
                            <a:noFill/>
                          </a:ln>
                        </pic:spPr>
                      </pic:pic>
                    </a:graphicData>
                  </a:graphic>
                </wp:inline>
              </w:drawing>
            </w:r>
          </w:p>
          <w:p w14:paraId="5F7D0DF3" w14:textId="75DBF77C" w:rsidR="00877F0A" w:rsidRPr="00C462A0" w:rsidRDefault="00877F0A" w:rsidP="00CF35C5">
            <w:pPr>
              <w:pStyle w:val="Caption"/>
              <w:jc w:val="center"/>
              <w:rPr>
                <w:rFonts w:cstheme="minorHAnsi"/>
                <w:b w:val="0"/>
                <w:bCs w:val="0"/>
                <w:sz w:val="18"/>
                <w:szCs w:val="18"/>
              </w:rPr>
            </w:pPr>
            <w:bookmarkStart w:id="39" w:name="_Toc227623455"/>
            <w:r w:rsidRPr="00C462A0">
              <w:rPr>
                <w:rFonts w:cstheme="minorHAnsi"/>
                <w:b w:val="0"/>
                <w:bCs w:val="0"/>
                <w:sz w:val="18"/>
                <w:szCs w:val="18"/>
              </w:rPr>
              <w:t xml:space="preserve">Figure </w:t>
            </w:r>
            <w:r w:rsidRPr="00C462A0">
              <w:rPr>
                <w:rFonts w:cstheme="minorHAnsi"/>
                <w:b w:val="0"/>
                <w:bCs w:val="0"/>
                <w:sz w:val="18"/>
                <w:szCs w:val="18"/>
              </w:rPr>
              <w:fldChar w:fldCharType="begin"/>
            </w:r>
            <w:r w:rsidRPr="00C462A0">
              <w:rPr>
                <w:rFonts w:cstheme="minorHAnsi"/>
                <w:b w:val="0"/>
                <w:bCs w:val="0"/>
                <w:sz w:val="18"/>
                <w:szCs w:val="18"/>
              </w:rPr>
              <w:instrText xml:space="preserve"> SEQ Figure \* ARABIC </w:instrText>
            </w:r>
            <w:r w:rsidRPr="00C462A0">
              <w:rPr>
                <w:rFonts w:cstheme="minorHAnsi"/>
                <w:b w:val="0"/>
                <w:bCs w:val="0"/>
                <w:sz w:val="18"/>
                <w:szCs w:val="18"/>
              </w:rPr>
              <w:fldChar w:fldCharType="separate"/>
            </w:r>
            <w:r w:rsidRPr="00C462A0">
              <w:rPr>
                <w:rFonts w:cstheme="minorHAnsi"/>
                <w:b w:val="0"/>
                <w:bCs w:val="0"/>
                <w:sz w:val="18"/>
                <w:szCs w:val="18"/>
              </w:rPr>
              <w:t>18</w:t>
            </w:r>
            <w:r w:rsidRPr="00C462A0">
              <w:rPr>
                <w:rFonts w:cstheme="minorHAnsi"/>
                <w:b w:val="0"/>
                <w:bCs w:val="0"/>
                <w:sz w:val="18"/>
                <w:szCs w:val="18"/>
              </w:rPr>
              <w:fldChar w:fldCharType="end"/>
            </w:r>
            <w:r w:rsidR="00CF35C5" w:rsidRPr="00C462A0">
              <w:rPr>
                <w:rFonts w:cstheme="minorHAnsi"/>
                <w:b w:val="0"/>
                <w:bCs w:val="0"/>
                <w:sz w:val="18"/>
                <w:szCs w:val="18"/>
              </w:rPr>
              <w:t xml:space="preserve">. </w:t>
            </w:r>
            <w:r w:rsidRPr="00C462A0">
              <w:rPr>
                <w:rFonts w:cstheme="minorHAnsi"/>
                <w:b w:val="0"/>
                <w:bCs w:val="0"/>
                <w:sz w:val="18"/>
                <w:szCs w:val="18"/>
              </w:rPr>
              <w:t xml:space="preserve"> Example attack chain targeting an ESG platform. Initial access through phishing or APIs can lead to data manipulation and inaccurate ESG reporting with regulatory consequences</w:t>
            </w:r>
            <w:r w:rsidR="00CF35C5" w:rsidRPr="00C462A0">
              <w:rPr>
                <w:rFonts w:cstheme="minorHAnsi"/>
                <w:b w:val="0"/>
                <w:bCs w:val="0"/>
                <w:sz w:val="18"/>
                <w:szCs w:val="18"/>
              </w:rPr>
              <w:t xml:space="preserve"> (source: Author)</w:t>
            </w:r>
            <w:bookmarkEnd w:id="39"/>
          </w:p>
          <w:p w14:paraId="5B8CFDA4" w14:textId="77777777" w:rsidR="00877F0A" w:rsidRDefault="00877F0A" w:rsidP="00CF35C5">
            <w:pPr>
              <w:jc w:val="both"/>
              <w:rPr>
                <w:rFonts w:cstheme="minorHAnsi"/>
                <w:szCs w:val="20"/>
              </w:rPr>
            </w:pPr>
          </w:p>
          <w:p w14:paraId="6E1C7757" w14:textId="278471B4" w:rsidR="00721C5E" w:rsidRPr="00721C5E" w:rsidRDefault="00721C5E" w:rsidP="00721C5E">
            <w:pPr>
              <w:jc w:val="both"/>
              <w:rPr>
                <w:rFonts w:cstheme="minorHAnsi"/>
                <w:i/>
                <w:iCs/>
                <w:sz w:val="18"/>
                <w:szCs w:val="18"/>
              </w:rPr>
            </w:pPr>
            <w:r w:rsidRPr="00721C5E">
              <w:rPr>
                <w:rFonts w:cstheme="minorHAnsi"/>
                <w:i/>
                <w:iCs/>
                <w:sz w:val="18"/>
                <w:szCs w:val="18"/>
              </w:rPr>
              <w:t>Th</w:t>
            </w:r>
            <w:r>
              <w:rPr>
                <w:rFonts w:cstheme="minorHAnsi"/>
                <w:i/>
                <w:iCs/>
                <w:sz w:val="18"/>
                <w:szCs w:val="18"/>
              </w:rPr>
              <w:t>e</w:t>
            </w:r>
            <w:r w:rsidRPr="00721C5E">
              <w:rPr>
                <w:rFonts w:cstheme="minorHAnsi"/>
                <w:i/>
                <w:iCs/>
                <w:sz w:val="18"/>
                <w:szCs w:val="18"/>
              </w:rPr>
              <w:t xml:space="preserve"> diagram</w:t>
            </w:r>
            <w:r>
              <w:rPr>
                <w:rFonts w:cstheme="minorHAnsi"/>
                <w:i/>
                <w:iCs/>
                <w:sz w:val="18"/>
                <w:szCs w:val="18"/>
              </w:rPr>
              <w:t xml:space="preserve"> above</w:t>
            </w:r>
            <w:r w:rsidRPr="00721C5E">
              <w:rPr>
                <w:rFonts w:cstheme="minorHAnsi"/>
                <w:i/>
                <w:iCs/>
                <w:sz w:val="18"/>
                <w:szCs w:val="18"/>
              </w:rPr>
              <w:t xml:space="preserve"> illustrates a five-stage cyberattack flow targeting an organization's Environmental, Social, and Governance (ESG) platform, highlighting how malicious actions can manipulate data and cause significant business impact.</w:t>
            </w:r>
          </w:p>
          <w:p w14:paraId="551B40B0" w14:textId="77777777" w:rsidR="00721C5E" w:rsidRPr="00721C5E" w:rsidRDefault="00721C5E" w:rsidP="00721C5E">
            <w:pPr>
              <w:jc w:val="both"/>
              <w:rPr>
                <w:rFonts w:cstheme="minorHAnsi"/>
                <w:i/>
                <w:iCs/>
                <w:sz w:val="18"/>
                <w:szCs w:val="18"/>
              </w:rPr>
            </w:pPr>
            <w:r w:rsidRPr="00721C5E">
              <w:rPr>
                <w:rFonts w:cstheme="minorHAnsi"/>
                <w:i/>
                <w:iCs/>
                <w:sz w:val="18"/>
                <w:szCs w:val="18"/>
              </w:rPr>
              <w:t>Initial Compromise: The attack begins with phishing or API exploitation to gain unauthorized access.</w:t>
            </w:r>
          </w:p>
          <w:p w14:paraId="118D71FD" w14:textId="77777777" w:rsidR="00721C5E" w:rsidRPr="00721C5E" w:rsidRDefault="00721C5E" w:rsidP="00721C5E">
            <w:pPr>
              <w:jc w:val="both"/>
              <w:rPr>
                <w:rFonts w:cstheme="minorHAnsi"/>
                <w:i/>
                <w:iCs/>
                <w:sz w:val="18"/>
                <w:szCs w:val="18"/>
              </w:rPr>
            </w:pPr>
            <w:r w:rsidRPr="00721C5E">
              <w:rPr>
                <w:rFonts w:cstheme="minorHAnsi"/>
                <w:i/>
                <w:iCs/>
                <w:sz w:val="18"/>
                <w:szCs w:val="18"/>
              </w:rPr>
              <w:t>Data Manipulation: Attackers misuse credentials to alter data within cloud databases and integrated systems like ERP and IoT sensors.</w:t>
            </w:r>
          </w:p>
          <w:p w14:paraId="3389FFFF" w14:textId="7A5AA669" w:rsidR="00721C5E" w:rsidRPr="00721C5E" w:rsidRDefault="00721C5E" w:rsidP="00721C5E">
            <w:pPr>
              <w:jc w:val="both"/>
              <w:rPr>
                <w:rFonts w:cstheme="minorHAnsi"/>
                <w:i/>
                <w:iCs/>
                <w:sz w:val="18"/>
                <w:szCs w:val="18"/>
              </w:rPr>
            </w:pPr>
            <w:r w:rsidRPr="00721C5E">
              <w:rPr>
                <w:rFonts w:cstheme="minorHAnsi"/>
                <w:i/>
                <w:iCs/>
                <w:sz w:val="18"/>
                <w:szCs w:val="18"/>
              </w:rPr>
              <w:t>Consequence: This results in the publication of inaccurate ESG reports, leading to regulatory penalties and severe reputational damage.</w:t>
            </w:r>
          </w:p>
          <w:p w14:paraId="28CDD655" w14:textId="77777777" w:rsidR="00721C5E" w:rsidRPr="00C462A0" w:rsidRDefault="00721C5E" w:rsidP="00CF35C5">
            <w:pPr>
              <w:jc w:val="both"/>
              <w:rPr>
                <w:rFonts w:cstheme="minorHAnsi"/>
                <w:szCs w:val="20"/>
              </w:rPr>
            </w:pPr>
          </w:p>
          <w:p w14:paraId="4AEB58AA" w14:textId="77777777" w:rsidR="00877F0A" w:rsidRPr="00C462A0" w:rsidRDefault="00877F0A" w:rsidP="00CF35C5">
            <w:pPr>
              <w:pStyle w:val="NormalWeb"/>
              <w:numPr>
                <w:ilvl w:val="0"/>
                <w:numId w:val="318"/>
              </w:numPr>
              <w:spacing w:before="0" w:beforeAutospacing="0" w:after="0" w:afterAutospacing="0"/>
              <w:jc w:val="both"/>
              <w:rPr>
                <w:rFonts w:asciiTheme="minorHAnsi" w:hAnsiTheme="minorHAnsi" w:cstheme="minorHAnsi"/>
                <w:b/>
                <w:bCs/>
                <w:color w:val="009889" w:themeColor="accent2"/>
                <w:sz w:val="20"/>
                <w:szCs w:val="20"/>
                <w:lang w:val="en-GB" w:eastAsia="en-GB"/>
              </w:rPr>
            </w:pPr>
            <w:r w:rsidRPr="00C462A0">
              <w:rPr>
                <w:rFonts w:asciiTheme="minorHAnsi" w:hAnsiTheme="minorHAnsi" w:cstheme="minorHAnsi"/>
                <w:b/>
                <w:bCs/>
                <w:color w:val="009889" w:themeColor="accent2"/>
                <w:sz w:val="20"/>
                <w:szCs w:val="20"/>
                <w:lang w:val="en-GB" w:eastAsia="en-GB"/>
              </w:rPr>
              <w:t>Risk Considerations for ESG Systems</w:t>
            </w:r>
          </w:p>
          <w:p w14:paraId="41B554AA" w14:textId="77777777" w:rsidR="00877F0A" w:rsidRPr="00C462A0" w:rsidRDefault="00877F0A" w:rsidP="00CF35C5">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Risk assessment for ESG platforms needs to reflect how these systems are used: they consolidate sustainability metrics, supporting evidence, approvals, and publication workflows that may be examined by auditors, regulators, investors, and customers. The security objective is therefore broader than service continuity. It includes protecting the reliability of reported figures and the organisation’s ability to demonstrate how those figures were produced.</w:t>
            </w:r>
          </w:p>
          <w:p w14:paraId="647DCE9B" w14:textId="77777777" w:rsidR="00877F0A" w:rsidRPr="00C462A0" w:rsidRDefault="00877F0A" w:rsidP="00CF35C5">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A practical assessment starts from the ESG data lifecycle. Many ESG values are derived from multiple sources, including IoT telemetry, energy management tools, ERP data, supplier declarations, and manual inputs. Each interface introduces opportunities for data alteration, loss, or misattribution. For this reason, integrity controls are often as important as confidentiality controls. Examples include controlled data ingestion, validation checks, segregation of duties for changes, and preservation of evidence for calculations and adjustments.</w:t>
            </w:r>
          </w:p>
          <w:p w14:paraId="496BE9C6" w14:textId="77777777" w:rsidR="00877F0A" w:rsidRPr="00C462A0" w:rsidRDefault="00877F0A" w:rsidP="00CF35C5">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 xml:space="preserve">ESG platforms also carry governance and compliance risk. Where ESG reporting obligations apply, a cyber incident can affect deadlines, completeness of disclosures, and the availability of supporting records. This is relevant even when there is no obvious data leak. Security </w:t>
            </w:r>
            <w:r w:rsidRPr="00C462A0">
              <w:rPr>
                <w:rFonts w:asciiTheme="minorHAnsi" w:hAnsiTheme="minorHAnsi" w:cstheme="minorHAnsi"/>
                <w:sz w:val="20"/>
                <w:szCs w:val="20"/>
                <w:lang w:val="en-GB"/>
              </w:rPr>
              <w:lastRenderedPageBreak/>
              <w:t>governance should therefore align with reporting cycles and approval processes, ensuring appropriate access control for contributors and approvers, clear accountability for changes, and audit-ready logging.</w:t>
            </w:r>
          </w:p>
          <w:p w14:paraId="4BF4261F" w14:textId="77777777" w:rsidR="00877F0A" w:rsidRPr="00C462A0" w:rsidRDefault="00877F0A" w:rsidP="00CF35C5">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Finally, stakeholder trust is a direct risk factor. If reported sustainability information is later found to be inaccurate or unsubstantiated, the impact can include reputational damage, contractual disputes, and increased regulatory scrutiny. For this reason, ESG security planning should explicitly consider the quality and traceability of data alongside traditional technical risk metrics.</w:t>
            </w:r>
          </w:p>
          <w:p w14:paraId="70676141" w14:textId="77777777" w:rsidR="00877F0A" w:rsidRPr="00C462A0" w:rsidRDefault="00877F0A" w:rsidP="00CF35C5">
            <w:pPr>
              <w:pStyle w:val="NormalWeb"/>
              <w:spacing w:before="40" w:beforeAutospacing="0" w:after="40" w:afterAutospacing="0"/>
              <w:jc w:val="both"/>
              <w:rPr>
                <w:rFonts w:asciiTheme="minorHAnsi" w:hAnsiTheme="minorHAnsi" w:cstheme="minorHAnsi"/>
                <w:sz w:val="20"/>
                <w:szCs w:val="20"/>
                <w:lang w:val="en-GB"/>
              </w:rPr>
            </w:pPr>
          </w:p>
          <w:p w14:paraId="490AED54" w14:textId="77777777" w:rsidR="00877F0A" w:rsidRPr="00C462A0" w:rsidRDefault="00877F0A" w:rsidP="00CF35C5">
            <w:pPr>
              <w:pStyle w:val="NormalWeb"/>
              <w:spacing w:before="0" w:beforeAutospacing="0" w:after="0" w:afterAutospacing="0"/>
              <w:jc w:val="both"/>
              <w:rPr>
                <w:rFonts w:asciiTheme="minorHAnsi" w:hAnsiTheme="minorHAnsi" w:cstheme="minorHAnsi"/>
                <w:b/>
                <w:color w:val="00AC4E" w:themeColor="accent1"/>
                <w:sz w:val="20"/>
                <w:szCs w:val="20"/>
                <w:u w:val="single"/>
                <w:lang w:val="en-GB"/>
              </w:rPr>
            </w:pPr>
            <w:r w:rsidRPr="00C462A0">
              <w:rPr>
                <w:rFonts w:asciiTheme="minorHAnsi" w:hAnsiTheme="minorHAnsi" w:cstheme="minorHAnsi"/>
                <w:b/>
                <w:color w:val="00AC4E" w:themeColor="accent1"/>
                <w:sz w:val="20"/>
                <w:szCs w:val="20"/>
                <w:u w:val="single"/>
                <w:lang w:val="en-GB"/>
              </w:rPr>
              <w:t>Micro-Activity</w:t>
            </w:r>
          </w:p>
          <w:p w14:paraId="433F8CF4" w14:textId="77777777" w:rsidR="00877F0A" w:rsidRPr="00C462A0" w:rsidRDefault="00877F0A" w:rsidP="00CF35C5">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Consider an organisation using a cloud-based ESG platform that aggregates:</w:t>
            </w:r>
          </w:p>
          <w:p w14:paraId="780F3385" w14:textId="77777777" w:rsidR="00877F0A" w:rsidRPr="00C462A0" w:rsidRDefault="00877F0A" w:rsidP="00CF35C5">
            <w:pPr>
              <w:pStyle w:val="NormalWeb"/>
              <w:numPr>
                <w:ilvl w:val="0"/>
                <w:numId w:val="280"/>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IoT energy consumption data</w:t>
            </w:r>
          </w:p>
          <w:p w14:paraId="7A386F12" w14:textId="77777777" w:rsidR="00877F0A" w:rsidRPr="00C462A0" w:rsidRDefault="00877F0A" w:rsidP="00CF35C5">
            <w:pPr>
              <w:pStyle w:val="NormalWeb"/>
              <w:numPr>
                <w:ilvl w:val="0"/>
                <w:numId w:val="280"/>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Supply chain carbon metrics</w:t>
            </w:r>
          </w:p>
          <w:p w14:paraId="620A0C2F" w14:textId="77777777" w:rsidR="00877F0A" w:rsidRPr="00C462A0" w:rsidRDefault="00877F0A" w:rsidP="00CF35C5">
            <w:pPr>
              <w:pStyle w:val="NormalWeb"/>
              <w:numPr>
                <w:ilvl w:val="0"/>
                <w:numId w:val="280"/>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Manual sustainability disclosures</w:t>
            </w:r>
          </w:p>
          <w:p w14:paraId="368250A6" w14:textId="0FEBC63E" w:rsidR="00877F0A" w:rsidRPr="00C462A0" w:rsidRDefault="00CF35C5" w:rsidP="00CF35C5">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Learner t</w:t>
            </w:r>
            <w:r w:rsidR="00877F0A" w:rsidRPr="00C462A0">
              <w:rPr>
                <w:rFonts w:asciiTheme="minorHAnsi" w:hAnsiTheme="minorHAnsi" w:cstheme="minorHAnsi"/>
                <w:sz w:val="20"/>
                <w:szCs w:val="20"/>
                <w:lang w:val="en-GB"/>
              </w:rPr>
              <w:t>ask:</w:t>
            </w:r>
          </w:p>
          <w:p w14:paraId="405CC786" w14:textId="77777777" w:rsidR="00877F0A" w:rsidRPr="00C462A0" w:rsidRDefault="00877F0A" w:rsidP="00CF35C5">
            <w:pPr>
              <w:pStyle w:val="NormalWeb"/>
              <w:numPr>
                <w:ilvl w:val="0"/>
                <w:numId w:val="285"/>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Identify one critical asset within the ESG system.</w:t>
            </w:r>
          </w:p>
          <w:p w14:paraId="425F23A4" w14:textId="77777777" w:rsidR="00877F0A" w:rsidRPr="00C462A0" w:rsidRDefault="00877F0A" w:rsidP="00CF35C5">
            <w:pPr>
              <w:pStyle w:val="NormalWeb"/>
              <w:numPr>
                <w:ilvl w:val="0"/>
                <w:numId w:val="285"/>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Identify one realistic threat vector.</w:t>
            </w:r>
          </w:p>
          <w:p w14:paraId="56E71AC0" w14:textId="77777777" w:rsidR="00877F0A" w:rsidRPr="00C462A0" w:rsidRDefault="00877F0A" w:rsidP="00CF35C5">
            <w:pPr>
              <w:pStyle w:val="NormalWeb"/>
              <w:numPr>
                <w:ilvl w:val="0"/>
                <w:numId w:val="285"/>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Describe the potential regulatory or reputational consequences.</w:t>
            </w:r>
          </w:p>
          <w:p w14:paraId="7AFA1F39" w14:textId="77777777" w:rsidR="00877F0A" w:rsidRPr="00C462A0" w:rsidRDefault="00877F0A" w:rsidP="00CF35C5">
            <w:pPr>
              <w:pStyle w:val="NormalWeb"/>
              <w:numPr>
                <w:ilvl w:val="0"/>
                <w:numId w:val="285"/>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Suggest one preventive control and one detective control.</w:t>
            </w:r>
          </w:p>
          <w:p w14:paraId="688CC7FD" w14:textId="77777777" w:rsidR="00877F0A" w:rsidRPr="00C462A0" w:rsidRDefault="00877F0A" w:rsidP="00CF35C5">
            <w:pPr>
              <w:pStyle w:val="NormalWeb"/>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Respond in 8–10 structured sentences.</w:t>
            </w:r>
          </w:p>
          <w:p w14:paraId="7BE11F88" w14:textId="77777777" w:rsidR="00877F0A" w:rsidRPr="00C462A0" w:rsidRDefault="00877F0A" w:rsidP="00CF35C5">
            <w:pPr>
              <w:pStyle w:val="NormalWeb"/>
              <w:spacing w:before="40" w:beforeAutospacing="0" w:after="40" w:afterAutospacing="0"/>
              <w:jc w:val="both"/>
              <w:rPr>
                <w:rFonts w:asciiTheme="minorHAnsi" w:hAnsiTheme="minorHAnsi" w:cstheme="minorHAnsi"/>
                <w:sz w:val="20"/>
                <w:szCs w:val="20"/>
                <w:lang w:val="en-GB"/>
              </w:rPr>
            </w:pPr>
          </w:p>
          <w:p w14:paraId="06839075" w14:textId="77777777" w:rsidR="00877F0A" w:rsidRPr="00C462A0" w:rsidRDefault="00877F0A" w:rsidP="00CF35C5">
            <w:pPr>
              <w:pStyle w:val="NormalWeb"/>
              <w:spacing w:before="0" w:beforeAutospacing="0" w:after="0" w:afterAutospacing="0"/>
              <w:jc w:val="both"/>
              <w:rPr>
                <w:rFonts w:asciiTheme="minorHAnsi" w:hAnsiTheme="minorHAnsi" w:cstheme="minorHAnsi"/>
                <w:b/>
                <w:color w:val="00AC4E" w:themeColor="accent1"/>
                <w:sz w:val="20"/>
                <w:szCs w:val="20"/>
                <w:lang w:val="en-GB"/>
              </w:rPr>
            </w:pPr>
            <w:r w:rsidRPr="00C462A0">
              <w:rPr>
                <w:rFonts w:asciiTheme="minorHAnsi" w:hAnsiTheme="minorHAnsi" w:cstheme="minorHAnsi"/>
                <w:b/>
                <w:color w:val="00AC4E" w:themeColor="accent1"/>
                <w:sz w:val="20"/>
                <w:szCs w:val="20"/>
                <w:lang w:val="en-GB"/>
              </w:rPr>
              <w:t>Additional Reading:</w:t>
            </w:r>
          </w:p>
          <w:p w14:paraId="5AE7CB00" w14:textId="77777777" w:rsidR="00CF35C5" w:rsidRPr="00C462A0" w:rsidRDefault="00877F0A" w:rsidP="00CF35C5">
            <w:pPr>
              <w:pStyle w:val="ListParagraph"/>
              <w:numPr>
                <w:ilvl w:val="0"/>
                <w:numId w:val="280"/>
              </w:numPr>
              <w:jc w:val="both"/>
              <w:rPr>
                <w:rFonts w:cstheme="minorHAnsi"/>
                <w:color w:val="00AC4E" w:themeColor="accent1"/>
                <w:szCs w:val="20"/>
              </w:rPr>
            </w:pPr>
            <w:hyperlink r:id="rId75" w:history="1">
              <w:r w:rsidRPr="00C462A0">
                <w:rPr>
                  <w:rStyle w:val="Hyperlink"/>
                  <w:rFonts w:cstheme="minorHAnsi"/>
                  <w:color w:val="00AC4E" w:themeColor="accent1"/>
                  <w:szCs w:val="20"/>
                </w:rPr>
                <w:t>European Commission – Corporate Sustainability Reporting Directive (CSRD)</w:t>
              </w:r>
            </w:hyperlink>
          </w:p>
          <w:p w14:paraId="00498949" w14:textId="0963952C" w:rsidR="00877F0A" w:rsidRPr="00C462A0" w:rsidRDefault="00877F0A" w:rsidP="00CF35C5">
            <w:pPr>
              <w:pStyle w:val="ListParagraph"/>
              <w:jc w:val="both"/>
              <w:rPr>
                <w:rFonts w:cstheme="minorHAnsi"/>
                <w:szCs w:val="20"/>
              </w:rPr>
            </w:pPr>
            <w:r w:rsidRPr="00C462A0">
              <w:rPr>
                <w:rFonts w:cstheme="minorHAnsi"/>
                <w:szCs w:val="20"/>
              </w:rPr>
              <w:t xml:space="preserve">Provides the regulatory framework governing sustainability reporting obligations in the EU, including requirements for reliability, traceability, and auditability of ESG data, </w:t>
            </w:r>
          </w:p>
          <w:p w14:paraId="1060C79C" w14:textId="77777777" w:rsidR="00CF35C5" w:rsidRPr="00C462A0" w:rsidRDefault="00877F0A" w:rsidP="00CF35C5">
            <w:pPr>
              <w:pStyle w:val="ListParagraph"/>
              <w:numPr>
                <w:ilvl w:val="0"/>
                <w:numId w:val="280"/>
              </w:numPr>
              <w:jc w:val="both"/>
              <w:rPr>
                <w:rFonts w:cstheme="minorHAnsi"/>
                <w:color w:val="00AC4E" w:themeColor="accent1"/>
                <w:szCs w:val="20"/>
              </w:rPr>
            </w:pPr>
            <w:hyperlink r:id="rId76" w:history="1">
              <w:r w:rsidRPr="00C462A0">
                <w:rPr>
                  <w:rStyle w:val="Hyperlink"/>
                  <w:rFonts w:cstheme="minorHAnsi"/>
                  <w:color w:val="00AC4E" w:themeColor="accent1"/>
                  <w:szCs w:val="20"/>
                </w:rPr>
                <w:t>EFRAG – European Sustainability Reporting Standards (ESRS)</w:t>
              </w:r>
            </w:hyperlink>
          </w:p>
          <w:p w14:paraId="20247283" w14:textId="6BD67014" w:rsidR="00877F0A" w:rsidRPr="00C462A0" w:rsidRDefault="00877F0A" w:rsidP="00CF35C5">
            <w:pPr>
              <w:pStyle w:val="ListParagraph"/>
              <w:jc w:val="both"/>
              <w:rPr>
                <w:rFonts w:cstheme="minorHAnsi"/>
                <w:szCs w:val="20"/>
              </w:rPr>
            </w:pPr>
            <w:r w:rsidRPr="00C462A0">
              <w:rPr>
                <w:rFonts w:cstheme="minorHAnsi"/>
                <w:szCs w:val="20"/>
              </w:rPr>
              <w:t xml:space="preserve">Defines structured disclosure requirements and data points that organisations must report under CSRD. Particularly relevant for understanding data governance and internal control implications, </w:t>
            </w:r>
          </w:p>
          <w:p w14:paraId="21D20EEF" w14:textId="77777777" w:rsidR="00CF35C5" w:rsidRPr="00C462A0" w:rsidRDefault="00877F0A" w:rsidP="00CF35C5">
            <w:pPr>
              <w:pStyle w:val="ListParagraph"/>
              <w:numPr>
                <w:ilvl w:val="0"/>
                <w:numId w:val="280"/>
              </w:numPr>
              <w:jc w:val="both"/>
              <w:rPr>
                <w:rFonts w:cstheme="minorHAnsi"/>
                <w:color w:val="00AC4E" w:themeColor="accent1"/>
                <w:szCs w:val="20"/>
              </w:rPr>
            </w:pPr>
            <w:hyperlink r:id="rId77" w:history="1">
              <w:r w:rsidRPr="00C462A0">
                <w:rPr>
                  <w:rStyle w:val="Hyperlink"/>
                  <w:rFonts w:cstheme="minorHAnsi"/>
                  <w:color w:val="00AC4E" w:themeColor="accent1"/>
                  <w:szCs w:val="20"/>
                </w:rPr>
                <w:t>ENISA – Threat Landscape for the Finance and Investment Sector (latest edition)</w:t>
              </w:r>
            </w:hyperlink>
          </w:p>
          <w:p w14:paraId="3149DFE3" w14:textId="1293AF5C" w:rsidR="00877F0A" w:rsidRPr="00C462A0" w:rsidRDefault="00877F0A" w:rsidP="00CF35C5">
            <w:pPr>
              <w:pStyle w:val="ListParagraph"/>
              <w:jc w:val="both"/>
              <w:rPr>
                <w:rFonts w:cstheme="minorHAnsi"/>
                <w:szCs w:val="20"/>
              </w:rPr>
            </w:pPr>
            <w:r w:rsidRPr="00C462A0">
              <w:rPr>
                <w:rFonts w:cstheme="minorHAnsi"/>
                <w:szCs w:val="20"/>
              </w:rPr>
              <w:t xml:space="preserve">Useful for understanding risks related to financial and non-financial reporting systems, including data manipulation and supply chain exposure, </w:t>
            </w:r>
          </w:p>
          <w:p w14:paraId="525FC909" w14:textId="77777777" w:rsidR="00CF35C5" w:rsidRPr="00C462A0" w:rsidRDefault="00877F0A" w:rsidP="00CF35C5">
            <w:pPr>
              <w:pStyle w:val="ListParagraph"/>
              <w:numPr>
                <w:ilvl w:val="0"/>
                <w:numId w:val="280"/>
              </w:numPr>
              <w:jc w:val="both"/>
              <w:rPr>
                <w:rFonts w:cstheme="minorHAnsi"/>
                <w:color w:val="00AC4E" w:themeColor="accent1"/>
                <w:szCs w:val="20"/>
              </w:rPr>
            </w:pPr>
            <w:hyperlink r:id="rId78" w:history="1">
              <w:r w:rsidRPr="00C462A0">
                <w:rPr>
                  <w:rStyle w:val="Hyperlink"/>
                  <w:rFonts w:cstheme="minorHAnsi"/>
                  <w:color w:val="00AC4E" w:themeColor="accent1"/>
                  <w:szCs w:val="20"/>
                </w:rPr>
                <w:t>CISA – Secure by Design Principles</w:t>
              </w:r>
            </w:hyperlink>
          </w:p>
          <w:p w14:paraId="0C1B3181" w14:textId="3FB04DFD" w:rsidR="00877F0A" w:rsidRPr="00C462A0" w:rsidRDefault="00877F0A" w:rsidP="00CF35C5">
            <w:pPr>
              <w:pStyle w:val="ListParagraph"/>
              <w:jc w:val="both"/>
              <w:rPr>
                <w:rFonts w:cstheme="minorHAnsi"/>
                <w:szCs w:val="20"/>
              </w:rPr>
            </w:pPr>
            <w:r w:rsidRPr="00C462A0">
              <w:rPr>
                <w:rFonts w:cstheme="minorHAnsi"/>
                <w:szCs w:val="20"/>
              </w:rPr>
              <w:t xml:space="preserve">Offers guidance on embedding security controls in digital systems from the outset, applicable to ESG platform architecture and lifecycle management, </w:t>
            </w:r>
          </w:p>
          <w:p w14:paraId="3DF0ECFD" w14:textId="77777777" w:rsidR="00CF35C5" w:rsidRDefault="00CF35C5" w:rsidP="00CF35C5">
            <w:pPr>
              <w:pStyle w:val="ListParagraph"/>
              <w:jc w:val="both"/>
              <w:rPr>
                <w:rFonts w:cstheme="minorHAnsi"/>
                <w:szCs w:val="20"/>
              </w:rPr>
            </w:pPr>
          </w:p>
          <w:p w14:paraId="438A3F4B" w14:textId="77777777" w:rsidR="00C462A0" w:rsidRDefault="00C462A0" w:rsidP="00CF35C5">
            <w:pPr>
              <w:pStyle w:val="ListParagraph"/>
              <w:jc w:val="both"/>
              <w:rPr>
                <w:rFonts w:cstheme="minorHAnsi"/>
                <w:szCs w:val="20"/>
              </w:rPr>
            </w:pPr>
          </w:p>
          <w:p w14:paraId="1F125220" w14:textId="77777777" w:rsidR="00C462A0" w:rsidRDefault="00C462A0" w:rsidP="00CF35C5">
            <w:pPr>
              <w:pStyle w:val="ListParagraph"/>
              <w:jc w:val="both"/>
              <w:rPr>
                <w:rFonts w:cstheme="minorHAnsi"/>
                <w:szCs w:val="20"/>
              </w:rPr>
            </w:pPr>
          </w:p>
          <w:p w14:paraId="235D5A2E" w14:textId="77777777" w:rsidR="00C462A0" w:rsidRPr="00C462A0" w:rsidRDefault="00C462A0" w:rsidP="00CF35C5">
            <w:pPr>
              <w:pStyle w:val="ListParagraph"/>
              <w:jc w:val="both"/>
              <w:rPr>
                <w:rFonts w:cstheme="minorHAnsi"/>
                <w:szCs w:val="20"/>
              </w:rPr>
            </w:pPr>
          </w:p>
          <w:p w14:paraId="0A46E2D4" w14:textId="32599BCC" w:rsidR="00877F0A" w:rsidRPr="00C462A0" w:rsidRDefault="00877F0A" w:rsidP="00CF35C5">
            <w:pPr>
              <w:pStyle w:val="NormalWeb"/>
              <w:spacing w:before="0" w:beforeAutospacing="0" w:after="0" w:afterAutospacing="0"/>
              <w:jc w:val="both"/>
              <w:rPr>
                <w:rFonts w:asciiTheme="minorHAnsi" w:hAnsiTheme="minorHAnsi" w:cstheme="minorHAnsi"/>
                <w:b/>
                <w:color w:val="00AC4E" w:themeColor="accent1"/>
                <w:sz w:val="20"/>
                <w:szCs w:val="20"/>
                <w:lang w:val="en-GB"/>
              </w:rPr>
            </w:pPr>
            <w:r w:rsidRPr="00C462A0">
              <w:rPr>
                <w:rFonts w:asciiTheme="minorHAnsi" w:hAnsiTheme="minorHAnsi" w:cstheme="minorHAnsi"/>
                <w:b/>
                <w:color w:val="00AC4E" w:themeColor="accent1"/>
                <w:sz w:val="20"/>
                <w:szCs w:val="20"/>
                <w:lang w:val="en-GB"/>
              </w:rPr>
              <w:t>Key Takeaways</w:t>
            </w:r>
            <w:r w:rsidR="00CF35C5" w:rsidRPr="00C462A0">
              <w:rPr>
                <w:rFonts w:asciiTheme="minorHAnsi" w:hAnsiTheme="minorHAnsi" w:cstheme="minorHAnsi"/>
                <w:b/>
                <w:color w:val="00AC4E" w:themeColor="accent1"/>
                <w:sz w:val="20"/>
                <w:szCs w:val="20"/>
                <w:lang w:val="en-GB"/>
              </w:rPr>
              <w:t>:</w:t>
            </w:r>
          </w:p>
          <w:p w14:paraId="5C78A4FF" w14:textId="77777777" w:rsidR="00877F0A" w:rsidRPr="00C462A0" w:rsidRDefault="00877F0A" w:rsidP="00CF35C5">
            <w:pPr>
              <w:pStyle w:val="NormalWeb"/>
              <w:numPr>
                <w:ilvl w:val="0"/>
                <w:numId w:val="281"/>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ESG platforms are strategic digital assets central to sustainability reporting.</w:t>
            </w:r>
          </w:p>
          <w:p w14:paraId="1B5EBD81" w14:textId="77777777" w:rsidR="00877F0A" w:rsidRPr="00C462A0" w:rsidRDefault="00877F0A" w:rsidP="00CF35C5">
            <w:pPr>
              <w:pStyle w:val="NormalWeb"/>
              <w:numPr>
                <w:ilvl w:val="0"/>
                <w:numId w:val="281"/>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They integrate multiple data sources, increasing architectural complexity and attack surface.</w:t>
            </w:r>
          </w:p>
          <w:p w14:paraId="1C98C2CD" w14:textId="77777777" w:rsidR="00877F0A" w:rsidRPr="00C462A0" w:rsidRDefault="00877F0A" w:rsidP="00CF35C5">
            <w:pPr>
              <w:pStyle w:val="NormalWeb"/>
              <w:numPr>
                <w:ilvl w:val="0"/>
                <w:numId w:val="281"/>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Data integrity and regulatory compliance are primary risk dimensions.</w:t>
            </w:r>
          </w:p>
          <w:p w14:paraId="2B75EA25" w14:textId="77777777" w:rsidR="00877F0A" w:rsidRPr="00C462A0" w:rsidRDefault="00877F0A" w:rsidP="00CF35C5">
            <w:pPr>
              <w:pStyle w:val="NormalWeb"/>
              <w:numPr>
                <w:ilvl w:val="0"/>
                <w:numId w:val="281"/>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lastRenderedPageBreak/>
              <w:t>Common threats include API exploitation, phishing, cloud misconfiguration, and insider abuse.</w:t>
            </w:r>
          </w:p>
          <w:p w14:paraId="65A465B4" w14:textId="77777777" w:rsidR="00877F0A" w:rsidRPr="00C462A0" w:rsidRDefault="00877F0A" w:rsidP="00CF35C5">
            <w:pPr>
              <w:pStyle w:val="NormalWeb"/>
              <w:numPr>
                <w:ilvl w:val="0"/>
                <w:numId w:val="281"/>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Cybersecurity governance must align with sustainability and compliance objectives.</w:t>
            </w:r>
          </w:p>
          <w:p w14:paraId="6EDEA98B" w14:textId="77777777" w:rsidR="00877F0A" w:rsidRPr="00C462A0" w:rsidRDefault="00877F0A" w:rsidP="00CF35C5">
            <w:pPr>
              <w:pStyle w:val="NormalWeb"/>
              <w:spacing w:before="40" w:beforeAutospacing="0" w:after="40" w:afterAutospacing="0"/>
              <w:ind w:left="720"/>
              <w:jc w:val="both"/>
              <w:rPr>
                <w:rFonts w:asciiTheme="minorHAnsi" w:hAnsiTheme="minorHAnsi" w:cstheme="minorHAnsi"/>
                <w:sz w:val="20"/>
                <w:szCs w:val="20"/>
                <w:lang w:val="en-GB"/>
              </w:rPr>
            </w:pPr>
          </w:p>
          <w:p w14:paraId="6F1B1CB3" w14:textId="77777777" w:rsidR="00877F0A" w:rsidRPr="00C462A0" w:rsidRDefault="00877F0A" w:rsidP="00CF35C5">
            <w:pPr>
              <w:pStyle w:val="NormalWeb"/>
              <w:spacing w:before="0" w:beforeAutospacing="0" w:after="0" w:afterAutospacing="0"/>
              <w:jc w:val="both"/>
              <w:rPr>
                <w:rFonts w:asciiTheme="minorHAnsi" w:hAnsiTheme="minorHAnsi" w:cstheme="minorHAnsi"/>
                <w:b/>
                <w:color w:val="00AC4E" w:themeColor="accent1"/>
                <w:sz w:val="20"/>
                <w:szCs w:val="20"/>
                <w:lang w:val="en-GB"/>
              </w:rPr>
            </w:pPr>
            <w:r w:rsidRPr="00C462A0">
              <w:rPr>
                <w:rFonts w:asciiTheme="minorHAnsi" w:hAnsiTheme="minorHAnsi" w:cstheme="minorHAnsi"/>
                <w:b/>
                <w:color w:val="00AC4E" w:themeColor="accent1"/>
                <w:sz w:val="20"/>
                <w:szCs w:val="20"/>
                <w:lang w:val="en-GB"/>
              </w:rPr>
              <w:t>Quick check:</w:t>
            </w:r>
          </w:p>
          <w:p w14:paraId="7BB76B36" w14:textId="1E22397B" w:rsidR="00CF35C5" w:rsidRPr="00C462A0" w:rsidRDefault="00877F0A" w:rsidP="00CF35C5">
            <w:pPr>
              <w:pStyle w:val="NormalWeb"/>
              <w:numPr>
                <w:ilvl w:val="3"/>
                <w:numId w:val="285"/>
              </w:numPr>
              <w:spacing w:before="0" w:beforeAutospacing="0" w:after="0" w:afterAutospacing="0"/>
              <w:ind w:left="360"/>
              <w:jc w:val="both"/>
              <w:rPr>
                <w:rFonts w:asciiTheme="minorHAnsi" w:hAnsiTheme="minorHAnsi" w:cstheme="minorHAnsi"/>
                <w:color w:val="009889" w:themeColor="accent2"/>
                <w:sz w:val="20"/>
                <w:szCs w:val="20"/>
                <w:lang w:val="en-GB"/>
              </w:rPr>
            </w:pPr>
            <w:r w:rsidRPr="00C462A0">
              <w:rPr>
                <w:rFonts w:asciiTheme="minorHAnsi" w:hAnsiTheme="minorHAnsi" w:cstheme="minorHAnsi"/>
                <w:color w:val="009889" w:themeColor="accent2"/>
                <w:sz w:val="20"/>
                <w:szCs w:val="20"/>
                <w:lang w:val="en-GB"/>
              </w:rPr>
              <w:t>True or False:</w:t>
            </w:r>
            <w:r w:rsidR="00CF35C5" w:rsidRPr="00C462A0">
              <w:rPr>
                <w:rFonts w:asciiTheme="minorHAnsi" w:hAnsiTheme="minorHAnsi" w:cstheme="minorHAnsi"/>
                <w:color w:val="009889" w:themeColor="accent2"/>
                <w:sz w:val="20"/>
                <w:szCs w:val="20"/>
                <w:lang w:val="en-GB"/>
              </w:rPr>
              <w:t xml:space="preserve">: </w:t>
            </w:r>
            <w:r w:rsidRPr="00C462A0">
              <w:rPr>
                <w:rFonts w:asciiTheme="minorHAnsi" w:hAnsiTheme="minorHAnsi" w:cstheme="minorHAnsi"/>
                <w:color w:val="009889" w:themeColor="accent2"/>
                <w:sz w:val="20"/>
                <w:szCs w:val="20"/>
                <w:lang w:val="en-GB"/>
              </w:rPr>
              <w:t xml:space="preserve">If an ESG platform maintains full system availability but sustainability metrics are subtly altered before publication, the organisation may still face significant regulatory and reputational risk. </w:t>
            </w:r>
          </w:p>
          <w:p w14:paraId="2D96A214" w14:textId="77777777" w:rsidR="001A6772" w:rsidRPr="00C462A0" w:rsidRDefault="001A6772" w:rsidP="001A6772">
            <w:pPr>
              <w:pStyle w:val="NormalWeb"/>
              <w:spacing w:before="0" w:beforeAutospacing="0" w:after="0" w:afterAutospacing="0"/>
              <w:ind w:left="360"/>
              <w:jc w:val="both"/>
              <w:rPr>
                <w:rFonts w:asciiTheme="minorHAnsi" w:hAnsiTheme="minorHAnsi" w:cstheme="minorHAnsi"/>
                <w:color w:val="009889" w:themeColor="accent2"/>
                <w:sz w:val="20"/>
                <w:szCs w:val="20"/>
                <w:lang w:val="en-GB"/>
              </w:rPr>
            </w:pPr>
          </w:p>
          <w:p w14:paraId="28DC6500" w14:textId="106FD50A" w:rsidR="001A6772" w:rsidRPr="00C462A0" w:rsidRDefault="00877F0A" w:rsidP="001A6772">
            <w:pPr>
              <w:pStyle w:val="NormalWeb"/>
              <w:numPr>
                <w:ilvl w:val="3"/>
                <w:numId w:val="285"/>
              </w:numPr>
              <w:spacing w:before="0" w:beforeAutospacing="0" w:after="0" w:afterAutospacing="0"/>
              <w:ind w:left="360"/>
              <w:jc w:val="both"/>
              <w:rPr>
                <w:rFonts w:asciiTheme="minorHAnsi" w:hAnsiTheme="minorHAnsi" w:cstheme="minorHAnsi"/>
                <w:color w:val="009889" w:themeColor="accent2"/>
                <w:sz w:val="20"/>
                <w:szCs w:val="20"/>
                <w:lang w:val="en-GB"/>
              </w:rPr>
            </w:pPr>
            <w:r w:rsidRPr="00C462A0">
              <w:rPr>
                <w:rFonts w:asciiTheme="minorHAnsi" w:hAnsiTheme="minorHAnsi" w:cstheme="minorHAnsi"/>
                <w:color w:val="009889" w:themeColor="accent2"/>
                <w:sz w:val="20"/>
                <w:szCs w:val="20"/>
                <w:lang w:val="en-GB"/>
              </w:rPr>
              <w:t xml:space="preserve">An attacker gains access to an ESG dashboard using stolen analyst credentials and modifies carbon emission data to artificially improve sustainability performance before an investor report is released. Which combination best describes the primary security and governance implications? </w:t>
            </w:r>
          </w:p>
          <w:p w14:paraId="61958006" w14:textId="77777777" w:rsidR="00877F0A" w:rsidRPr="00C462A0" w:rsidRDefault="00877F0A" w:rsidP="001A6772">
            <w:pPr>
              <w:pStyle w:val="NormalWeb"/>
              <w:numPr>
                <w:ilvl w:val="0"/>
                <w:numId w:val="319"/>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Availability breach with no compliance impact</w:t>
            </w:r>
          </w:p>
          <w:p w14:paraId="3F5D3ED2" w14:textId="77777777" w:rsidR="00877F0A" w:rsidRPr="00C462A0" w:rsidRDefault="00877F0A" w:rsidP="001A6772">
            <w:pPr>
              <w:pStyle w:val="NormalWeb"/>
              <w:numPr>
                <w:ilvl w:val="0"/>
                <w:numId w:val="319"/>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Integrity violation with potential regulatory and reputational consequences</w:t>
            </w:r>
          </w:p>
          <w:p w14:paraId="773FD38E" w14:textId="77777777" w:rsidR="00877F0A" w:rsidRPr="00C462A0" w:rsidRDefault="00877F0A" w:rsidP="001A6772">
            <w:pPr>
              <w:pStyle w:val="NormalWeb"/>
              <w:numPr>
                <w:ilvl w:val="0"/>
                <w:numId w:val="319"/>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Confidentiality breach affecting only internal IT teams</w:t>
            </w:r>
          </w:p>
          <w:p w14:paraId="54480AEB" w14:textId="1A0626AE" w:rsidR="00CF35C5" w:rsidRPr="00C462A0" w:rsidRDefault="00877F0A" w:rsidP="001A6772">
            <w:pPr>
              <w:pStyle w:val="NormalWeb"/>
              <w:numPr>
                <w:ilvl w:val="0"/>
                <w:numId w:val="319"/>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Network performance issue without strategic relevance</w:t>
            </w:r>
            <w:r w:rsidR="001A6772" w:rsidRPr="00C462A0">
              <w:rPr>
                <w:rFonts w:asciiTheme="minorHAnsi" w:hAnsiTheme="minorHAnsi" w:cstheme="minorHAnsi"/>
                <w:sz w:val="20"/>
                <w:szCs w:val="20"/>
                <w:lang w:val="en-GB"/>
              </w:rPr>
              <w:t>.</w:t>
            </w:r>
          </w:p>
          <w:p w14:paraId="0DF00530" w14:textId="77777777" w:rsidR="001A6772" w:rsidRPr="00C462A0" w:rsidRDefault="001A6772" w:rsidP="001A6772">
            <w:pPr>
              <w:pStyle w:val="NormalWeb"/>
              <w:spacing w:before="40" w:beforeAutospacing="0" w:after="40" w:afterAutospacing="0"/>
              <w:ind w:left="720"/>
              <w:jc w:val="both"/>
              <w:rPr>
                <w:rFonts w:asciiTheme="minorHAnsi" w:hAnsiTheme="minorHAnsi" w:cstheme="minorHAnsi"/>
                <w:sz w:val="20"/>
                <w:szCs w:val="20"/>
                <w:lang w:val="en-GB"/>
              </w:rPr>
            </w:pPr>
          </w:p>
          <w:p w14:paraId="385D6087" w14:textId="26D3DDF7" w:rsidR="00877F0A" w:rsidRPr="00C462A0" w:rsidRDefault="00877F0A" w:rsidP="00CF35C5">
            <w:pPr>
              <w:pStyle w:val="NormalWeb"/>
              <w:numPr>
                <w:ilvl w:val="3"/>
                <w:numId w:val="285"/>
              </w:numPr>
              <w:spacing w:before="40" w:beforeAutospacing="0" w:after="40" w:afterAutospacing="0"/>
              <w:ind w:left="360"/>
              <w:jc w:val="both"/>
              <w:rPr>
                <w:rFonts w:asciiTheme="minorHAnsi" w:hAnsiTheme="minorHAnsi" w:cstheme="minorHAnsi"/>
                <w:color w:val="009889" w:themeColor="accent2"/>
                <w:sz w:val="20"/>
                <w:szCs w:val="20"/>
                <w:lang w:val="en-GB"/>
              </w:rPr>
            </w:pPr>
            <w:r w:rsidRPr="00C462A0">
              <w:rPr>
                <w:rFonts w:asciiTheme="minorHAnsi" w:hAnsiTheme="minorHAnsi" w:cstheme="minorHAnsi"/>
                <w:color w:val="009889" w:themeColor="accent2"/>
                <w:sz w:val="20"/>
                <w:szCs w:val="20"/>
                <w:lang w:val="en-GB"/>
              </w:rPr>
              <w:t xml:space="preserve">An ESG platform integrates multiple third-party APIs to collect supply chain emissions data. One API has weak authentication and allows unauthorised data injection. From a risk perspective, what is the most critical concern? </w:t>
            </w:r>
          </w:p>
          <w:p w14:paraId="714CFFBE" w14:textId="77777777" w:rsidR="00877F0A" w:rsidRPr="00C462A0" w:rsidRDefault="00877F0A" w:rsidP="001A6772">
            <w:pPr>
              <w:pStyle w:val="NormalWeb"/>
              <w:numPr>
                <w:ilvl w:val="0"/>
                <w:numId w:val="320"/>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Reduced system speed due to API calls</w:t>
            </w:r>
          </w:p>
          <w:p w14:paraId="31FC2106" w14:textId="77777777" w:rsidR="00877F0A" w:rsidRPr="00C462A0" w:rsidRDefault="00877F0A" w:rsidP="001A6772">
            <w:pPr>
              <w:pStyle w:val="NormalWeb"/>
              <w:numPr>
                <w:ilvl w:val="0"/>
                <w:numId w:val="320"/>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Increased electricity consumption in the cloud</w:t>
            </w:r>
          </w:p>
          <w:p w14:paraId="308BA68B" w14:textId="77777777" w:rsidR="00877F0A" w:rsidRPr="00C462A0" w:rsidRDefault="00877F0A" w:rsidP="001A6772">
            <w:pPr>
              <w:pStyle w:val="NormalWeb"/>
              <w:numPr>
                <w:ilvl w:val="0"/>
                <w:numId w:val="320"/>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Manipulation of externally sourced sustainability metrics affecting official disclosures</w:t>
            </w:r>
          </w:p>
          <w:p w14:paraId="7880E148" w14:textId="0C9154A5" w:rsidR="00877F0A" w:rsidRPr="00C462A0" w:rsidRDefault="00877F0A" w:rsidP="001A6772">
            <w:pPr>
              <w:pStyle w:val="NormalWeb"/>
              <w:numPr>
                <w:ilvl w:val="0"/>
                <w:numId w:val="320"/>
              </w:numPr>
              <w:spacing w:before="40" w:beforeAutospacing="0" w:after="4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Temporary inconvenience for developers</w:t>
            </w:r>
            <w:r w:rsidR="001A6772" w:rsidRPr="00C462A0">
              <w:rPr>
                <w:rFonts w:asciiTheme="minorHAnsi" w:hAnsiTheme="minorHAnsi" w:cstheme="minorHAnsi"/>
                <w:sz w:val="20"/>
                <w:szCs w:val="20"/>
                <w:lang w:val="en-GB"/>
              </w:rPr>
              <w:t>.</w:t>
            </w:r>
          </w:p>
          <w:p w14:paraId="5E74DFD7" w14:textId="77777777" w:rsidR="001A6772" w:rsidRPr="00C462A0" w:rsidRDefault="001A6772" w:rsidP="001A6772">
            <w:pPr>
              <w:pStyle w:val="NormalWeb"/>
              <w:spacing w:before="40" w:beforeAutospacing="0" w:after="40" w:afterAutospacing="0"/>
              <w:ind w:left="720"/>
              <w:jc w:val="both"/>
              <w:rPr>
                <w:rFonts w:asciiTheme="minorHAnsi" w:hAnsiTheme="minorHAnsi" w:cstheme="minorHAnsi"/>
                <w:sz w:val="20"/>
                <w:szCs w:val="20"/>
                <w:lang w:val="en-GB"/>
              </w:rPr>
            </w:pPr>
          </w:p>
          <w:p w14:paraId="034F8F9B" w14:textId="3A0D2A03" w:rsidR="00877F0A" w:rsidRPr="00C462A0" w:rsidRDefault="001A6772" w:rsidP="00CF35C5">
            <w:pPr>
              <w:pStyle w:val="NormalWeb"/>
              <w:spacing w:before="40" w:beforeAutospacing="0" w:after="40" w:afterAutospacing="0"/>
              <w:jc w:val="both"/>
              <w:rPr>
                <w:rFonts w:asciiTheme="minorHAnsi" w:hAnsiTheme="minorHAnsi" w:cstheme="minorHAnsi"/>
                <w:i/>
                <w:iCs/>
                <w:sz w:val="20"/>
                <w:szCs w:val="20"/>
                <w:lang w:val="en-GB"/>
              </w:rPr>
            </w:pPr>
            <w:r w:rsidRPr="00C462A0">
              <w:rPr>
                <w:rFonts w:asciiTheme="minorHAnsi" w:hAnsiTheme="minorHAnsi" w:cstheme="minorHAnsi"/>
                <w:i/>
                <w:iCs/>
                <w:sz w:val="20"/>
                <w:szCs w:val="20"/>
                <w:lang w:val="en-GB"/>
              </w:rPr>
              <w:t>Answer key: 1, True; 2. b), 3. c)</w:t>
            </w:r>
          </w:p>
        </w:tc>
      </w:tr>
    </w:tbl>
    <w:p w14:paraId="08D36716" w14:textId="77777777" w:rsidR="001A6772" w:rsidRPr="00C462A0" w:rsidRDefault="001A6772">
      <w:r w:rsidRPr="00C462A0">
        <w:lastRenderedPageBreak/>
        <w:br w:type="page"/>
      </w:r>
    </w:p>
    <w:tbl>
      <w:tblPr>
        <w:tblStyle w:val="TableGrid"/>
        <w:tblW w:w="0" w:type="auto"/>
        <w:tblLook w:val="04A0" w:firstRow="1" w:lastRow="0" w:firstColumn="1" w:lastColumn="0" w:noHBand="0" w:noVBand="1"/>
      </w:tblPr>
      <w:tblGrid>
        <w:gridCol w:w="9628"/>
      </w:tblGrid>
      <w:tr w:rsidR="00CF35C5" w:rsidRPr="00C462A0" w14:paraId="2D3C95B8" w14:textId="77777777" w:rsidTr="00877F0A">
        <w:trPr>
          <w:trHeight w:val="300"/>
        </w:trPr>
        <w:tc>
          <w:tcPr>
            <w:tcW w:w="9628" w:type="dxa"/>
          </w:tcPr>
          <w:p w14:paraId="7CA6FCC9" w14:textId="0A3EA06D" w:rsidR="00CF35C5" w:rsidRPr="00C462A0" w:rsidRDefault="001A6772" w:rsidP="001A6772">
            <w:pPr>
              <w:pStyle w:val="Heading2"/>
              <w:numPr>
                <w:ilvl w:val="0"/>
                <w:numId w:val="0"/>
              </w:numPr>
            </w:pPr>
            <w:bookmarkStart w:id="40" w:name="_Toc227623410"/>
            <w:r w:rsidRPr="00C462A0">
              <w:lastRenderedPageBreak/>
              <w:t>Topic 2.5: Security framework</w:t>
            </w:r>
            <w:bookmarkEnd w:id="40"/>
          </w:p>
        </w:tc>
      </w:tr>
      <w:tr w:rsidR="001A6772" w:rsidRPr="00C462A0" w14:paraId="6F1FCC32" w14:textId="77777777" w:rsidTr="001A6772">
        <w:trPr>
          <w:trHeight w:val="300"/>
        </w:trPr>
        <w:tc>
          <w:tcPr>
            <w:tcW w:w="9628" w:type="dxa"/>
            <w:shd w:val="clear" w:color="auto" w:fill="D9D9D9" w:themeFill="background1" w:themeFillShade="D9"/>
          </w:tcPr>
          <w:p w14:paraId="5C316C97" w14:textId="1F9D348A" w:rsidR="001A6772" w:rsidRPr="00C462A0" w:rsidRDefault="001A6772" w:rsidP="001A6772">
            <w:pPr>
              <w:pStyle w:val="NormalWeb"/>
              <w:spacing w:before="0" w:beforeAutospacing="0" w:after="0" w:afterAutospacing="0"/>
              <w:jc w:val="both"/>
              <w:rPr>
                <w:rFonts w:asciiTheme="minorHAnsi" w:hAnsiTheme="minorHAnsi" w:cstheme="minorHAnsi"/>
                <w:b/>
                <w:color w:val="00AC4E" w:themeColor="accent1"/>
                <w:sz w:val="20"/>
                <w:szCs w:val="20"/>
                <w:lang w:val="en-GB"/>
              </w:rPr>
            </w:pPr>
            <w:r w:rsidRPr="00C462A0">
              <w:rPr>
                <w:rFonts w:asciiTheme="minorHAnsi" w:hAnsiTheme="minorHAnsi" w:cstheme="minorHAnsi"/>
                <w:b/>
                <w:sz w:val="20"/>
                <w:szCs w:val="20"/>
                <w:lang w:val="en-GB"/>
              </w:rPr>
              <w:t>Short Introduction:</w:t>
            </w:r>
          </w:p>
        </w:tc>
      </w:tr>
      <w:tr w:rsidR="001A6772" w:rsidRPr="00C462A0" w14:paraId="739AD024" w14:textId="77777777" w:rsidTr="00877F0A">
        <w:trPr>
          <w:trHeight w:val="300"/>
        </w:trPr>
        <w:tc>
          <w:tcPr>
            <w:tcW w:w="9628" w:type="dxa"/>
          </w:tcPr>
          <w:p w14:paraId="1BCF1D11" w14:textId="55CFF10E" w:rsidR="001A6772" w:rsidRPr="00C462A0" w:rsidRDefault="001A6772" w:rsidP="001A6772">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Sustainable digital infrastructures, such as energy management systems, IoT ecosystems, smart grids, and ESG platforms, require structured, systematic cybersecurity approaches. A security framework provides a structured approach for identifying risks, selecting appropriate controls, implementing safeguards, and continuously strengthening resilience. This topic introduces the role of recognised cybersecurity frameworks and explains how they support structured risk management within sustainable systems.</w:t>
            </w:r>
          </w:p>
        </w:tc>
      </w:tr>
      <w:tr w:rsidR="001A6772" w:rsidRPr="00C462A0" w14:paraId="0CFAD268" w14:textId="77777777" w:rsidTr="001A6772">
        <w:trPr>
          <w:trHeight w:val="300"/>
        </w:trPr>
        <w:tc>
          <w:tcPr>
            <w:tcW w:w="9628" w:type="dxa"/>
            <w:shd w:val="clear" w:color="auto" w:fill="D9D9D9" w:themeFill="background1" w:themeFillShade="D9"/>
          </w:tcPr>
          <w:p w14:paraId="10B1B85F" w14:textId="40D566A7" w:rsidR="001A6772" w:rsidRPr="00C462A0" w:rsidRDefault="001A6772" w:rsidP="001A6772">
            <w:pPr>
              <w:pStyle w:val="NormalWeb"/>
              <w:spacing w:after="0"/>
              <w:jc w:val="both"/>
              <w:rPr>
                <w:rFonts w:asciiTheme="minorHAnsi" w:hAnsiTheme="minorHAnsi" w:cstheme="minorHAnsi"/>
                <w:b/>
                <w:color w:val="00AC4E" w:themeColor="accent1"/>
                <w:sz w:val="20"/>
                <w:szCs w:val="20"/>
                <w:lang w:val="en-GB"/>
              </w:rPr>
            </w:pPr>
            <w:r w:rsidRPr="00C462A0">
              <w:rPr>
                <w:rFonts w:asciiTheme="minorHAnsi" w:hAnsiTheme="minorHAnsi" w:cstheme="minorHAnsi"/>
                <w:b/>
                <w:sz w:val="20"/>
                <w:szCs w:val="20"/>
                <w:lang w:val="en-GB"/>
              </w:rPr>
              <w:t>Theory &amp; Knowledge:</w:t>
            </w:r>
          </w:p>
        </w:tc>
      </w:tr>
      <w:tr w:rsidR="00877F0A" w:rsidRPr="00C462A0" w14:paraId="5088925A" w14:textId="77777777" w:rsidTr="00877F0A">
        <w:trPr>
          <w:trHeight w:val="300"/>
        </w:trPr>
        <w:tc>
          <w:tcPr>
            <w:tcW w:w="9628" w:type="dxa"/>
          </w:tcPr>
          <w:p w14:paraId="5F330260"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As sustainable infrastructures become more complex and subject to greater regulatory scrutiny, ad hoc security measures are no longer adequate. Organisations need consistent governance models to ensure that cybersecurity controls remain aligned with operational priorities, compliance obligations, and sustainability goals. Security frameworks provide this necessary structure.</w:t>
            </w:r>
          </w:p>
          <w:p w14:paraId="42EEFFEE"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A cybersecurity framework generally defines:</w:t>
            </w:r>
          </w:p>
          <w:p w14:paraId="65DD2C3E" w14:textId="77777777" w:rsidR="00877F0A" w:rsidRPr="00C462A0" w:rsidRDefault="00877F0A" w:rsidP="00877F0A">
            <w:pPr>
              <w:pStyle w:val="NormalWeb"/>
              <w:numPr>
                <w:ilvl w:val="0"/>
                <w:numId w:val="288"/>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Core security functions or domains.</w:t>
            </w:r>
          </w:p>
          <w:p w14:paraId="70F73E1B" w14:textId="77777777" w:rsidR="00877F0A" w:rsidRPr="00C462A0" w:rsidRDefault="00877F0A" w:rsidP="00877F0A">
            <w:pPr>
              <w:pStyle w:val="NormalWeb"/>
              <w:numPr>
                <w:ilvl w:val="0"/>
                <w:numId w:val="288"/>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Control categories.</w:t>
            </w:r>
          </w:p>
          <w:p w14:paraId="58168E1D" w14:textId="77777777" w:rsidR="00877F0A" w:rsidRPr="00C462A0" w:rsidRDefault="00877F0A" w:rsidP="00877F0A">
            <w:pPr>
              <w:pStyle w:val="NormalWeb"/>
              <w:numPr>
                <w:ilvl w:val="0"/>
                <w:numId w:val="288"/>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Risk management processes.</w:t>
            </w:r>
          </w:p>
          <w:p w14:paraId="7456D58F" w14:textId="77777777" w:rsidR="00877F0A" w:rsidRPr="00C462A0" w:rsidRDefault="00877F0A" w:rsidP="00877F0A">
            <w:pPr>
              <w:pStyle w:val="NormalWeb"/>
              <w:numPr>
                <w:ilvl w:val="0"/>
                <w:numId w:val="288"/>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Mechanisms for continuous improvement.</w:t>
            </w:r>
          </w:p>
          <w:p w14:paraId="16B0E6F5" w14:textId="1B990D9D" w:rsidR="001A6772"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Rather than prescribing particular technologies, frameworks deliver structured guidance that supports risk-based decision-making.</w:t>
            </w:r>
          </w:p>
          <w:p w14:paraId="34B8199E" w14:textId="77777777" w:rsidR="001A6772" w:rsidRPr="00C462A0" w:rsidRDefault="001A6772" w:rsidP="00210B7E">
            <w:pPr>
              <w:pStyle w:val="NormalWeb"/>
              <w:spacing w:before="0" w:beforeAutospacing="0" w:after="0" w:afterAutospacing="0"/>
              <w:jc w:val="both"/>
              <w:rPr>
                <w:rFonts w:asciiTheme="minorHAnsi" w:hAnsiTheme="minorHAnsi" w:cstheme="minorHAnsi"/>
                <w:sz w:val="20"/>
                <w:szCs w:val="20"/>
                <w:lang w:val="en-GB"/>
              </w:rPr>
            </w:pPr>
          </w:p>
          <w:p w14:paraId="540708E7" w14:textId="71C72AF4" w:rsidR="00877F0A" w:rsidRPr="00C462A0" w:rsidRDefault="00877F0A" w:rsidP="001A6772">
            <w:pPr>
              <w:pStyle w:val="NormalWeb"/>
              <w:numPr>
                <w:ilvl w:val="0"/>
                <w:numId w:val="322"/>
              </w:numPr>
              <w:spacing w:before="0" w:beforeAutospacing="0" w:after="0" w:afterAutospacing="0"/>
              <w:jc w:val="both"/>
              <w:rPr>
                <w:rFonts w:asciiTheme="minorHAnsi" w:hAnsiTheme="minorHAnsi" w:cstheme="minorHAnsi"/>
                <w:b/>
                <w:bCs/>
                <w:color w:val="009889" w:themeColor="accent2"/>
                <w:sz w:val="20"/>
                <w:szCs w:val="20"/>
                <w:lang w:val="en-GB" w:eastAsia="en-GB"/>
              </w:rPr>
            </w:pPr>
            <w:r w:rsidRPr="00C462A0">
              <w:rPr>
                <w:rFonts w:asciiTheme="minorHAnsi" w:hAnsiTheme="minorHAnsi" w:cstheme="minorHAnsi"/>
                <w:b/>
                <w:bCs/>
                <w:color w:val="009889" w:themeColor="accent2"/>
                <w:sz w:val="20"/>
                <w:szCs w:val="20"/>
                <w:lang w:val="en-GB" w:eastAsia="en-GB"/>
              </w:rPr>
              <w:t>Core Functions of a Security Framework</w:t>
            </w:r>
          </w:p>
          <w:p w14:paraId="2CED69F3"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Many recognised frameworks organise cybersecurity activities around high-level functions. For instance, the National Institute of Standards and Technology Cybersecurity Framework (NIST CSF) is built around five core functions:</w:t>
            </w:r>
          </w:p>
          <w:p w14:paraId="2B065590" w14:textId="77777777" w:rsidR="00877F0A" w:rsidRPr="00C462A0" w:rsidRDefault="00877F0A" w:rsidP="00877F0A">
            <w:pPr>
              <w:pStyle w:val="NormalWeb"/>
              <w:numPr>
                <w:ilvl w:val="0"/>
                <w:numId w:val="289"/>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Identify – Understand assets, risks, and organisational context.</w:t>
            </w:r>
          </w:p>
          <w:p w14:paraId="2D0D3753" w14:textId="77777777" w:rsidR="00877F0A" w:rsidRPr="00C462A0" w:rsidRDefault="00877F0A" w:rsidP="00877F0A">
            <w:pPr>
              <w:pStyle w:val="NormalWeb"/>
              <w:numPr>
                <w:ilvl w:val="0"/>
                <w:numId w:val="289"/>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Protect – Implement safeguards to reduce or contain impact.</w:t>
            </w:r>
          </w:p>
          <w:p w14:paraId="6F1045F6" w14:textId="77777777" w:rsidR="00877F0A" w:rsidRPr="00C462A0" w:rsidRDefault="00877F0A" w:rsidP="00877F0A">
            <w:pPr>
              <w:pStyle w:val="NormalWeb"/>
              <w:numPr>
                <w:ilvl w:val="0"/>
                <w:numId w:val="289"/>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Detect – Develop capabilities to identify cyber events.</w:t>
            </w:r>
          </w:p>
          <w:p w14:paraId="5E58F443" w14:textId="77777777" w:rsidR="00877F0A" w:rsidRPr="00C462A0" w:rsidRDefault="00877F0A" w:rsidP="00877F0A">
            <w:pPr>
              <w:pStyle w:val="NormalWeb"/>
              <w:numPr>
                <w:ilvl w:val="0"/>
                <w:numId w:val="289"/>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Respond – Take action in response to detected incidents.</w:t>
            </w:r>
          </w:p>
          <w:p w14:paraId="159F9EF6" w14:textId="77777777" w:rsidR="00877F0A" w:rsidRPr="00C462A0" w:rsidRDefault="00877F0A" w:rsidP="00877F0A">
            <w:pPr>
              <w:pStyle w:val="NormalWeb"/>
              <w:numPr>
                <w:ilvl w:val="0"/>
                <w:numId w:val="289"/>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Recover – Restore capabilities and services following disruption.</w:t>
            </w:r>
          </w:p>
          <w:p w14:paraId="27A1F712"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This lifecycle-oriented approach is especially relevant for sustainable infrastructures, where maintaining service continuity is essential.</w:t>
            </w:r>
          </w:p>
          <w:p w14:paraId="0B902DC2" w14:textId="77777777" w:rsidR="00877F0A" w:rsidRPr="00C462A0" w:rsidRDefault="00877F0A" w:rsidP="00210B7E">
            <w:pPr>
              <w:pStyle w:val="NormalWeb"/>
              <w:keepNext/>
              <w:spacing w:before="0" w:beforeAutospacing="0" w:after="0" w:afterAutospacing="0"/>
              <w:jc w:val="center"/>
              <w:rPr>
                <w:rFonts w:asciiTheme="minorHAnsi" w:hAnsiTheme="minorHAnsi" w:cstheme="minorHAnsi"/>
                <w:sz w:val="20"/>
                <w:szCs w:val="20"/>
                <w:lang w:val="en-GB"/>
              </w:rPr>
            </w:pPr>
            <w:r w:rsidRPr="00C462A0">
              <w:rPr>
                <w:rFonts w:asciiTheme="minorHAnsi" w:hAnsiTheme="minorHAnsi" w:cstheme="minorHAnsi"/>
                <w:noProof/>
                <w:sz w:val="20"/>
                <w:szCs w:val="20"/>
                <w:lang w:val="en-GB"/>
              </w:rPr>
              <w:drawing>
                <wp:inline distT="0" distB="0" distL="0" distR="0" wp14:anchorId="3ABF96EF" wp14:editId="56980EB1">
                  <wp:extent cx="2238375" cy="2238375"/>
                  <wp:effectExtent l="0" t="0" r="0" b="0"/>
                  <wp:docPr id="22" name="Picture 11" descr="What Is NIST Cybersecurity Framework? Core Functions, Tiers and Pro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hat Is NIST Cybersecurity Framework? Core Functions, Tiers and Profiles"/>
                          <pic:cNvPicPr>
                            <a:picLocks noChangeAspect="1"/>
                          </pic:cNvPicPr>
                        </pic:nvPicPr>
                        <pic:blipFill>
                          <a:blip r:embed="rId79"/>
                          <a:stretch/>
                        </pic:blipFill>
                        <pic:spPr bwMode="auto">
                          <a:xfrm>
                            <a:off x="0" y="0"/>
                            <a:ext cx="2238375" cy="2238375"/>
                          </a:xfrm>
                          <a:prstGeom prst="rect">
                            <a:avLst/>
                          </a:prstGeom>
                          <a:noFill/>
                          <a:ln>
                            <a:noFill/>
                          </a:ln>
                        </pic:spPr>
                      </pic:pic>
                    </a:graphicData>
                  </a:graphic>
                </wp:inline>
              </w:drawing>
            </w:r>
          </w:p>
          <w:p w14:paraId="35381224" w14:textId="0555B25A" w:rsidR="00877F0A" w:rsidRPr="00C462A0" w:rsidRDefault="00877F0A" w:rsidP="00210B7E">
            <w:pPr>
              <w:pStyle w:val="Caption"/>
              <w:jc w:val="center"/>
              <w:rPr>
                <w:rFonts w:cstheme="minorHAnsi"/>
                <w:b w:val="0"/>
                <w:bCs w:val="0"/>
                <w:sz w:val="18"/>
                <w:szCs w:val="18"/>
              </w:rPr>
            </w:pPr>
            <w:bookmarkStart w:id="41" w:name="_Toc227623456"/>
            <w:r w:rsidRPr="00C462A0">
              <w:rPr>
                <w:rFonts w:cstheme="minorHAnsi"/>
                <w:b w:val="0"/>
                <w:bCs w:val="0"/>
                <w:sz w:val="18"/>
                <w:szCs w:val="18"/>
              </w:rPr>
              <w:t xml:space="preserve">Figure </w:t>
            </w:r>
            <w:r w:rsidRPr="00C462A0">
              <w:rPr>
                <w:rFonts w:cstheme="minorHAnsi"/>
                <w:b w:val="0"/>
                <w:bCs w:val="0"/>
                <w:sz w:val="18"/>
                <w:szCs w:val="18"/>
              </w:rPr>
              <w:fldChar w:fldCharType="begin"/>
            </w:r>
            <w:r w:rsidRPr="00C462A0">
              <w:rPr>
                <w:rFonts w:cstheme="minorHAnsi"/>
                <w:b w:val="0"/>
                <w:bCs w:val="0"/>
                <w:sz w:val="18"/>
                <w:szCs w:val="18"/>
              </w:rPr>
              <w:instrText xml:space="preserve"> SEQ Figure \* ARABIC </w:instrText>
            </w:r>
            <w:r w:rsidRPr="00C462A0">
              <w:rPr>
                <w:rFonts w:cstheme="minorHAnsi"/>
                <w:b w:val="0"/>
                <w:bCs w:val="0"/>
                <w:sz w:val="18"/>
                <w:szCs w:val="18"/>
              </w:rPr>
              <w:fldChar w:fldCharType="separate"/>
            </w:r>
            <w:r w:rsidRPr="00C462A0">
              <w:rPr>
                <w:rFonts w:cstheme="minorHAnsi"/>
                <w:b w:val="0"/>
                <w:bCs w:val="0"/>
                <w:sz w:val="18"/>
                <w:szCs w:val="18"/>
              </w:rPr>
              <w:t>19</w:t>
            </w:r>
            <w:r w:rsidRPr="00C462A0">
              <w:rPr>
                <w:rFonts w:cstheme="minorHAnsi"/>
                <w:b w:val="0"/>
                <w:bCs w:val="0"/>
                <w:sz w:val="18"/>
                <w:szCs w:val="18"/>
              </w:rPr>
              <w:fldChar w:fldCharType="end"/>
            </w:r>
            <w:r w:rsidR="001A6772" w:rsidRPr="00C462A0">
              <w:rPr>
                <w:rFonts w:cstheme="minorHAnsi"/>
                <w:b w:val="0"/>
                <w:bCs w:val="0"/>
                <w:sz w:val="18"/>
                <w:szCs w:val="18"/>
              </w:rPr>
              <w:t>.</w:t>
            </w:r>
            <w:r w:rsidRPr="00C462A0">
              <w:rPr>
                <w:rFonts w:cstheme="minorHAnsi"/>
                <w:b w:val="0"/>
                <w:bCs w:val="0"/>
                <w:sz w:val="18"/>
                <w:szCs w:val="18"/>
              </w:rPr>
              <w:t xml:space="preserve"> NIST Cybersecurity Framework</w:t>
            </w:r>
            <w:r w:rsidR="001A6772" w:rsidRPr="00C462A0">
              <w:rPr>
                <w:rFonts w:cstheme="minorHAnsi"/>
                <w:b w:val="0"/>
                <w:bCs w:val="0"/>
                <w:sz w:val="18"/>
                <w:szCs w:val="18"/>
              </w:rPr>
              <w:t xml:space="preserve"> (source: </w:t>
            </w:r>
            <w:hyperlink r:id="rId80" w:history="1">
              <w:r w:rsidR="001A6772" w:rsidRPr="00C462A0">
                <w:rPr>
                  <w:rStyle w:val="Hyperlink"/>
                  <w:rFonts w:cstheme="minorHAnsi"/>
                  <w:b w:val="0"/>
                  <w:bCs w:val="0"/>
                  <w:color w:val="009889" w:themeColor="accent2"/>
                  <w:sz w:val="18"/>
                  <w:szCs w:val="18"/>
                </w:rPr>
                <w:t xml:space="preserve">Cyber Second Line Of </w:t>
              </w:r>
              <w:r w:rsidR="00721C5E" w:rsidRPr="00C462A0">
                <w:rPr>
                  <w:rStyle w:val="Hyperlink"/>
                  <w:rFonts w:cstheme="minorHAnsi"/>
                  <w:b w:val="0"/>
                  <w:bCs w:val="0"/>
                  <w:color w:val="009889" w:themeColor="accent2"/>
                  <w:sz w:val="18"/>
                  <w:szCs w:val="18"/>
                </w:rPr>
                <w:t>Defence</w:t>
              </w:r>
            </w:hyperlink>
            <w:r w:rsidR="001A6772" w:rsidRPr="00C462A0">
              <w:rPr>
                <w:rFonts w:cstheme="minorHAnsi"/>
                <w:b w:val="0"/>
                <w:bCs w:val="0"/>
                <w:sz w:val="18"/>
                <w:szCs w:val="18"/>
              </w:rPr>
              <w:t>)</w:t>
            </w:r>
            <w:bookmarkEnd w:id="41"/>
          </w:p>
          <w:p w14:paraId="6FD3C72E" w14:textId="343372A4" w:rsidR="0031451E" w:rsidRPr="0031451E" w:rsidRDefault="0031451E" w:rsidP="0031451E">
            <w:pPr>
              <w:jc w:val="both"/>
              <w:rPr>
                <w:rFonts w:cstheme="minorHAnsi"/>
                <w:i/>
                <w:iCs/>
                <w:sz w:val="18"/>
                <w:szCs w:val="18"/>
              </w:rPr>
            </w:pPr>
            <w:r w:rsidRPr="0031451E">
              <w:rPr>
                <w:rFonts w:cstheme="minorHAnsi"/>
                <w:i/>
                <w:iCs/>
                <w:sz w:val="18"/>
                <w:szCs w:val="18"/>
              </w:rPr>
              <w:lastRenderedPageBreak/>
              <w:t>The image</w:t>
            </w:r>
            <w:r>
              <w:rPr>
                <w:rFonts w:cstheme="minorHAnsi"/>
                <w:i/>
                <w:iCs/>
                <w:sz w:val="18"/>
                <w:szCs w:val="18"/>
              </w:rPr>
              <w:t xml:space="preserve"> above</w:t>
            </w:r>
            <w:r w:rsidRPr="0031451E">
              <w:rPr>
                <w:rFonts w:cstheme="minorHAnsi"/>
                <w:i/>
                <w:iCs/>
                <w:sz w:val="18"/>
                <w:szCs w:val="18"/>
              </w:rPr>
              <w:t xml:space="preserve"> illustrates the NIST Cybersecurity Framework (CSF) 2.0, which is a widely recognized set of guidelines for managing and reducing cybersecurity risk.</w:t>
            </w:r>
            <w:r>
              <w:rPr>
                <w:rFonts w:cstheme="minorHAnsi"/>
                <w:i/>
                <w:iCs/>
                <w:sz w:val="18"/>
                <w:szCs w:val="18"/>
              </w:rPr>
              <w:t xml:space="preserve"> </w:t>
            </w:r>
            <w:r w:rsidRPr="0031451E">
              <w:rPr>
                <w:rFonts w:cstheme="minorHAnsi"/>
                <w:i/>
                <w:iCs/>
                <w:sz w:val="18"/>
                <w:szCs w:val="18"/>
              </w:rPr>
              <w:t xml:space="preserve">This updated version (2.0) </w:t>
            </w:r>
            <w:r w:rsidRPr="0031451E">
              <w:rPr>
                <w:rFonts w:cstheme="minorHAnsi"/>
                <w:i/>
                <w:iCs/>
                <w:sz w:val="18"/>
                <w:szCs w:val="18"/>
              </w:rPr>
              <w:t>centres</w:t>
            </w:r>
            <w:r w:rsidRPr="0031451E">
              <w:rPr>
                <w:rFonts w:cstheme="minorHAnsi"/>
                <w:i/>
                <w:iCs/>
                <w:sz w:val="18"/>
                <w:szCs w:val="18"/>
              </w:rPr>
              <w:t xml:space="preserve"> around six core functions:</w:t>
            </w:r>
          </w:p>
          <w:p w14:paraId="2A8D20EE" w14:textId="77777777" w:rsidR="0031451E" w:rsidRPr="0031451E" w:rsidRDefault="0031451E" w:rsidP="0031451E">
            <w:pPr>
              <w:pStyle w:val="ListParagraph"/>
              <w:numPr>
                <w:ilvl w:val="0"/>
                <w:numId w:val="431"/>
              </w:numPr>
              <w:jc w:val="both"/>
              <w:rPr>
                <w:rFonts w:cstheme="minorHAnsi"/>
                <w:i/>
                <w:iCs/>
                <w:sz w:val="18"/>
                <w:szCs w:val="18"/>
              </w:rPr>
            </w:pPr>
            <w:r w:rsidRPr="0031451E">
              <w:rPr>
                <w:rFonts w:cstheme="minorHAnsi"/>
                <w:i/>
                <w:iCs/>
                <w:sz w:val="18"/>
                <w:szCs w:val="18"/>
              </w:rPr>
              <w:t>GOVERN (Yellow): The core function that informs how an organization makes decisions to support its cybersecurity strategy. It covers organizational context, risk management strategy, and oversight.</w:t>
            </w:r>
          </w:p>
          <w:p w14:paraId="03350FA0" w14:textId="77777777" w:rsidR="0031451E" w:rsidRPr="0031451E" w:rsidRDefault="0031451E" w:rsidP="0031451E">
            <w:pPr>
              <w:pStyle w:val="ListParagraph"/>
              <w:numPr>
                <w:ilvl w:val="0"/>
                <w:numId w:val="431"/>
              </w:numPr>
              <w:jc w:val="both"/>
              <w:rPr>
                <w:rFonts w:cstheme="minorHAnsi"/>
                <w:i/>
                <w:iCs/>
                <w:sz w:val="18"/>
                <w:szCs w:val="18"/>
              </w:rPr>
            </w:pPr>
            <w:r w:rsidRPr="0031451E">
              <w:rPr>
                <w:rFonts w:cstheme="minorHAnsi"/>
                <w:i/>
                <w:iCs/>
                <w:sz w:val="18"/>
                <w:szCs w:val="18"/>
              </w:rPr>
              <w:t>IDENTIFY (Blue): Focuses on understanding the organizational environment to manage cybersecurity risks to systems, people, assets, data, and capabilities.</w:t>
            </w:r>
          </w:p>
          <w:p w14:paraId="25A51357" w14:textId="77777777" w:rsidR="0031451E" w:rsidRPr="0031451E" w:rsidRDefault="0031451E" w:rsidP="0031451E">
            <w:pPr>
              <w:pStyle w:val="ListParagraph"/>
              <w:numPr>
                <w:ilvl w:val="0"/>
                <w:numId w:val="431"/>
              </w:numPr>
              <w:jc w:val="both"/>
              <w:rPr>
                <w:rFonts w:cstheme="minorHAnsi"/>
                <w:i/>
                <w:iCs/>
                <w:sz w:val="18"/>
                <w:szCs w:val="18"/>
              </w:rPr>
            </w:pPr>
            <w:r w:rsidRPr="0031451E">
              <w:rPr>
                <w:rFonts w:cstheme="minorHAnsi"/>
                <w:i/>
                <w:iCs/>
                <w:sz w:val="18"/>
                <w:szCs w:val="18"/>
              </w:rPr>
              <w:t>PROTECT (Purple): Outlines safeguards to ensure the delivery of critical infrastructure services and limit the impact of a potential cybersecurity event.</w:t>
            </w:r>
          </w:p>
          <w:p w14:paraId="48E3BC83" w14:textId="77777777" w:rsidR="0031451E" w:rsidRPr="0031451E" w:rsidRDefault="0031451E" w:rsidP="0031451E">
            <w:pPr>
              <w:pStyle w:val="ListParagraph"/>
              <w:numPr>
                <w:ilvl w:val="0"/>
                <w:numId w:val="431"/>
              </w:numPr>
              <w:jc w:val="both"/>
              <w:rPr>
                <w:rFonts w:cstheme="minorHAnsi"/>
                <w:i/>
                <w:iCs/>
                <w:sz w:val="18"/>
                <w:szCs w:val="18"/>
              </w:rPr>
            </w:pPr>
            <w:r w:rsidRPr="0031451E">
              <w:rPr>
                <w:rFonts w:cstheme="minorHAnsi"/>
                <w:i/>
                <w:iCs/>
                <w:sz w:val="18"/>
                <w:szCs w:val="18"/>
              </w:rPr>
              <w:t>DETECT (Orange): Defines the appropriate activities to identify the occurrence of a cybersecurity event in a timely manner.</w:t>
            </w:r>
          </w:p>
          <w:p w14:paraId="63C3B824" w14:textId="77777777" w:rsidR="0031451E" w:rsidRPr="0031451E" w:rsidRDefault="0031451E" w:rsidP="0031451E">
            <w:pPr>
              <w:pStyle w:val="ListParagraph"/>
              <w:numPr>
                <w:ilvl w:val="0"/>
                <w:numId w:val="431"/>
              </w:numPr>
              <w:jc w:val="both"/>
              <w:rPr>
                <w:rFonts w:cstheme="minorHAnsi"/>
                <w:i/>
                <w:iCs/>
                <w:sz w:val="18"/>
                <w:szCs w:val="18"/>
              </w:rPr>
            </w:pPr>
            <w:r w:rsidRPr="0031451E">
              <w:rPr>
                <w:rFonts w:cstheme="minorHAnsi"/>
                <w:i/>
                <w:iCs/>
                <w:sz w:val="18"/>
                <w:szCs w:val="18"/>
              </w:rPr>
              <w:t>RESPOND (Red): Includes the actions taken once a cybersecurity incident is detected to contain its impact.</w:t>
            </w:r>
          </w:p>
          <w:p w14:paraId="431CBE6D" w14:textId="667C3303" w:rsidR="00877F0A" w:rsidRPr="0031451E" w:rsidRDefault="0031451E" w:rsidP="0031451E">
            <w:pPr>
              <w:pStyle w:val="ListParagraph"/>
              <w:numPr>
                <w:ilvl w:val="0"/>
                <w:numId w:val="431"/>
              </w:numPr>
              <w:jc w:val="both"/>
              <w:rPr>
                <w:rFonts w:cstheme="minorHAnsi"/>
                <w:i/>
                <w:iCs/>
                <w:sz w:val="18"/>
                <w:szCs w:val="18"/>
              </w:rPr>
            </w:pPr>
            <w:r w:rsidRPr="0031451E">
              <w:rPr>
                <w:rFonts w:cstheme="minorHAnsi"/>
                <w:i/>
                <w:iCs/>
                <w:sz w:val="18"/>
                <w:szCs w:val="18"/>
              </w:rPr>
              <w:t>RECOVER (Green): Identifies activities to maintain plans for resilience and to restore any capabilities or services that were impaired due to a cybersecurity incident.</w:t>
            </w:r>
          </w:p>
          <w:p w14:paraId="49570CED" w14:textId="77777777" w:rsidR="0031451E" w:rsidRPr="00C462A0" w:rsidRDefault="0031451E" w:rsidP="0031451E">
            <w:pPr>
              <w:rPr>
                <w:rFonts w:cstheme="minorHAnsi"/>
                <w:szCs w:val="20"/>
              </w:rPr>
            </w:pPr>
          </w:p>
          <w:p w14:paraId="40C24326" w14:textId="61032E88" w:rsidR="00877F0A" w:rsidRPr="00C462A0" w:rsidRDefault="00877F0A" w:rsidP="001A6772">
            <w:pPr>
              <w:pStyle w:val="NormalWeb"/>
              <w:numPr>
                <w:ilvl w:val="0"/>
                <w:numId w:val="322"/>
              </w:numPr>
              <w:spacing w:before="0" w:beforeAutospacing="0" w:after="0" w:afterAutospacing="0"/>
              <w:jc w:val="both"/>
              <w:rPr>
                <w:rFonts w:asciiTheme="minorHAnsi" w:hAnsiTheme="minorHAnsi" w:cstheme="minorHAnsi"/>
                <w:b/>
                <w:bCs/>
                <w:color w:val="009889" w:themeColor="accent2"/>
                <w:sz w:val="20"/>
                <w:szCs w:val="20"/>
                <w:lang w:val="en-GB" w:eastAsia="en-GB"/>
              </w:rPr>
            </w:pPr>
            <w:r w:rsidRPr="00C462A0">
              <w:rPr>
                <w:rFonts w:asciiTheme="minorHAnsi" w:hAnsiTheme="minorHAnsi" w:cstheme="minorHAnsi"/>
                <w:b/>
                <w:bCs/>
                <w:color w:val="009889" w:themeColor="accent2"/>
                <w:sz w:val="20"/>
                <w:szCs w:val="20"/>
                <w:lang w:val="en-GB" w:eastAsia="en-GB"/>
              </w:rPr>
              <w:t>Frameworks Relevant to Sustainable Systems</w:t>
            </w:r>
          </w:p>
          <w:p w14:paraId="7796E3B1"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Several frameworks are especially relevant in sustainable environments:</w:t>
            </w:r>
          </w:p>
          <w:p w14:paraId="72A9E3CD" w14:textId="77777777" w:rsidR="00877F0A" w:rsidRPr="00C462A0" w:rsidRDefault="00877F0A" w:rsidP="00877F0A">
            <w:pPr>
              <w:pStyle w:val="NormalWeb"/>
              <w:numPr>
                <w:ilvl w:val="0"/>
                <w:numId w:val="290"/>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National Institute of Standards and Technology – NIST Cybersecurity Framework and Risk Management Framework.</w:t>
            </w:r>
          </w:p>
          <w:p w14:paraId="7A951BE4" w14:textId="77777777" w:rsidR="00877F0A" w:rsidRPr="00C462A0" w:rsidRDefault="00877F0A" w:rsidP="00877F0A">
            <w:pPr>
              <w:pStyle w:val="NormalWeb"/>
              <w:numPr>
                <w:ilvl w:val="0"/>
                <w:numId w:val="290"/>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International Organization for Standardization – ISO/IEC 27001 Information Security Management Systems.</w:t>
            </w:r>
          </w:p>
          <w:p w14:paraId="455BF3BD" w14:textId="77777777" w:rsidR="00877F0A" w:rsidRPr="00C462A0" w:rsidRDefault="00877F0A" w:rsidP="00877F0A">
            <w:pPr>
              <w:pStyle w:val="NormalWeb"/>
              <w:numPr>
                <w:ilvl w:val="0"/>
                <w:numId w:val="290"/>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European Union Agency for Cybersecurity – ENISA guidelines for critical infrastructure.</w:t>
            </w:r>
          </w:p>
          <w:p w14:paraId="73A26183" w14:textId="028ED409" w:rsidR="00877F0A" w:rsidRPr="00C462A0" w:rsidRDefault="00877F0A" w:rsidP="00877F0A">
            <w:pPr>
              <w:pStyle w:val="NormalWeb"/>
              <w:numPr>
                <w:ilvl w:val="0"/>
                <w:numId w:val="290"/>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MITRE Corporation – ATT&amp;CK for ICS, focused on mapping attacker behaviour.</w:t>
            </w:r>
          </w:p>
          <w:p w14:paraId="241653B0" w14:textId="77777777" w:rsidR="001A6772" w:rsidRPr="00C462A0" w:rsidRDefault="001A6772" w:rsidP="001A6772">
            <w:pPr>
              <w:pStyle w:val="NormalWeb"/>
              <w:spacing w:before="0" w:beforeAutospacing="0" w:after="0" w:afterAutospacing="0"/>
              <w:ind w:left="720"/>
              <w:jc w:val="both"/>
              <w:rPr>
                <w:rFonts w:asciiTheme="minorHAnsi" w:hAnsiTheme="minorHAnsi" w:cstheme="minorHAnsi"/>
                <w:sz w:val="20"/>
                <w:szCs w:val="20"/>
                <w:lang w:val="en-GB"/>
              </w:rPr>
            </w:pPr>
          </w:p>
          <w:p w14:paraId="3783E636"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These frameworks serve complementary roles:</w:t>
            </w:r>
          </w:p>
          <w:p w14:paraId="5A2376C3" w14:textId="77777777" w:rsidR="00877F0A" w:rsidRPr="00C462A0" w:rsidRDefault="00877F0A" w:rsidP="00877F0A">
            <w:pPr>
              <w:pStyle w:val="NormalWeb"/>
              <w:numPr>
                <w:ilvl w:val="0"/>
                <w:numId w:val="291"/>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NIST CSF provides a high-level governance structure.</w:t>
            </w:r>
          </w:p>
          <w:p w14:paraId="1D900C2E" w14:textId="77777777" w:rsidR="00877F0A" w:rsidRPr="00C462A0" w:rsidRDefault="00877F0A" w:rsidP="00877F0A">
            <w:pPr>
              <w:pStyle w:val="NormalWeb"/>
              <w:numPr>
                <w:ilvl w:val="0"/>
                <w:numId w:val="291"/>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ISO/IEC 27001 supports the implementation of formal information security management systems.</w:t>
            </w:r>
          </w:p>
          <w:p w14:paraId="3A30056C" w14:textId="77777777" w:rsidR="00877F0A" w:rsidRPr="00C462A0" w:rsidRDefault="00877F0A" w:rsidP="00877F0A">
            <w:pPr>
              <w:pStyle w:val="NormalWeb"/>
              <w:numPr>
                <w:ilvl w:val="0"/>
                <w:numId w:val="291"/>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ENISA guidance addresses sector-specific risk considerations.</w:t>
            </w:r>
          </w:p>
          <w:p w14:paraId="5F4CC95D" w14:textId="77777777" w:rsidR="00877F0A" w:rsidRPr="00C462A0" w:rsidRDefault="00877F0A" w:rsidP="00877F0A">
            <w:pPr>
              <w:pStyle w:val="NormalWeb"/>
              <w:numPr>
                <w:ilvl w:val="0"/>
                <w:numId w:val="291"/>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ATT&amp;CK strengthens threat modelling and defensive alignment.</w:t>
            </w:r>
          </w:p>
          <w:p w14:paraId="1FD5D96B" w14:textId="77777777" w:rsidR="00877F0A" w:rsidRPr="00C462A0" w:rsidRDefault="00877F0A" w:rsidP="00210B7E">
            <w:pPr>
              <w:pStyle w:val="NormalWeb"/>
              <w:spacing w:before="0" w:beforeAutospacing="0" w:after="0" w:afterAutospacing="0"/>
              <w:ind w:left="720"/>
              <w:jc w:val="both"/>
              <w:rPr>
                <w:rFonts w:asciiTheme="minorHAnsi" w:hAnsiTheme="minorHAnsi" w:cstheme="minorHAnsi"/>
                <w:sz w:val="20"/>
                <w:szCs w:val="20"/>
                <w:lang w:val="en-GB"/>
              </w:rPr>
            </w:pPr>
          </w:p>
          <w:p w14:paraId="6A028F2C" w14:textId="3850ED40" w:rsidR="00877F0A" w:rsidRPr="00C462A0" w:rsidRDefault="00877F0A" w:rsidP="001A6772">
            <w:pPr>
              <w:pStyle w:val="NormalWeb"/>
              <w:numPr>
                <w:ilvl w:val="0"/>
                <w:numId w:val="322"/>
              </w:numPr>
              <w:spacing w:before="0" w:beforeAutospacing="0" w:after="0" w:afterAutospacing="0"/>
              <w:jc w:val="both"/>
              <w:rPr>
                <w:rFonts w:asciiTheme="minorHAnsi" w:hAnsiTheme="minorHAnsi" w:cstheme="minorHAnsi"/>
                <w:b/>
                <w:bCs/>
                <w:color w:val="009889" w:themeColor="accent2"/>
                <w:sz w:val="20"/>
                <w:szCs w:val="20"/>
                <w:lang w:val="en-GB" w:eastAsia="en-GB"/>
              </w:rPr>
            </w:pPr>
            <w:r w:rsidRPr="00C462A0">
              <w:rPr>
                <w:rFonts w:asciiTheme="minorHAnsi" w:hAnsiTheme="minorHAnsi" w:cstheme="minorHAnsi"/>
                <w:b/>
                <w:bCs/>
                <w:color w:val="009889" w:themeColor="accent2"/>
                <w:sz w:val="20"/>
                <w:szCs w:val="20"/>
                <w:lang w:val="en-GB" w:eastAsia="en-GB"/>
              </w:rPr>
              <w:t>Applying Frameworks in Sustainable Infrastructure</w:t>
            </w:r>
          </w:p>
          <w:p w14:paraId="7F3B78C0"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When applied to energy systems, IoT networks, and ESG platforms, frameworks help organisations to:</w:t>
            </w:r>
          </w:p>
          <w:p w14:paraId="279461ED" w14:textId="77777777" w:rsidR="00877F0A" w:rsidRPr="00C462A0" w:rsidRDefault="00877F0A" w:rsidP="00877F0A">
            <w:pPr>
              <w:pStyle w:val="NormalWeb"/>
              <w:numPr>
                <w:ilvl w:val="0"/>
                <w:numId w:val="292"/>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Catalogue critical assets, such as smart grid control centres.</w:t>
            </w:r>
          </w:p>
          <w:p w14:paraId="027D8476" w14:textId="77777777" w:rsidR="00877F0A" w:rsidRPr="00C462A0" w:rsidRDefault="00877F0A" w:rsidP="00877F0A">
            <w:pPr>
              <w:pStyle w:val="NormalWeb"/>
              <w:numPr>
                <w:ilvl w:val="0"/>
                <w:numId w:val="292"/>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Prioritise risks according to impact and likelihood.</w:t>
            </w:r>
          </w:p>
          <w:p w14:paraId="244F61A9" w14:textId="77777777" w:rsidR="00877F0A" w:rsidRPr="00C462A0" w:rsidRDefault="00877F0A" w:rsidP="00877F0A">
            <w:pPr>
              <w:pStyle w:val="NormalWeb"/>
              <w:numPr>
                <w:ilvl w:val="0"/>
                <w:numId w:val="292"/>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Align technical controls with regulatory requirements.</w:t>
            </w:r>
          </w:p>
          <w:p w14:paraId="14624C1E" w14:textId="77777777" w:rsidR="00877F0A" w:rsidRPr="00C462A0" w:rsidRDefault="00877F0A" w:rsidP="00877F0A">
            <w:pPr>
              <w:pStyle w:val="NormalWeb"/>
              <w:numPr>
                <w:ilvl w:val="0"/>
                <w:numId w:val="292"/>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Structure incident response and recovery planning.</w:t>
            </w:r>
          </w:p>
          <w:p w14:paraId="1A0EDC77" w14:textId="77777777" w:rsidR="00877F0A" w:rsidRPr="00C462A0" w:rsidRDefault="00877F0A" w:rsidP="00877F0A">
            <w:pPr>
              <w:pStyle w:val="NormalWeb"/>
              <w:numPr>
                <w:ilvl w:val="0"/>
                <w:numId w:val="292"/>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Ensure traceability and auditability for compliance reporting.</w:t>
            </w:r>
          </w:p>
          <w:p w14:paraId="0342226F" w14:textId="77777777" w:rsidR="001A6772" w:rsidRPr="00C462A0" w:rsidRDefault="001A6772" w:rsidP="001A6772">
            <w:pPr>
              <w:pStyle w:val="NormalWeb"/>
              <w:spacing w:before="0" w:beforeAutospacing="0" w:after="0" w:afterAutospacing="0"/>
              <w:ind w:left="720"/>
              <w:jc w:val="both"/>
              <w:rPr>
                <w:rFonts w:asciiTheme="minorHAnsi" w:hAnsiTheme="minorHAnsi" w:cstheme="minorHAnsi"/>
                <w:sz w:val="20"/>
                <w:szCs w:val="20"/>
                <w:lang w:val="en-GB"/>
              </w:rPr>
            </w:pPr>
          </w:p>
          <w:p w14:paraId="472C723C"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For example, in a smart grid environment:</w:t>
            </w:r>
          </w:p>
          <w:p w14:paraId="0F2739B2" w14:textId="77777777" w:rsidR="00877F0A" w:rsidRPr="00C462A0" w:rsidRDefault="00877F0A" w:rsidP="00877F0A">
            <w:pPr>
              <w:pStyle w:val="NormalWeb"/>
              <w:numPr>
                <w:ilvl w:val="0"/>
                <w:numId w:val="293"/>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 xml:space="preserve">The </w:t>
            </w:r>
            <w:r w:rsidRPr="00C462A0">
              <w:rPr>
                <w:rFonts w:asciiTheme="minorHAnsi" w:hAnsiTheme="minorHAnsi" w:cstheme="minorHAnsi"/>
                <w:b/>
                <w:bCs/>
                <w:sz w:val="20"/>
                <w:szCs w:val="20"/>
                <w:lang w:val="en-GB"/>
              </w:rPr>
              <w:t>Identify</w:t>
            </w:r>
            <w:r w:rsidRPr="00C462A0">
              <w:rPr>
                <w:rFonts w:asciiTheme="minorHAnsi" w:hAnsiTheme="minorHAnsi" w:cstheme="minorHAnsi"/>
                <w:sz w:val="20"/>
                <w:szCs w:val="20"/>
                <w:lang w:val="en-GB"/>
              </w:rPr>
              <w:t xml:space="preserve"> function involves mapping substations and AMI components.</w:t>
            </w:r>
          </w:p>
          <w:p w14:paraId="6EDD2998" w14:textId="77777777" w:rsidR="00877F0A" w:rsidRPr="00C462A0" w:rsidRDefault="00877F0A" w:rsidP="00877F0A">
            <w:pPr>
              <w:pStyle w:val="NormalWeb"/>
              <w:numPr>
                <w:ilvl w:val="0"/>
                <w:numId w:val="293"/>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 xml:space="preserve">The </w:t>
            </w:r>
            <w:r w:rsidRPr="00C462A0">
              <w:rPr>
                <w:rFonts w:asciiTheme="minorHAnsi" w:hAnsiTheme="minorHAnsi" w:cstheme="minorHAnsi"/>
                <w:b/>
                <w:bCs/>
                <w:sz w:val="20"/>
                <w:szCs w:val="20"/>
                <w:lang w:val="en-GB"/>
              </w:rPr>
              <w:t>Protect</w:t>
            </w:r>
            <w:r w:rsidRPr="00C462A0">
              <w:rPr>
                <w:rFonts w:asciiTheme="minorHAnsi" w:hAnsiTheme="minorHAnsi" w:cstheme="minorHAnsi"/>
                <w:sz w:val="20"/>
                <w:szCs w:val="20"/>
                <w:lang w:val="en-GB"/>
              </w:rPr>
              <w:t xml:space="preserve"> function may include network segmentation and strong authentication.</w:t>
            </w:r>
          </w:p>
          <w:p w14:paraId="35919472" w14:textId="77777777" w:rsidR="00877F0A" w:rsidRPr="00C462A0" w:rsidRDefault="00877F0A" w:rsidP="00877F0A">
            <w:pPr>
              <w:pStyle w:val="NormalWeb"/>
              <w:numPr>
                <w:ilvl w:val="0"/>
                <w:numId w:val="293"/>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 xml:space="preserve">The </w:t>
            </w:r>
            <w:r w:rsidRPr="00C462A0">
              <w:rPr>
                <w:rFonts w:asciiTheme="minorHAnsi" w:hAnsiTheme="minorHAnsi" w:cstheme="minorHAnsi"/>
                <w:b/>
                <w:bCs/>
                <w:sz w:val="20"/>
                <w:szCs w:val="20"/>
                <w:lang w:val="en-GB"/>
              </w:rPr>
              <w:t>Detect</w:t>
            </w:r>
            <w:r w:rsidRPr="00C462A0">
              <w:rPr>
                <w:rFonts w:asciiTheme="minorHAnsi" w:hAnsiTheme="minorHAnsi" w:cstheme="minorHAnsi"/>
                <w:sz w:val="20"/>
                <w:szCs w:val="20"/>
                <w:lang w:val="en-GB"/>
              </w:rPr>
              <w:t xml:space="preserve"> function requires monitoring aligned with ATT&amp;CK techniques.</w:t>
            </w:r>
          </w:p>
          <w:p w14:paraId="2CF8A65E" w14:textId="77777777" w:rsidR="00877F0A" w:rsidRPr="00C462A0" w:rsidRDefault="00877F0A" w:rsidP="00877F0A">
            <w:pPr>
              <w:pStyle w:val="NormalWeb"/>
              <w:numPr>
                <w:ilvl w:val="0"/>
                <w:numId w:val="293"/>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 xml:space="preserve">The </w:t>
            </w:r>
            <w:r w:rsidRPr="00C462A0">
              <w:rPr>
                <w:rFonts w:asciiTheme="minorHAnsi" w:hAnsiTheme="minorHAnsi" w:cstheme="minorHAnsi"/>
                <w:b/>
                <w:bCs/>
                <w:sz w:val="20"/>
                <w:szCs w:val="20"/>
                <w:lang w:val="en-GB"/>
              </w:rPr>
              <w:t>Respond</w:t>
            </w:r>
            <w:r w:rsidRPr="00C462A0">
              <w:rPr>
                <w:rFonts w:asciiTheme="minorHAnsi" w:hAnsiTheme="minorHAnsi" w:cstheme="minorHAnsi"/>
                <w:sz w:val="20"/>
                <w:szCs w:val="20"/>
                <w:lang w:val="en-GB"/>
              </w:rPr>
              <w:t xml:space="preserve"> function includes incident response playbooks for grid disruption.</w:t>
            </w:r>
          </w:p>
          <w:p w14:paraId="5A132C87" w14:textId="77777777" w:rsidR="00877F0A" w:rsidRPr="00C462A0" w:rsidRDefault="00877F0A" w:rsidP="00877F0A">
            <w:pPr>
              <w:pStyle w:val="NormalWeb"/>
              <w:numPr>
                <w:ilvl w:val="0"/>
                <w:numId w:val="293"/>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 xml:space="preserve">The </w:t>
            </w:r>
            <w:r w:rsidRPr="00C462A0">
              <w:rPr>
                <w:rFonts w:asciiTheme="minorHAnsi" w:hAnsiTheme="minorHAnsi" w:cstheme="minorHAnsi"/>
                <w:b/>
                <w:bCs/>
                <w:sz w:val="20"/>
                <w:szCs w:val="20"/>
                <w:lang w:val="en-GB"/>
              </w:rPr>
              <w:t>Recover</w:t>
            </w:r>
            <w:r w:rsidRPr="00C462A0">
              <w:rPr>
                <w:rFonts w:asciiTheme="minorHAnsi" w:hAnsiTheme="minorHAnsi" w:cstheme="minorHAnsi"/>
                <w:sz w:val="20"/>
                <w:szCs w:val="20"/>
                <w:lang w:val="en-GB"/>
              </w:rPr>
              <w:t xml:space="preserve"> function focuses on restoring operational stability.</w:t>
            </w:r>
          </w:p>
          <w:p w14:paraId="1660A0FF" w14:textId="77777777" w:rsidR="00877F0A" w:rsidRPr="00C462A0" w:rsidRDefault="00877F0A" w:rsidP="00210B7E">
            <w:pPr>
              <w:pStyle w:val="NormalWeb"/>
              <w:keepNext/>
              <w:spacing w:before="0" w:beforeAutospacing="0" w:after="0" w:afterAutospacing="0"/>
              <w:jc w:val="center"/>
              <w:rPr>
                <w:rFonts w:asciiTheme="minorHAnsi" w:hAnsiTheme="minorHAnsi" w:cstheme="minorHAnsi"/>
                <w:sz w:val="20"/>
                <w:szCs w:val="20"/>
                <w:lang w:val="en-GB"/>
              </w:rPr>
            </w:pPr>
            <w:r w:rsidRPr="00C462A0">
              <w:rPr>
                <w:rFonts w:asciiTheme="minorHAnsi" w:hAnsiTheme="minorHAnsi" w:cstheme="minorHAnsi"/>
                <w:noProof/>
                <w:sz w:val="20"/>
                <w:szCs w:val="20"/>
                <w:lang w:val="en-GB"/>
              </w:rPr>
              <w:lastRenderedPageBreak/>
              <w:drawing>
                <wp:inline distT="0" distB="0" distL="0" distR="0" wp14:anchorId="2F4989CE" wp14:editId="34C1DFBC">
                  <wp:extent cx="5918951" cy="3945967"/>
                  <wp:effectExtent l="0" t="0" r="5715" b="0"/>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81">
                            <a:extLst>
                              <a:ext uri="{BEBA8EAE-BF5A-486C-A8C5-ECC9F3942E4B}">
                                <a14:imgProps xmlns:a14="http://schemas.microsoft.com/office/drawing/2010/main">
                                  <a14:imgLayer r:embed="rId82">
                                    <a14:imgEffect>
                                      <a14:sharpenSoften amount="25000"/>
                                    </a14:imgEffect>
                                  </a14:imgLayer>
                                </a14:imgProps>
                              </a:ext>
                            </a:extLst>
                          </a:blip>
                          <a:stretch/>
                        </pic:blipFill>
                        <pic:spPr bwMode="auto">
                          <a:xfrm>
                            <a:off x="0" y="0"/>
                            <a:ext cx="5929959" cy="3953306"/>
                          </a:xfrm>
                          <a:prstGeom prst="rect">
                            <a:avLst/>
                          </a:prstGeom>
                          <a:noFill/>
                        </pic:spPr>
                      </pic:pic>
                    </a:graphicData>
                  </a:graphic>
                </wp:inline>
              </w:drawing>
            </w:r>
          </w:p>
          <w:p w14:paraId="140D1A4D" w14:textId="794E4DCB" w:rsidR="00877F0A" w:rsidRPr="00C462A0" w:rsidRDefault="00877F0A" w:rsidP="00210B7E">
            <w:pPr>
              <w:pStyle w:val="Caption"/>
              <w:jc w:val="center"/>
              <w:rPr>
                <w:rFonts w:cstheme="minorHAnsi"/>
                <w:b w:val="0"/>
                <w:bCs w:val="0"/>
                <w:sz w:val="18"/>
                <w:szCs w:val="18"/>
              </w:rPr>
            </w:pPr>
            <w:bookmarkStart w:id="42" w:name="_Toc227623457"/>
            <w:r w:rsidRPr="00C462A0">
              <w:rPr>
                <w:rFonts w:cstheme="minorHAnsi"/>
                <w:b w:val="0"/>
                <w:bCs w:val="0"/>
                <w:sz w:val="18"/>
                <w:szCs w:val="18"/>
              </w:rPr>
              <w:t xml:space="preserve">Figure </w:t>
            </w:r>
            <w:r w:rsidRPr="00C462A0">
              <w:rPr>
                <w:rFonts w:cstheme="minorHAnsi"/>
                <w:b w:val="0"/>
                <w:bCs w:val="0"/>
                <w:sz w:val="18"/>
                <w:szCs w:val="18"/>
              </w:rPr>
              <w:fldChar w:fldCharType="begin"/>
            </w:r>
            <w:r w:rsidRPr="00C462A0">
              <w:rPr>
                <w:rFonts w:cstheme="minorHAnsi"/>
                <w:b w:val="0"/>
                <w:bCs w:val="0"/>
                <w:sz w:val="18"/>
                <w:szCs w:val="18"/>
              </w:rPr>
              <w:instrText xml:space="preserve"> SEQ Figure \* ARABIC </w:instrText>
            </w:r>
            <w:r w:rsidRPr="00C462A0">
              <w:rPr>
                <w:rFonts w:cstheme="minorHAnsi"/>
                <w:b w:val="0"/>
                <w:bCs w:val="0"/>
                <w:sz w:val="18"/>
                <w:szCs w:val="18"/>
              </w:rPr>
              <w:fldChar w:fldCharType="separate"/>
            </w:r>
            <w:r w:rsidRPr="00C462A0">
              <w:rPr>
                <w:rFonts w:cstheme="minorHAnsi"/>
                <w:b w:val="0"/>
                <w:bCs w:val="0"/>
                <w:sz w:val="18"/>
                <w:szCs w:val="18"/>
              </w:rPr>
              <w:t>20</w:t>
            </w:r>
            <w:r w:rsidRPr="00C462A0">
              <w:rPr>
                <w:rFonts w:cstheme="minorHAnsi"/>
                <w:b w:val="0"/>
                <w:bCs w:val="0"/>
                <w:sz w:val="18"/>
                <w:szCs w:val="18"/>
              </w:rPr>
              <w:fldChar w:fldCharType="end"/>
            </w:r>
            <w:r w:rsidR="001A6772" w:rsidRPr="00C462A0">
              <w:rPr>
                <w:rFonts w:cstheme="minorHAnsi"/>
                <w:b w:val="0"/>
                <w:bCs w:val="0"/>
                <w:sz w:val="18"/>
                <w:szCs w:val="18"/>
              </w:rPr>
              <w:t>.</w:t>
            </w:r>
            <w:r w:rsidRPr="00C462A0">
              <w:rPr>
                <w:rFonts w:cstheme="minorHAnsi"/>
                <w:b w:val="0"/>
                <w:bCs w:val="0"/>
                <w:sz w:val="18"/>
                <w:szCs w:val="18"/>
              </w:rPr>
              <w:t xml:space="preserve"> Application of cybersecurity frameworks to smart grid infrastructures, covering identification, protection, detection, response, and recovery processes</w:t>
            </w:r>
            <w:r w:rsidR="001A6772" w:rsidRPr="00C462A0">
              <w:rPr>
                <w:rFonts w:cstheme="minorHAnsi"/>
                <w:b w:val="0"/>
                <w:bCs w:val="0"/>
                <w:sz w:val="18"/>
                <w:szCs w:val="18"/>
              </w:rPr>
              <w:t xml:space="preserve"> (source: Author)</w:t>
            </w:r>
            <w:bookmarkEnd w:id="42"/>
          </w:p>
          <w:p w14:paraId="5C953F06" w14:textId="77777777" w:rsidR="00877F0A" w:rsidRDefault="00877F0A" w:rsidP="0031451E">
            <w:pPr>
              <w:pStyle w:val="NormalWeb"/>
              <w:spacing w:before="0" w:beforeAutospacing="0" w:after="0" w:afterAutospacing="0"/>
              <w:rPr>
                <w:rFonts w:asciiTheme="minorHAnsi" w:hAnsiTheme="minorHAnsi" w:cstheme="minorHAnsi"/>
                <w:sz w:val="20"/>
                <w:szCs w:val="20"/>
                <w:lang w:val="en-GB"/>
              </w:rPr>
            </w:pPr>
          </w:p>
          <w:p w14:paraId="51C23410" w14:textId="355B18B1" w:rsidR="0031451E" w:rsidRPr="0031451E" w:rsidRDefault="0031451E" w:rsidP="0031451E">
            <w:pPr>
              <w:jc w:val="both"/>
              <w:rPr>
                <w:i/>
                <w:iCs/>
                <w:sz w:val="18"/>
                <w:szCs w:val="20"/>
              </w:rPr>
            </w:pPr>
            <w:r w:rsidRPr="0031451E">
              <w:rPr>
                <w:i/>
                <w:iCs/>
                <w:sz w:val="18"/>
                <w:szCs w:val="20"/>
              </w:rPr>
              <w:t>Th</w:t>
            </w:r>
            <w:r>
              <w:rPr>
                <w:i/>
                <w:iCs/>
                <w:sz w:val="18"/>
                <w:szCs w:val="20"/>
              </w:rPr>
              <w:t>e</w:t>
            </w:r>
            <w:r w:rsidRPr="0031451E">
              <w:rPr>
                <w:i/>
                <w:iCs/>
                <w:sz w:val="18"/>
                <w:szCs w:val="20"/>
              </w:rPr>
              <w:t xml:space="preserve"> diagram</w:t>
            </w:r>
            <w:r>
              <w:rPr>
                <w:i/>
                <w:iCs/>
                <w:sz w:val="18"/>
                <w:szCs w:val="20"/>
              </w:rPr>
              <w:t xml:space="preserve"> above</w:t>
            </w:r>
            <w:r w:rsidRPr="0031451E">
              <w:rPr>
                <w:i/>
                <w:iCs/>
                <w:sz w:val="18"/>
                <w:szCs w:val="20"/>
              </w:rPr>
              <w:t xml:space="preserve"> illustrates the cybersecurity framework for sustainable infrastructure, specifically applied to a smart grid example.</w:t>
            </w:r>
            <w:r>
              <w:rPr>
                <w:i/>
                <w:iCs/>
                <w:sz w:val="18"/>
                <w:szCs w:val="20"/>
              </w:rPr>
              <w:t xml:space="preserve"> </w:t>
            </w:r>
          </w:p>
          <w:p w14:paraId="0DDB4CB7" w14:textId="250F0915" w:rsidR="0031451E" w:rsidRPr="0031451E" w:rsidRDefault="0031451E" w:rsidP="0031451E">
            <w:pPr>
              <w:jc w:val="both"/>
              <w:rPr>
                <w:i/>
                <w:iCs/>
                <w:sz w:val="18"/>
                <w:szCs w:val="20"/>
              </w:rPr>
            </w:pPr>
            <w:r w:rsidRPr="0031451E">
              <w:rPr>
                <w:i/>
                <w:iCs/>
                <w:sz w:val="18"/>
                <w:szCs w:val="20"/>
              </w:rPr>
              <w:t xml:space="preserve">Cybersecurity Phases: The framework outlines six continuous phases: Identify, Protect, Detect, Respond, and Recover. Key Actions: Key actions include asset inventory, network segmentation, anomaly detection, incident response playbooks, and containment of compromised gateways. Benefits: Implementing this framework supports infrastructure resilience, regulatory alignment, and ESG reporting integrity. </w:t>
            </w:r>
          </w:p>
          <w:p w14:paraId="7E6D98BF" w14:textId="311AB1FE" w:rsidR="0031451E" w:rsidRDefault="0031451E" w:rsidP="0031451E">
            <w:pPr>
              <w:jc w:val="both"/>
              <w:rPr>
                <w:i/>
                <w:iCs/>
                <w:sz w:val="18"/>
                <w:szCs w:val="20"/>
              </w:rPr>
            </w:pPr>
            <w:r w:rsidRPr="0031451E">
              <w:rPr>
                <w:i/>
                <w:iCs/>
                <w:sz w:val="18"/>
                <w:szCs w:val="20"/>
              </w:rPr>
              <w:t>Grid Security: The smart grid's digital transition requires modern security to handle complex threats to power networks.</w:t>
            </w:r>
          </w:p>
          <w:p w14:paraId="390AA377" w14:textId="77777777" w:rsidR="0031451E" w:rsidRPr="0031451E" w:rsidRDefault="0031451E" w:rsidP="0031451E">
            <w:pPr>
              <w:jc w:val="both"/>
              <w:rPr>
                <w:i/>
                <w:iCs/>
                <w:sz w:val="18"/>
                <w:szCs w:val="20"/>
              </w:rPr>
            </w:pPr>
          </w:p>
          <w:p w14:paraId="649FC1F6" w14:textId="36424E62" w:rsidR="00877F0A" w:rsidRPr="00C462A0" w:rsidRDefault="00877F0A" w:rsidP="001A6772">
            <w:pPr>
              <w:pStyle w:val="NormalWeb"/>
              <w:numPr>
                <w:ilvl w:val="0"/>
                <w:numId w:val="322"/>
              </w:numPr>
              <w:spacing w:before="0" w:beforeAutospacing="0" w:after="0" w:afterAutospacing="0"/>
              <w:jc w:val="both"/>
              <w:rPr>
                <w:rFonts w:asciiTheme="minorHAnsi" w:hAnsiTheme="minorHAnsi" w:cstheme="minorHAnsi"/>
                <w:b/>
                <w:bCs/>
                <w:color w:val="009889" w:themeColor="accent2"/>
                <w:sz w:val="20"/>
                <w:szCs w:val="20"/>
                <w:lang w:val="en-GB" w:eastAsia="en-GB"/>
              </w:rPr>
            </w:pPr>
            <w:r w:rsidRPr="00C462A0">
              <w:rPr>
                <w:rFonts w:asciiTheme="minorHAnsi" w:hAnsiTheme="minorHAnsi" w:cstheme="minorHAnsi"/>
                <w:b/>
                <w:bCs/>
                <w:color w:val="009889" w:themeColor="accent2"/>
                <w:sz w:val="20"/>
                <w:szCs w:val="20"/>
                <w:lang w:val="en-GB" w:eastAsia="en-GB"/>
              </w:rPr>
              <w:t>Governance, Compliance, and Continuous Improvement</w:t>
            </w:r>
          </w:p>
          <w:p w14:paraId="5FE0F313"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Security frameworks are not static checklists; they are designed to support ongoing assessment and improvement. In sustainable systems, this is particularly important because:</w:t>
            </w:r>
          </w:p>
          <w:p w14:paraId="53DA11A5" w14:textId="77777777" w:rsidR="00877F0A" w:rsidRPr="00C462A0" w:rsidRDefault="00877F0A" w:rsidP="00877F0A">
            <w:pPr>
              <w:pStyle w:val="NormalWeb"/>
              <w:numPr>
                <w:ilvl w:val="0"/>
                <w:numId w:val="294"/>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Threat landscapes evolve quickly.</w:t>
            </w:r>
          </w:p>
          <w:p w14:paraId="6FE3B670" w14:textId="77777777" w:rsidR="00877F0A" w:rsidRPr="00C462A0" w:rsidRDefault="00877F0A" w:rsidP="00877F0A">
            <w:pPr>
              <w:pStyle w:val="NormalWeb"/>
              <w:numPr>
                <w:ilvl w:val="0"/>
                <w:numId w:val="294"/>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Regulatory requirements for ESG reporting continue to expand.</w:t>
            </w:r>
          </w:p>
          <w:p w14:paraId="0DDADC2E" w14:textId="77777777" w:rsidR="00877F0A" w:rsidRPr="00C462A0" w:rsidRDefault="00877F0A" w:rsidP="00877F0A">
            <w:pPr>
              <w:pStyle w:val="NormalWeb"/>
              <w:numPr>
                <w:ilvl w:val="0"/>
                <w:numId w:val="294"/>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Technology integration increases overall system complexity.</w:t>
            </w:r>
          </w:p>
          <w:p w14:paraId="24D4C16C" w14:textId="77777777" w:rsidR="001A6772" w:rsidRPr="00C462A0" w:rsidRDefault="001A6772" w:rsidP="001A6772">
            <w:pPr>
              <w:pStyle w:val="NormalWeb"/>
              <w:spacing w:before="0" w:beforeAutospacing="0" w:after="0" w:afterAutospacing="0"/>
              <w:ind w:left="720"/>
              <w:jc w:val="both"/>
              <w:rPr>
                <w:rFonts w:asciiTheme="minorHAnsi" w:hAnsiTheme="minorHAnsi" w:cstheme="minorHAnsi"/>
                <w:sz w:val="20"/>
                <w:szCs w:val="20"/>
                <w:lang w:val="en-GB"/>
              </w:rPr>
            </w:pPr>
          </w:p>
          <w:p w14:paraId="203D7CFF"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Adopting a framework strengthens governance by:</w:t>
            </w:r>
          </w:p>
          <w:p w14:paraId="71F10386" w14:textId="77777777" w:rsidR="00877F0A" w:rsidRPr="00C462A0" w:rsidRDefault="00877F0A" w:rsidP="00877F0A">
            <w:pPr>
              <w:pStyle w:val="NormalWeb"/>
              <w:numPr>
                <w:ilvl w:val="0"/>
                <w:numId w:val="295"/>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Clarifying roles and responsibilities.</w:t>
            </w:r>
          </w:p>
          <w:p w14:paraId="4621110F" w14:textId="77777777" w:rsidR="00877F0A" w:rsidRPr="00C462A0" w:rsidRDefault="00877F0A" w:rsidP="00877F0A">
            <w:pPr>
              <w:pStyle w:val="NormalWeb"/>
              <w:numPr>
                <w:ilvl w:val="0"/>
                <w:numId w:val="295"/>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Making security maturity measurable.</w:t>
            </w:r>
          </w:p>
          <w:p w14:paraId="7D983D25" w14:textId="77777777" w:rsidR="00877F0A" w:rsidRPr="00C462A0" w:rsidRDefault="00877F0A" w:rsidP="00877F0A">
            <w:pPr>
              <w:pStyle w:val="NormalWeb"/>
              <w:numPr>
                <w:ilvl w:val="0"/>
                <w:numId w:val="295"/>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Supporting audit and certification processes.</w:t>
            </w:r>
          </w:p>
          <w:p w14:paraId="546EA655" w14:textId="77777777" w:rsidR="00877F0A" w:rsidRPr="00C462A0" w:rsidRDefault="00877F0A" w:rsidP="00877F0A">
            <w:pPr>
              <w:pStyle w:val="NormalWeb"/>
              <w:numPr>
                <w:ilvl w:val="0"/>
                <w:numId w:val="295"/>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Aligning cybersecurity strategy with broader sustainability objectives.</w:t>
            </w:r>
          </w:p>
          <w:p w14:paraId="33EFE851" w14:textId="77777777" w:rsidR="00877F0A" w:rsidRPr="00C462A0" w:rsidRDefault="00877F0A" w:rsidP="00210B7E">
            <w:pPr>
              <w:pStyle w:val="NormalWeb"/>
              <w:spacing w:after="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 xml:space="preserve">A practical way to make governance and continuous improvement work in sustainable systems is to run the framework as a recurring management cycle aligned with the business's </w:t>
            </w:r>
            <w:r w:rsidRPr="00C462A0">
              <w:rPr>
                <w:rFonts w:asciiTheme="minorHAnsi" w:hAnsiTheme="minorHAnsi" w:cstheme="minorHAnsi"/>
                <w:sz w:val="20"/>
                <w:szCs w:val="20"/>
                <w:lang w:val="en-GB"/>
              </w:rPr>
              <w:lastRenderedPageBreak/>
              <w:t>cadence and reporting obligations. That means scheduling periodic risk reviews whenever the operating context shifts, such as after a new IoT rollout, a grid integration, or the onboarding of a key supplier, and timing those reviews alongside ESG reporting checkpoints. The output of each review should feed a clearly defined improvement backlog, with named owners and realistic deadlines. Over time, this rhythm builds a defensible trail of evidence: controls are documented, yes, but they are also exercised, challenged, and adjusted as conditions change. The result is steady audit readiness and visible progress in system maturity, grounded in practice rather than policy alone.</w:t>
            </w:r>
          </w:p>
          <w:p w14:paraId="15B03250" w14:textId="77777777" w:rsidR="00877F0A" w:rsidRPr="00C462A0" w:rsidRDefault="00877F0A" w:rsidP="00210B7E">
            <w:pPr>
              <w:pStyle w:val="NormalWeb"/>
              <w:spacing w:before="0" w:beforeAutospacing="0" w:after="0" w:afterAutospacing="0"/>
              <w:jc w:val="both"/>
              <w:rPr>
                <w:rFonts w:asciiTheme="minorHAnsi" w:hAnsiTheme="minorHAnsi" w:cstheme="minorHAnsi"/>
                <w:b/>
                <w:color w:val="00AC4E" w:themeColor="accent1"/>
                <w:sz w:val="20"/>
                <w:szCs w:val="20"/>
                <w:u w:val="single"/>
                <w:lang w:val="en-GB"/>
              </w:rPr>
            </w:pPr>
            <w:r w:rsidRPr="00C462A0">
              <w:rPr>
                <w:rFonts w:asciiTheme="minorHAnsi" w:hAnsiTheme="minorHAnsi" w:cstheme="minorHAnsi"/>
                <w:b/>
                <w:color w:val="00AC4E" w:themeColor="accent1"/>
                <w:sz w:val="20"/>
                <w:szCs w:val="20"/>
                <w:u w:val="single"/>
                <w:lang w:val="en-GB"/>
              </w:rPr>
              <w:t>Micro-Activity</w:t>
            </w:r>
          </w:p>
          <w:p w14:paraId="2386D419"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Consider a regional energy provider operating:</w:t>
            </w:r>
          </w:p>
          <w:p w14:paraId="06837CEE" w14:textId="77777777" w:rsidR="00877F0A" w:rsidRPr="00C462A0" w:rsidRDefault="00877F0A" w:rsidP="00877F0A">
            <w:pPr>
              <w:pStyle w:val="NormalWeb"/>
              <w:numPr>
                <w:ilvl w:val="0"/>
                <w:numId w:val="296"/>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Smart grid infrastructure</w:t>
            </w:r>
          </w:p>
          <w:p w14:paraId="7D5C72A0" w14:textId="77777777" w:rsidR="00877F0A" w:rsidRPr="00C462A0" w:rsidRDefault="00877F0A" w:rsidP="00877F0A">
            <w:pPr>
              <w:pStyle w:val="NormalWeb"/>
              <w:numPr>
                <w:ilvl w:val="0"/>
                <w:numId w:val="296"/>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IoT-based monitoring systems</w:t>
            </w:r>
          </w:p>
          <w:p w14:paraId="29E2172C" w14:textId="45F53884" w:rsidR="001A6772" w:rsidRPr="00C462A0" w:rsidRDefault="00877F0A" w:rsidP="00C462A0">
            <w:pPr>
              <w:pStyle w:val="NormalWeb"/>
              <w:numPr>
                <w:ilvl w:val="0"/>
                <w:numId w:val="296"/>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A cloud ESG reporting platform</w:t>
            </w:r>
            <w:r w:rsidR="001A6772" w:rsidRPr="00C462A0">
              <w:rPr>
                <w:rFonts w:asciiTheme="minorHAnsi" w:hAnsiTheme="minorHAnsi" w:cstheme="minorHAnsi"/>
                <w:sz w:val="20"/>
                <w:szCs w:val="20"/>
                <w:lang w:val="en-GB"/>
              </w:rPr>
              <w:t>.</w:t>
            </w:r>
          </w:p>
          <w:p w14:paraId="2F91E5C8" w14:textId="5EAD18C5" w:rsidR="00877F0A" w:rsidRPr="00C462A0" w:rsidRDefault="001A6772" w:rsidP="00210B7E">
            <w:pPr>
              <w:pStyle w:val="NormalWeb"/>
              <w:spacing w:before="0" w:beforeAutospacing="0" w:after="0" w:afterAutospacing="0"/>
              <w:jc w:val="both"/>
              <w:rPr>
                <w:rFonts w:asciiTheme="minorHAnsi" w:hAnsiTheme="minorHAnsi" w:cstheme="minorHAnsi"/>
                <w:b/>
                <w:bCs/>
                <w:sz w:val="20"/>
                <w:szCs w:val="20"/>
                <w:lang w:val="en-GB"/>
              </w:rPr>
            </w:pPr>
            <w:r w:rsidRPr="00C462A0">
              <w:rPr>
                <w:rFonts w:asciiTheme="minorHAnsi" w:hAnsiTheme="minorHAnsi" w:cstheme="minorHAnsi"/>
                <w:b/>
                <w:bCs/>
                <w:sz w:val="20"/>
                <w:szCs w:val="20"/>
                <w:lang w:val="en-GB"/>
              </w:rPr>
              <w:t>Learner t</w:t>
            </w:r>
            <w:r w:rsidR="00877F0A" w:rsidRPr="00C462A0">
              <w:rPr>
                <w:rFonts w:asciiTheme="minorHAnsi" w:hAnsiTheme="minorHAnsi" w:cstheme="minorHAnsi"/>
                <w:b/>
                <w:bCs/>
                <w:sz w:val="20"/>
                <w:szCs w:val="20"/>
                <w:lang w:val="en-GB"/>
              </w:rPr>
              <w:t>ask:</w:t>
            </w:r>
          </w:p>
          <w:p w14:paraId="0B28E48E" w14:textId="77777777" w:rsidR="00877F0A" w:rsidRPr="00C462A0" w:rsidRDefault="00877F0A" w:rsidP="00877F0A">
            <w:pPr>
              <w:pStyle w:val="NormalWeb"/>
              <w:numPr>
                <w:ilvl w:val="0"/>
                <w:numId w:val="297"/>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Choose one framework function (Identify, Protect, Detect, Respond, or Recover).</w:t>
            </w:r>
          </w:p>
          <w:p w14:paraId="3AD4C639" w14:textId="77777777" w:rsidR="00877F0A" w:rsidRPr="00C462A0" w:rsidRDefault="00877F0A" w:rsidP="00877F0A">
            <w:pPr>
              <w:pStyle w:val="NormalWeb"/>
              <w:numPr>
                <w:ilvl w:val="0"/>
                <w:numId w:val="297"/>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Describe two concrete actions relevant to that function in this environment.</w:t>
            </w:r>
          </w:p>
          <w:p w14:paraId="0FC539C0" w14:textId="77777777" w:rsidR="00877F0A" w:rsidRPr="00C462A0" w:rsidRDefault="00877F0A" w:rsidP="00877F0A">
            <w:pPr>
              <w:pStyle w:val="NormalWeb"/>
              <w:numPr>
                <w:ilvl w:val="0"/>
                <w:numId w:val="297"/>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Explain how these actions reduce cyber risk or improve resilience.</w:t>
            </w:r>
          </w:p>
          <w:p w14:paraId="1C452157"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Respond in 8–10 structured sentences.</w:t>
            </w:r>
          </w:p>
          <w:p w14:paraId="231CCEFD"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p>
          <w:p w14:paraId="233D8539" w14:textId="77777777" w:rsidR="00877F0A" w:rsidRPr="00C462A0" w:rsidRDefault="00877F0A" w:rsidP="00210B7E">
            <w:pPr>
              <w:pStyle w:val="NormalWeb"/>
              <w:spacing w:before="0" w:beforeAutospacing="0" w:after="0" w:afterAutospacing="0"/>
              <w:jc w:val="both"/>
              <w:rPr>
                <w:rFonts w:asciiTheme="minorHAnsi" w:hAnsiTheme="minorHAnsi" w:cstheme="minorHAnsi"/>
                <w:b/>
                <w:color w:val="00AC4E" w:themeColor="accent1"/>
                <w:sz w:val="20"/>
                <w:szCs w:val="20"/>
                <w:lang w:val="en-GB"/>
              </w:rPr>
            </w:pPr>
            <w:r w:rsidRPr="00C462A0">
              <w:rPr>
                <w:rFonts w:asciiTheme="minorHAnsi" w:hAnsiTheme="minorHAnsi" w:cstheme="minorHAnsi"/>
                <w:b/>
                <w:color w:val="00AC4E" w:themeColor="accent1"/>
                <w:sz w:val="20"/>
                <w:szCs w:val="20"/>
                <w:lang w:val="en-GB"/>
              </w:rPr>
              <w:t>Additional Reading:</w:t>
            </w:r>
          </w:p>
          <w:p w14:paraId="0A2C8FDC" w14:textId="00D05440" w:rsidR="00877F0A" w:rsidRPr="00C462A0" w:rsidRDefault="00877F0A" w:rsidP="00877F0A">
            <w:pPr>
              <w:pStyle w:val="ListParagraph"/>
              <w:numPr>
                <w:ilvl w:val="0"/>
                <w:numId w:val="296"/>
              </w:numPr>
              <w:rPr>
                <w:rFonts w:cstheme="minorHAnsi"/>
                <w:szCs w:val="20"/>
              </w:rPr>
            </w:pPr>
            <w:hyperlink r:id="rId83" w:history="1">
              <w:r w:rsidRPr="00C462A0">
                <w:rPr>
                  <w:rStyle w:val="Hyperlink"/>
                  <w:rFonts w:cstheme="minorHAnsi"/>
                  <w:color w:val="00AC4E" w:themeColor="accent1"/>
                  <w:szCs w:val="20"/>
                </w:rPr>
                <w:t>European Commission – Corporate Sustainability Reporting Directive (CSRD)</w:t>
              </w:r>
            </w:hyperlink>
            <w:r w:rsidRPr="00C462A0">
              <w:rPr>
                <w:rFonts w:cstheme="minorHAnsi"/>
                <w:color w:val="00AC4E" w:themeColor="accent1"/>
                <w:szCs w:val="20"/>
              </w:rPr>
              <w:br/>
            </w:r>
            <w:r w:rsidRPr="00C462A0">
              <w:rPr>
                <w:rFonts w:cstheme="minorHAnsi"/>
                <w:szCs w:val="20"/>
              </w:rPr>
              <w:t>Establishes mandatory sustainability reporting requirements in the EU, reinforcing the need for reliable, traceable, and auditable ESG data governance</w:t>
            </w:r>
            <w:r w:rsidR="001A6772" w:rsidRPr="00C462A0">
              <w:rPr>
                <w:rFonts w:cstheme="minorHAnsi"/>
                <w:szCs w:val="20"/>
              </w:rPr>
              <w:t xml:space="preserve"> </w:t>
            </w:r>
          </w:p>
          <w:p w14:paraId="6A97AE94" w14:textId="689CD790" w:rsidR="00877F0A" w:rsidRPr="00C462A0" w:rsidRDefault="00877F0A" w:rsidP="00877F0A">
            <w:pPr>
              <w:pStyle w:val="ListParagraph"/>
              <w:numPr>
                <w:ilvl w:val="0"/>
                <w:numId w:val="296"/>
              </w:numPr>
              <w:rPr>
                <w:rFonts w:cstheme="minorHAnsi"/>
                <w:szCs w:val="20"/>
              </w:rPr>
            </w:pPr>
            <w:hyperlink r:id="rId84" w:history="1">
              <w:r w:rsidRPr="00C462A0">
                <w:rPr>
                  <w:rStyle w:val="Hyperlink"/>
                  <w:rFonts w:cstheme="minorHAnsi"/>
                  <w:color w:val="00AC4E" w:themeColor="accent1"/>
                  <w:szCs w:val="20"/>
                </w:rPr>
                <w:t>EFRAG – European Sustainability Reporting Standards (ESRS)</w:t>
              </w:r>
            </w:hyperlink>
            <w:r w:rsidRPr="00C462A0">
              <w:rPr>
                <w:rFonts w:cstheme="minorHAnsi"/>
                <w:color w:val="00AC4E" w:themeColor="accent1"/>
                <w:szCs w:val="20"/>
              </w:rPr>
              <w:br/>
            </w:r>
            <w:r w:rsidRPr="00C462A0">
              <w:rPr>
                <w:rFonts w:cstheme="minorHAnsi"/>
                <w:szCs w:val="20"/>
              </w:rPr>
              <w:t>Defines detailed ESG disclosure requirements and structured data points under CSRD, relevant for internal control and cybersecurity alignment</w:t>
            </w:r>
          </w:p>
          <w:p w14:paraId="581164CA" w14:textId="1DF66365" w:rsidR="00877F0A" w:rsidRPr="00C462A0" w:rsidRDefault="00877F0A" w:rsidP="00877F0A">
            <w:pPr>
              <w:pStyle w:val="ListParagraph"/>
              <w:numPr>
                <w:ilvl w:val="0"/>
                <w:numId w:val="296"/>
              </w:numPr>
              <w:rPr>
                <w:rFonts w:cstheme="minorHAnsi"/>
                <w:szCs w:val="20"/>
              </w:rPr>
            </w:pPr>
            <w:hyperlink r:id="rId85" w:history="1">
              <w:r w:rsidRPr="00C462A0">
                <w:rPr>
                  <w:rStyle w:val="Hyperlink"/>
                  <w:rFonts w:cstheme="minorHAnsi"/>
                  <w:color w:val="00AC4E" w:themeColor="accent1"/>
                  <w:szCs w:val="20"/>
                </w:rPr>
                <w:t>COSO – Internal Control over Sustainability Reporting (ICSR) Guidance</w:t>
              </w:r>
            </w:hyperlink>
            <w:r w:rsidRPr="00C462A0">
              <w:rPr>
                <w:rFonts w:cstheme="minorHAnsi"/>
                <w:szCs w:val="20"/>
              </w:rPr>
              <w:br/>
              <w:t>Provides a governance-oriented framework for designing and evaluating controls over sustainability reporting processes</w:t>
            </w:r>
          </w:p>
          <w:p w14:paraId="2E549158" w14:textId="77777777" w:rsidR="00877F0A" w:rsidRPr="00C462A0" w:rsidRDefault="00877F0A" w:rsidP="00210B7E">
            <w:pPr>
              <w:pStyle w:val="NormalWeb"/>
              <w:spacing w:before="0" w:beforeAutospacing="0" w:after="0" w:afterAutospacing="0"/>
              <w:jc w:val="both"/>
              <w:rPr>
                <w:rFonts w:asciiTheme="minorHAnsi" w:hAnsiTheme="minorHAnsi" w:cstheme="minorHAnsi"/>
                <w:sz w:val="20"/>
                <w:szCs w:val="20"/>
                <w:lang w:val="en-GB"/>
              </w:rPr>
            </w:pPr>
          </w:p>
          <w:p w14:paraId="7D58AF63" w14:textId="30714314" w:rsidR="00877F0A" w:rsidRPr="00C462A0" w:rsidRDefault="00877F0A" w:rsidP="00210B7E">
            <w:pPr>
              <w:pStyle w:val="NormalWeb"/>
              <w:spacing w:before="0" w:beforeAutospacing="0" w:after="0" w:afterAutospacing="0"/>
              <w:jc w:val="both"/>
              <w:rPr>
                <w:rFonts w:asciiTheme="minorHAnsi" w:hAnsiTheme="minorHAnsi" w:cstheme="minorHAnsi"/>
                <w:b/>
                <w:color w:val="00AC4E" w:themeColor="accent1"/>
                <w:sz w:val="20"/>
                <w:szCs w:val="20"/>
                <w:lang w:val="en-GB"/>
              </w:rPr>
            </w:pPr>
            <w:r w:rsidRPr="00C462A0">
              <w:rPr>
                <w:rFonts w:asciiTheme="minorHAnsi" w:hAnsiTheme="minorHAnsi" w:cstheme="minorHAnsi"/>
                <w:b/>
                <w:color w:val="00AC4E" w:themeColor="accent1"/>
                <w:sz w:val="20"/>
                <w:szCs w:val="20"/>
                <w:lang w:val="en-GB"/>
              </w:rPr>
              <w:t>Key Takeaways:</w:t>
            </w:r>
          </w:p>
          <w:p w14:paraId="4E4D61AC" w14:textId="77777777" w:rsidR="00877F0A" w:rsidRPr="00C462A0" w:rsidRDefault="00877F0A" w:rsidP="00877F0A">
            <w:pPr>
              <w:pStyle w:val="NormalWeb"/>
              <w:numPr>
                <w:ilvl w:val="0"/>
                <w:numId w:val="296"/>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Security frameworks provide structured governance for sustainable digital systems.</w:t>
            </w:r>
          </w:p>
          <w:p w14:paraId="09A8F54E" w14:textId="77777777" w:rsidR="00877F0A" w:rsidRPr="00C462A0" w:rsidRDefault="00877F0A" w:rsidP="00877F0A">
            <w:pPr>
              <w:pStyle w:val="NormalWeb"/>
              <w:numPr>
                <w:ilvl w:val="0"/>
                <w:numId w:val="296"/>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Frameworks support risk-based prioritisation and regulatory alignment.</w:t>
            </w:r>
          </w:p>
          <w:p w14:paraId="31D76171" w14:textId="77777777" w:rsidR="00877F0A" w:rsidRPr="00C462A0" w:rsidRDefault="00877F0A" w:rsidP="00877F0A">
            <w:pPr>
              <w:pStyle w:val="NormalWeb"/>
              <w:numPr>
                <w:ilvl w:val="0"/>
                <w:numId w:val="296"/>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NIST CSF, ISO/IEC 27001, ENISA guidance, and ATT&amp;CK serve complementary roles.</w:t>
            </w:r>
          </w:p>
          <w:p w14:paraId="2EC1F70E" w14:textId="77777777" w:rsidR="00877F0A" w:rsidRPr="00C462A0" w:rsidRDefault="00877F0A" w:rsidP="00877F0A">
            <w:pPr>
              <w:pStyle w:val="NormalWeb"/>
              <w:numPr>
                <w:ilvl w:val="0"/>
                <w:numId w:val="296"/>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Framework mapping ensures controls align with operational infrastructure components.</w:t>
            </w:r>
          </w:p>
          <w:p w14:paraId="622FA71B" w14:textId="77777777" w:rsidR="00877F0A" w:rsidRPr="00C462A0" w:rsidRDefault="00877F0A" w:rsidP="00877F0A">
            <w:pPr>
              <w:pStyle w:val="NormalWeb"/>
              <w:numPr>
                <w:ilvl w:val="0"/>
                <w:numId w:val="296"/>
              </w:numPr>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sz w:val="20"/>
                <w:szCs w:val="20"/>
                <w:lang w:val="en-GB"/>
              </w:rPr>
              <w:t>Continuous improvement is essential for resilient, sustainable systems.</w:t>
            </w:r>
          </w:p>
          <w:p w14:paraId="592A9A89" w14:textId="77777777" w:rsidR="00877F0A" w:rsidRPr="00C462A0" w:rsidRDefault="00877F0A" w:rsidP="00210B7E">
            <w:pPr>
              <w:pStyle w:val="NormalWeb"/>
              <w:spacing w:before="0" w:beforeAutospacing="0" w:after="0" w:afterAutospacing="0"/>
              <w:ind w:left="360"/>
              <w:jc w:val="both"/>
              <w:rPr>
                <w:rFonts w:asciiTheme="minorHAnsi" w:hAnsiTheme="minorHAnsi" w:cstheme="minorHAnsi"/>
                <w:sz w:val="20"/>
                <w:szCs w:val="20"/>
                <w:lang w:val="en-GB"/>
              </w:rPr>
            </w:pPr>
          </w:p>
          <w:p w14:paraId="527770E8" w14:textId="77777777" w:rsidR="00877F0A" w:rsidRPr="00C462A0" w:rsidRDefault="00877F0A" w:rsidP="00210B7E">
            <w:pPr>
              <w:pStyle w:val="NormalWeb"/>
              <w:spacing w:before="0" w:beforeAutospacing="0" w:after="0" w:afterAutospacing="0"/>
              <w:jc w:val="both"/>
              <w:rPr>
                <w:rFonts w:asciiTheme="minorHAnsi" w:hAnsiTheme="minorHAnsi" w:cstheme="minorHAnsi"/>
                <w:b/>
                <w:color w:val="00AC4E" w:themeColor="accent1"/>
                <w:sz w:val="20"/>
                <w:szCs w:val="20"/>
                <w:lang w:val="en-GB"/>
              </w:rPr>
            </w:pPr>
            <w:r w:rsidRPr="00C462A0">
              <w:rPr>
                <w:rFonts w:asciiTheme="minorHAnsi" w:hAnsiTheme="minorHAnsi" w:cstheme="minorHAnsi"/>
                <w:b/>
                <w:color w:val="00AC4E" w:themeColor="accent1"/>
                <w:sz w:val="20"/>
                <w:szCs w:val="20"/>
                <w:lang w:val="en-GB"/>
              </w:rPr>
              <w:t>Quick check</w:t>
            </w:r>
          </w:p>
          <w:p w14:paraId="72F2329D" w14:textId="7F7B4B8A" w:rsidR="001A6772" w:rsidRPr="00C462A0" w:rsidRDefault="00877F0A" w:rsidP="001A6772">
            <w:pPr>
              <w:pStyle w:val="NormalWeb"/>
              <w:numPr>
                <w:ilvl w:val="0"/>
                <w:numId w:val="323"/>
              </w:numPr>
              <w:spacing w:before="0" w:beforeAutospacing="0" w:after="0" w:afterAutospacing="0"/>
              <w:jc w:val="both"/>
              <w:rPr>
                <w:rFonts w:asciiTheme="minorHAnsi" w:hAnsiTheme="minorHAnsi" w:cstheme="minorHAnsi"/>
                <w:color w:val="009889" w:themeColor="accent2"/>
                <w:sz w:val="20"/>
                <w:szCs w:val="20"/>
                <w:lang w:val="en-GB"/>
              </w:rPr>
            </w:pPr>
            <w:r w:rsidRPr="00C462A0">
              <w:rPr>
                <w:rFonts w:asciiTheme="minorHAnsi" w:hAnsiTheme="minorHAnsi" w:cstheme="minorHAnsi"/>
                <w:bCs/>
                <w:color w:val="009889" w:themeColor="accent2"/>
                <w:sz w:val="20"/>
                <w:szCs w:val="20"/>
                <w:lang w:val="en-GB"/>
              </w:rPr>
              <w:t>True or False:</w:t>
            </w:r>
            <w:r w:rsidR="001A6772" w:rsidRPr="00C462A0">
              <w:rPr>
                <w:rFonts w:asciiTheme="minorHAnsi" w:hAnsiTheme="minorHAnsi" w:cstheme="minorHAnsi"/>
                <w:bCs/>
                <w:color w:val="009889" w:themeColor="accent2"/>
                <w:sz w:val="20"/>
                <w:szCs w:val="20"/>
                <w:lang w:val="en-GB"/>
              </w:rPr>
              <w:t xml:space="preserve"> An organisation that has formally adopted a recognised cybersecurity framework but has not aligned it to its specific smart grid and ESG architecture can still be considered framework-compliant in a risk-based sense. </w:t>
            </w:r>
          </w:p>
          <w:p w14:paraId="28A60721" w14:textId="77777777" w:rsidR="001A6772" w:rsidRPr="00C462A0" w:rsidRDefault="001A6772" w:rsidP="001A6772">
            <w:pPr>
              <w:pStyle w:val="NormalWeb"/>
              <w:spacing w:before="0" w:beforeAutospacing="0" w:after="0" w:afterAutospacing="0"/>
              <w:ind w:left="720"/>
              <w:jc w:val="both"/>
              <w:rPr>
                <w:rFonts w:asciiTheme="minorHAnsi" w:hAnsiTheme="minorHAnsi" w:cstheme="minorHAnsi"/>
                <w:color w:val="009889" w:themeColor="accent2"/>
                <w:sz w:val="20"/>
                <w:szCs w:val="20"/>
                <w:lang w:val="en-GB"/>
              </w:rPr>
            </w:pPr>
          </w:p>
          <w:p w14:paraId="778C4655" w14:textId="30C987EE" w:rsidR="00877F0A" w:rsidRPr="00C462A0" w:rsidRDefault="00877F0A" w:rsidP="001A6772">
            <w:pPr>
              <w:pStyle w:val="NormalWeb"/>
              <w:numPr>
                <w:ilvl w:val="0"/>
                <w:numId w:val="323"/>
              </w:numPr>
              <w:spacing w:before="0" w:beforeAutospacing="0" w:after="0" w:afterAutospacing="0"/>
              <w:jc w:val="both"/>
              <w:rPr>
                <w:rFonts w:asciiTheme="minorHAnsi" w:hAnsiTheme="minorHAnsi" w:cstheme="minorHAnsi"/>
                <w:bCs/>
                <w:color w:val="009889" w:themeColor="accent2"/>
                <w:sz w:val="20"/>
                <w:szCs w:val="20"/>
                <w:lang w:val="en-GB"/>
              </w:rPr>
            </w:pPr>
            <w:r w:rsidRPr="00C462A0">
              <w:rPr>
                <w:rFonts w:asciiTheme="minorHAnsi" w:hAnsiTheme="minorHAnsi" w:cstheme="minorHAnsi"/>
                <w:bCs/>
                <w:color w:val="009889" w:themeColor="accent2"/>
                <w:sz w:val="20"/>
                <w:szCs w:val="20"/>
                <w:lang w:val="en-GB"/>
              </w:rPr>
              <w:t xml:space="preserve">A regional energy provider has mapped all critical assets under the “Identify” function of the NIST Cybersecurity Framework, but has not implemented monitoring aligned to known attacker techniques. Which systemic weakness is most evident? </w:t>
            </w:r>
          </w:p>
          <w:p w14:paraId="5B731CFE" w14:textId="77777777" w:rsidR="00877F0A" w:rsidRPr="00C462A0" w:rsidRDefault="00877F0A" w:rsidP="001A6772">
            <w:pPr>
              <w:pStyle w:val="NormalWeb"/>
              <w:numPr>
                <w:ilvl w:val="0"/>
                <w:numId w:val="324"/>
              </w:numPr>
              <w:spacing w:before="0" w:beforeAutospacing="0" w:after="0" w:afterAutospacing="0"/>
              <w:jc w:val="both"/>
              <w:rPr>
                <w:rFonts w:asciiTheme="minorHAnsi" w:hAnsiTheme="minorHAnsi" w:cstheme="minorHAnsi"/>
                <w:bCs/>
                <w:sz w:val="20"/>
                <w:szCs w:val="20"/>
                <w:lang w:val="en-GB"/>
              </w:rPr>
            </w:pPr>
            <w:r w:rsidRPr="00C462A0">
              <w:rPr>
                <w:rFonts w:asciiTheme="minorHAnsi" w:hAnsiTheme="minorHAnsi" w:cstheme="minorHAnsi"/>
                <w:bCs/>
                <w:sz w:val="20"/>
                <w:szCs w:val="20"/>
                <w:lang w:val="en-GB"/>
              </w:rPr>
              <w:t>Overinvestment in recovery planning</w:t>
            </w:r>
          </w:p>
          <w:p w14:paraId="6A2C2EB0" w14:textId="77777777" w:rsidR="00877F0A" w:rsidRPr="00C462A0" w:rsidRDefault="00877F0A" w:rsidP="001A6772">
            <w:pPr>
              <w:pStyle w:val="NormalWeb"/>
              <w:numPr>
                <w:ilvl w:val="0"/>
                <w:numId w:val="324"/>
              </w:numPr>
              <w:spacing w:after="0"/>
              <w:jc w:val="both"/>
              <w:rPr>
                <w:rFonts w:asciiTheme="minorHAnsi" w:hAnsiTheme="minorHAnsi" w:cstheme="minorHAnsi"/>
                <w:bCs/>
                <w:sz w:val="20"/>
                <w:szCs w:val="20"/>
                <w:lang w:val="en-GB"/>
              </w:rPr>
            </w:pPr>
            <w:r w:rsidRPr="00C462A0">
              <w:rPr>
                <w:rFonts w:asciiTheme="minorHAnsi" w:hAnsiTheme="minorHAnsi" w:cstheme="minorHAnsi"/>
                <w:bCs/>
                <w:sz w:val="20"/>
                <w:szCs w:val="20"/>
                <w:lang w:val="en-GB"/>
              </w:rPr>
              <w:lastRenderedPageBreak/>
              <w:t>Underdeveloped detection capability affecting resilience</w:t>
            </w:r>
          </w:p>
          <w:p w14:paraId="3C07FDCA" w14:textId="77777777" w:rsidR="00877F0A" w:rsidRPr="00C462A0" w:rsidRDefault="00877F0A" w:rsidP="001A6772">
            <w:pPr>
              <w:pStyle w:val="NormalWeb"/>
              <w:numPr>
                <w:ilvl w:val="0"/>
                <w:numId w:val="324"/>
              </w:numPr>
              <w:spacing w:before="0" w:beforeAutospacing="0" w:after="0" w:afterAutospacing="0"/>
              <w:jc w:val="both"/>
              <w:rPr>
                <w:rFonts w:asciiTheme="minorHAnsi" w:hAnsiTheme="minorHAnsi" w:cstheme="minorHAnsi"/>
                <w:bCs/>
                <w:sz w:val="20"/>
                <w:szCs w:val="20"/>
                <w:lang w:val="en-GB"/>
              </w:rPr>
            </w:pPr>
            <w:r w:rsidRPr="00C462A0">
              <w:rPr>
                <w:rFonts w:asciiTheme="minorHAnsi" w:hAnsiTheme="minorHAnsi" w:cstheme="minorHAnsi"/>
                <w:bCs/>
                <w:sz w:val="20"/>
                <w:szCs w:val="20"/>
                <w:lang w:val="en-GB"/>
              </w:rPr>
              <w:t>Excessive regulatory compliance</w:t>
            </w:r>
          </w:p>
          <w:p w14:paraId="199FFEC9" w14:textId="3C00238B" w:rsidR="00877F0A" w:rsidRPr="00C462A0" w:rsidRDefault="00877F0A" w:rsidP="001A6772">
            <w:pPr>
              <w:pStyle w:val="NormalWeb"/>
              <w:numPr>
                <w:ilvl w:val="0"/>
                <w:numId w:val="324"/>
              </w:numPr>
              <w:spacing w:before="0" w:beforeAutospacing="0" w:after="0" w:afterAutospacing="0"/>
              <w:jc w:val="both"/>
              <w:rPr>
                <w:rFonts w:asciiTheme="minorHAnsi" w:hAnsiTheme="minorHAnsi" w:cstheme="minorHAnsi"/>
                <w:bCs/>
                <w:sz w:val="20"/>
                <w:szCs w:val="20"/>
                <w:lang w:val="en-GB"/>
              </w:rPr>
            </w:pPr>
            <w:r w:rsidRPr="00C462A0">
              <w:rPr>
                <w:rFonts w:asciiTheme="minorHAnsi" w:hAnsiTheme="minorHAnsi" w:cstheme="minorHAnsi"/>
                <w:bCs/>
                <w:sz w:val="20"/>
                <w:szCs w:val="20"/>
                <w:lang w:val="en-GB"/>
              </w:rPr>
              <w:t>Redundant asset documentation</w:t>
            </w:r>
            <w:r w:rsidR="001A6772" w:rsidRPr="00C462A0">
              <w:rPr>
                <w:rFonts w:asciiTheme="minorHAnsi" w:hAnsiTheme="minorHAnsi" w:cstheme="minorHAnsi"/>
                <w:bCs/>
                <w:sz w:val="20"/>
                <w:szCs w:val="20"/>
                <w:lang w:val="en-GB"/>
              </w:rPr>
              <w:t>.</w:t>
            </w:r>
          </w:p>
          <w:p w14:paraId="29FE14AD" w14:textId="1420AAC1" w:rsidR="00877F0A" w:rsidRPr="00C462A0" w:rsidRDefault="00877F0A" w:rsidP="001A6772">
            <w:pPr>
              <w:pStyle w:val="NormalWeb"/>
              <w:numPr>
                <w:ilvl w:val="0"/>
                <w:numId w:val="323"/>
              </w:numPr>
              <w:spacing w:before="0" w:beforeAutospacing="0" w:after="0" w:afterAutospacing="0"/>
              <w:jc w:val="both"/>
              <w:rPr>
                <w:rFonts w:asciiTheme="minorHAnsi" w:hAnsiTheme="minorHAnsi" w:cstheme="minorHAnsi"/>
                <w:bCs/>
                <w:color w:val="009889" w:themeColor="accent2"/>
                <w:sz w:val="20"/>
                <w:szCs w:val="20"/>
                <w:lang w:val="en-GB"/>
              </w:rPr>
            </w:pPr>
            <w:r w:rsidRPr="00C462A0">
              <w:rPr>
                <w:rFonts w:asciiTheme="minorHAnsi" w:hAnsiTheme="minorHAnsi" w:cstheme="minorHAnsi"/>
                <w:bCs/>
                <w:color w:val="009889" w:themeColor="accent2"/>
                <w:sz w:val="20"/>
                <w:szCs w:val="20"/>
                <w:lang w:val="en-GB"/>
              </w:rPr>
              <w:t xml:space="preserve">An organisation implements ISO/IEC 27001 controls for documentation and policy management but fails to integrate OT-specific controls for substations and SCADA systems. What is the most accurate risk implication? </w:t>
            </w:r>
          </w:p>
          <w:p w14:paraId="136BF868" w14:textId="77777777" w:rsidR="00877F0A" w:rsidRPr="00C462A0" w:rsidRDefault="00877F0A" w:rsidP="001A6772">
            <w:pPr>
              <w:pStyle w:val="NormalWeb"/>
              <w:numPr>
                <w:ilvl w:val="0"/>
                <w:numId w:val="325"/>
              </w:numPr>
              <w:spacing w:before="0" w:beforeAutospacing="0" w:after="0" w:afterAutospacing="0"/>
              <w:jc w:val="both"/>
              <w:rPr>
                <w:rFonts w:asciiTheme="minorHAnsi" w:hAnsiTheme="minorHAnsi" w:cstheme="minorHAnsi"/>
                <w:bCs/>
                <w:sz w:val="20"/>
                <w:szCs w:val="20"/>
                <w:lang w:val="en-GB"/>
              </w:rPr>
            </w:pPr>
            <w:r w:rsidRPr="00C462A0">
              <w:rPr>
                <w:rFonts w:asciiTheme="minorHAnsi" w:hAnsiTheme="minorHAnsi" w:cstheme="minorHAnsi"/>
                <w:bCs/>
                <w:sz w:val="20"/>
                <w:szCs w:val="20"/>
                <w:lang w:val="en-GB"/>
              </w:rPr>
              <w:t>Full coverage is achieved because ISO certification guarantees operational security</w:t>
            </w:r>
          </w:p>
          <w:p w14:paraId="3025732B" w14:textId="77777777" w:rsidR="00877F0A" w:rsidRPr="00C462A0" w:rsidRDefault="00877F0A" w:rsidP="001A6772">
            <w:pPr>
              <w:pStyle w:val="NormalWeb"/>
              <w:numPr>
                <w:ilvl w:val="0"/>
                <w:numId w:val="325"/>
              </w:numPr>
              <w:spacing w:after="0"/>
              <w:jc w:val="both"/>
              <w:rPr>
                <w:rFonts w:asciiTheme="minorHAnsi" w:hAnsiTheme="minorHAnsi" w:cstheme="minorHAnsi"/>
                <w:bCs/>
                <w:sz w:val="20"/>
                <w:szCs w:val="20"/>
                <w:lang w:val="en-GB"/>
              </w:rPr>
            </w:pPr>
            <w:r w:rsidRPr="00C462A0">
              <w:rPr>
                <w:rFonts w:asciiTheme="minorHAnsi" w:hAnsiTheme="minorHAnsi" w:cstheme="minorHAnsi"/>
                <w:bCs/>
                <w:sz w:val="20"/>
                <w:szCs w:val="20"/>
                <w:lang w:val="en-GB"/>
              </w:rPr>
              <w:t>Governance maturity exists, but sector-specific technical risks may remain insufficiently mitigated</w:t>
            </w:r>
          </w:p>
          <w:p w14:paraId="27BFF3BE" w14:textId="77777777" w:rsidR="00877F0A" w:rsidRPr="00C462A0" w:rsidRDefault="00877F0A" w:rsidP="001A6772">
            <w:pPr>
              <w:pStyle w:val="NormalWeb"/>
              <w:numPr>
                <w:ilvl w:val="0"/>
                <w:numId w:val="325"/>
              </w:numPr>
              <w:spacing w:before="0" w:beforeAutospacing="0" w:after="0" w:afterAutospacing="0"/>
              <w:jc w:val="both"/>
              <w:rPr>
                <w:rFonts w:asciiTheme="minorHAnsi" w:hAnsiTheme="minorHAnsi" w:cstheme="minorHAnsi"/>
                <w:bCs/>
                <w:sz w:val="20"/>
                <w:szCs w:val="20"/>
                <w:lang w:val="en-GB"/>
              </w:rPr>
            </w:pPr>
            <w:r w:rsidRPr="00C462A0">
              <w:rPr>
                <w:rFonts w:asciiTheme="minorHAnsi" w:hAnsiTheme="minorHAnsi" w:cstheme="minorHAnsi"/>
                <w:bCs/>
                <w:sz w:val="20"/>
                <w:szCs w:val="20"/>
                <w:lang w:val="en-GB"/>
              </w:rPr>
              <w:t>OT systems are automatically secured by IT policies</w:t>
            </w:r>
          </w:p>
          <w:p w14:paraId="739588F9" w14:textId="77777777" w:rsidR="00877F0A" w:rsidRPr="00C462A0" w:rsidRDefault="00877F0A" w:rsidP="001A6772">
            <w:pPr>
              <w:pStyle w:val="NormalWeb"/>
              <w:numPr>
                <w:ilvl w:val="0"/>
                <w:numId w:val="325"/>
              </w:numPr>
              <w:spacing w:before="0" w:beforeAutospacing="0" w:after="0" w:afterAutospacing="0"/>
              <w:jc w:val="both"/>
              <w:rPr>
                <w:rFonts w:asciiTheme="minorHAnsi" w:hAnsiTheme="minorHAnsi" w:cstheme="minorHAnsi"/>
                <w:bCs/>
                <w:sz w:val="20"/>
                <w:szCs w:val="20"/>
                <w:lang w:val="en-GB"/>
              </w:rPr>
            </w:pPr>
            <w:r w:rsidRPr="00C462A0">
              <w:rPr>
                <w:rFonts w:asciiTheme="minorHAnsi" w:hAnsiTheme="minorHAnsi" w:cstheme="minorHAnsi"/>
                <w:bCs/>
                <w:sz w:val="20"/>
                <w:szCs w:val="20"/>
                <w:lang w:val="en-GB"/>
              </w:rPr>
              <w:t>Certification eliminates the need for continuous monitoring</w:t>
            </w:r>
            <w:r w:rsidR="001A6772" w:rsidRPr="00C462A0">
              <w:rPr>
                <w:rFonts w:asciiTheme="minorHAnsi" w:hAnsiTheme="minorHAnsi" w:cstheme="minorHAnsi"/>
                <w:bCs/>
                <w:sz w:val="20"/>
                <w:szCs w:val="20"/>
                <w:lang w:val="en-GB"/>
              </w:rPr>
              <w:t>.</w:t>
            </w:r>
          </w:p>
          <w:p w14:paraId="12F49385" w14:textId="77777777" w:rsidR="001A6772" w:rsidRPr="00C462A0" w:rsidRDefault="001A6772" w:rsidP="001A6772">
            <w:pPr>
              <w:pStyle w:val="NormalWeb"/>
              <w:spacing w:before="0" w:beforeAutospacing="0" w:after="0" w:afterAutospacing="0"/>
              <w:jc w:val="both"/>
              <w:rPr>
                <w:rFonts w:asciiTheme="minorHAnsi" w:hAnsiTheme="minorHAnsi" w:cstheme="minorHAnsi"/>
                <w:bCs/>
                <w:sz w:val="20"/>
                <w:szCs w:val="20"/>
                <w:lang w:val="en-GB"/>
              </w:rPr>
            </w:pPr>
          </w:p>
          <w:p w14:paraId="09F67F91" w14:textId="61D6341B" w:rsidR="001A6772" w:rsidRPr="00C462A0" w:rsidRDefault="001A6772" w:rsidP="001A6772">
            <w:pPr>
              <w:pStyle w:val="NormalWeb"/>
              <w:spacing w:before="0" w:beforeAutospacing="0" w:after="0" w:afterAutospacing="0"/>
              <w:jc w:val="both"/>
              <w:rPr>
                <w:rFonts w:asciiTheme="minorHAnsi" w:hAnsiTheme="minorHAnsi" w:cstheme="minorHAnsi"/>
                <w:bCs/>
                <w:i/>
                <w:iCs/>
                <w:sz w:val="20"/>
                <w:szCs w:val="20"/>
                <w:lang w:val="en-GB"/>
              </w:rPr>
            </w:pPr>
            <w:r w:rsidRPr="00C462A0">
              <w:rPr>
                <w:rFonts w:asciiTheme="minorHAnsi" w:hAnsiTheme="minorHAnsi" w:cstheme="minorHAnsi"/>
                <w:bCs/>
                <w:i/>
                <w:iCs/>
                <w:sz w:val="20"/>
                <w:szCs w:val="20"/>
                <w:lang w:val="en-GB"/>
              </w:rPr>
              <w:t>Answer key: 1. false; 2. b), 3. b).</w:t>
            </w:r>
          </w:p>
        </w:tc>
      </w:tr>
    </w:tbl>
    <w:p w14:paraId="0A9E5B2D" w14:textId="77777777" w:rsidR="008D4089" w:rsidRPr="00C462A0" w:rsidRDefault="008D4089" w:rsidP="00980D68">
      <w:pPr>
        <w:spacing w:line="276" w:lineRule="auto"/>
      </w:pPr>
      <w:r w:rsidRPr="00C462A0">
        <w:lastRenderedPageBreak/>
        <w:br w:type="page"/>
      </w:r>
    </w:p>
    <w:tbl>
      <w:tblPr>
        <w:tblStyle w:val="TableGrid"/>
        <w:tblW w:w="0" w:type="auto"/>
        <w:tblLook w:val="04A0" w:firstRow="1" w:lastRow="0" w:firstColumn="1" w:lastColumn="0" w:noHBand="0" w:noVBand="1"/>
      </w:tblPr>
      <w:tblGrid>
        <w:gridCol w:w="9628"/>
      </w:tblGrid>
      <w:tr w:rsidR="00531361" w:rsidRPr="00C462A0" w14:paraId="4C5DD961" w14:textId="77777777" w:rsidTr="001549C8">
        <w:trPr>
          <w:trHeight w:val="300"/>
        </w:trPr>
        <w:tc>
          <w:tcPr>
            <w:tcW w:w="9628" w:type="dxa"/>
            <w:shd w:val="clear" w:color="auto" w:fill="FFFFFF" w:themeFill="background1"/>
          </w:tcPr>
          <w:p w14:paraId="567E7510" w14:textId="34724122" w:rsidR="00531361" w:rsidRPr="00C462A0" w:rsidRDefault="001549C8" w:rsidP="001549C8">
            <w:pPr>
              <w:pStyle w:val="Heading2"/>
              <w:numPr>
                <w:ilvl w:val="0"/>
                <w:numId w:val="0"/>
              </w:numPr>
            </w:pPr>
            <w:bookmarkStart w:id="43" w:name="_Toc227623411"/>
            <w:r w:rsidRPr="00C462A0">
              <w:lastRenderedPageBreak/>
              <w:t>Module 2: Conclusion and Assessment</w:t>
            </w:r>
            <w:bookmarkEnd w:id="43"/>
          </w:p>
        </w:tc>
      </w:tr>
      <w:tr w:rsidR="001549C8" w:rsidRPr="00C462A0" w14:paraId="703AA62A" w14:textId="77777777" w:rsidTr="006203D4">
        <w:trPr>
          <w:trHeight w:val="300"/>
        </w:trPr>
        <w:tc>
          <w:tcPr>
            <w:tcW w:w="9628" w:type="dxa"/>
            <w:shd w:val="clear" w:color="auto" w:fill="D9D9D9" w:themeFill="background1" w:themeFillShade="D9"/>
          </w:tcPr>
          <w:p w14:paraId="76D54EBD" w14:textId="0EF5CF0F" w:rsidR="001549C8" w:rsidRPr="00C462A0" w:rsidRDefault="001549C8" w:rsidP="002221F4">
            <w:pPr>
              <w:spacing w:line="276" w:lineRule="auto"/>
              <w:rPr>
                <w:rFonts w:cstheme="minorHAnsi"/>
                <w:b/>
                <w:bCs/>
                <w:szCs w:val="20"/>
              </w:rPr>
            </w:pPr>
            <w:r w:rsidRPr="00C462A0">
              <w:rPr>
                <w:rFonts w:cstheme="minorHAnsi"/>
                <w:b/>
                <w:bCs/>
                <w:szCs w:val="20"/>
              </w:rPr>
              <w:t>Module Summary:</w:t>
            </w:r>
          </w:p>
        </w:tc>
      </w:tr>
      <w:tr w:rsidR="002221F4" w:rsidRPr="00C462A0" w14:paraId="10764033" w14:textId="77777777" w:rsidTr="002221F4">
        <w:trPr>
          <w:trHeight w:val="300"/>
        </w:trPr>
        <w:tc>
          <w:tcPr>
            <w:tcW w:w="9628" w:type="dxa"/>
            <w:shd w:val="clear" w:color="auto" w:fill="FFFFFF" w:themeFill="background1"/>
          </w:tcPr>
          <w:p w14:paraId="4B01036D" w14:textId="77777777" w:rsidR="002221F4" w:rsidRPr="00C462A0" w:rsidRDefault="002221F4" w:rsidP="002221F4">
            <w:pPr>
              <w:pStyle w:val="NoSpacing"/>
              <w:jc w:val="both"/>
              <w:rPr>
                <w:rFonts w:cstheme="minorHAnsi"/>
                <w:bCs/>
                <w:sz w:val="20"/>
                <w:szCs w:val="20"/>
                <w:lang w:val="en-GB"/>
              </w:rPr>
            </w:pPr>
            <w:r w:rsidRPr="00C462A0">
              <w:rPr>
                <w:rFonts w:cstheme="minorHAnsi"/>
                <w:bCs/>
                <w:sz w:val="20"/>
                <w:szCs w:val="20"/>
                <w:lang w:val="en-GB"/>
              </w:rPr>
              <w:t>Module 2 explored the cybersecurity challenges unique to sustainable digital infrastructures, with particular focus on Energy Management Systems (EMS), IoT sensor ecosystems, smart grids, ESG platforms, and the application of structured security frameworks.</w:t>
            </w:r>
          </w:p>
          <w:p w14:paraId="00ED38A7" w14:textId="77777777" w:rsidR="002221F4" w:rsidRPr="00C462A0" w:rsidRDefault="002221F4" w:rsidP="002221F4">
            <w:pPr>
              <w:pStyle w:val="NoSpacing"/>
              <w:jc w:val="both"/>
              <w:rPr>
                <w:rFonts w:cstheme="minorHAnsi"/>
                <w:bCs/>
                <w:sz w:val="20"/>
                <w:szCs w:val="20"/>
                <w:lang w:val="en-GB"/>
              </w:rPr>
            </w:pPr>
            <w:r w:rsidRPr="00C462A0">
              <w:rPr>
                <w:rFonts w:cstheme="minorHAnsi"/>
                <w:bCs/>
                <w:sz w:val="20"/>
                <w:szCs w:val="20"/>
                <w:lang w:val="en-GB"/>
              </w:rPr>
              <w:t>The module opened with an analysis of the threat landscape affecting Energy Management Systems, emphasising the convergence of IT and OT environments and the risks linked to legacy protocols, remote access exposure, and control system vulnerabilities. Learners examined how cyber incidents in EMS contexts can produce operational, environmental, and broader societal impacts.</w:t>
            </w:r>
          </w:p>
          <w:p w14:paraId="27A32028" w14:textId="77777777" w:rsidR="002221F4" w:rsidRPr="00C462A0" w:rsidRDefault="002221F4" w:rsidP="002221F4">
            <w:pPr>
              <w:pStyle w:val="NoSpacing"/>
              <w:jc w:val="both"/>
              <w:rPr>
                <w:rFonts w:cstheme="minorHAnsi"/>
                <w:bCs/>
                <w:sz w:val="20"/>
                <w:szCs w:val="20"/>
                <w:lang w:val="en-GB"/>
              </w:rPr>
            </w:pPr>
            <w:r w:rsidRPr="00C462A0">
              <w:rPr>
                <w:rFonts w:cstheme="minorHAnsi"/>
                <w:bCs/>
                <w:sz w:val="20"/>
                <w:szCs w:val="20"/>
                <w:lang w:val="en-GB"/>
              </w:rPr>
              <w:t>The second topic focused on the threat landscape surrounding IoT sensors, highlighting their distributed deployment, limited computational capacity, and potential role as entry or pivot points into wider infrastructures. Special attention was given to data integrity risks that may affect sustainability analytics and reporting.</w:t>
            </w:r>
          </w:p>
          <w:p w14:paraId="38156EEE" w14:textId="77777777" w:rsidR="002221F4" w:rsidRPr="00C462A0" w:rsidRDefault="002221F4" w:rsidP="002221F4">
            <w:pPr>
              <w:pStyle w:val="NoSpacing"/>
              <w:jc w:val="both"/>
              <w:rPr>
                <w:rFonts w:cstheme="minorHAnsi"/>
                <w:bCs/>
                <w:sz w:val="20"/>
                <w:szCs w:val="20"/>
                <w:lang w:val="en-GB"/>
              </w:rPr>
            </w:pPr>
            <w:r w:rsidRPr="00C462A0">
              <w:rPr>
                <w:rFonts w:cstheme="minorHAnsi"/>
                <w:bCs/>
                <w:sz w:val="20"/>
                <w:szCs w:val="20"/>
                <w:lang w:val="en-GB"/>
              </w:rPr>
              <w:t>The third topic addressed smart grids, concentrating on systemic and cascading risk. The integration of renewable generation, Advanced Metering Infrastructure (AMI), and centralised control systems increases both complexity and exposure, requiring structured governance and resilience-oriented strategies.</w:t>
            </w:r>
          </w:p>
          <w:p w14:paraId="294D81FB" w14:textId="77777777" w:rsidR="002221F4" w:rsidRPr="00C462A0" w:rsidRDefault="002221F4" w:rsidP="002221F4">
            <w:pPr>
              <w:pStyle w:val="NoSpacing"/>
              <w:jc w:val="both"/>
              <w:rPr>
                <w:rFonts w:cstheme="minorHAnsi"/>
                <w:bCs/>
                <w:sz w:val="20"/>
                <w:szCs w:val="20"/>
                <w:lang w:val="en-GB"/>
              </w:rPr>
            </w:pPr>
            <w:r w:rsidRPr="00C462A0">
              <w:rPr>
                <w:rFonts w:cstheme="minorHAnsi"/>
                <w:bCs/>
                <w:sz w:val="20"/>
                <w:szCs w:val="20"/>
                <w:lang w:val="en-GB"/>
              </w:rPr>
              <w:t>Topic 2.4 introduced ESG platforms as strategic digital assets that underpin regulatory compliance and investor confidence. Learners assessed risks related to API exposure, cloud misconfiguration, credential compromise, and data manipulation.</w:t>
            </w:r>
          </w:p>
          <w:p w14:paraId="1D80505B" w14:textId="77777777" w:rsidR="002221F4" w:rsidRPr="00C462A0" w:rsidRDefault="002221F4" w:rsidP="002221F4">
            <w:pPr>
              <w:pStyle w:val="NoSpacing"/>
              <w:jc w:val="both"/>
              <w:rPr>
                <w:rFonts w:cstheme="minorHAnsi"/>
                <w:bCs/>
                <w:sz w:val="20"/>
                <w:szCs w:val="20"/>
                <w:lang w:val="en-GB"/>
              </w:rPr>
            </w:pPr>
            <w:r w:rsidRPr="00C462A0">
              <w:rPr>
                <w:rFonts w:cstheme="minorHAnsi"/>
                <w:bCs/>
                <w:sz w:val="20"/>
                <w:szCs w:val="20"/>
                <w:lang w:val="en-GB"/>
              </w:rPr>
              <w:t>Finally, Topic 2.5 presented security frameworks as structured governance models that support risk-based prioritisation, lifecycle management, and continuous improvement across sustainable infrastructures. Frameworks such as NIST CSF, ISO/IEC 27001, ENISA guidance, and ATT&amp;CK for ICS were presented as complementary tools for strengthening resilient system design.</w:t>
            </w:r>
          </w:p>
          <w:p w14:paraId="31623804" w14:textId="6AF52F9F" w:rsidR="002221F4" w:rsidRPr="00C462A0" w:rsidRDefault="002221F4" w:rsidP="002221F4">
            <w:pPr>
              <w:pStyle w:val="NoSpacing"/>
              <w:jc w:val="both"/>
              <w:rPr>
                <w:rFonts w:cstheme="minorHAnsi"/>
                <w:bCs/>
                <w:sz w:val="20"/>
                <w:szCs w:val="20"/>
                <w:lang w:val="en-GB"/>
              </w:rPr>
            </w:pPr>
            <w:r w:rsidRPr="00C462A0">
              <w:rPr>
                <w:rFonts w:cstheme="minorHAnsi"/>
                <w:bCs/>
                <w:sz w:val="20"/>
                <w:szCs w:val="20"/>
                <w:lang w:val="en-GB"/>
              </w:rPr>
              <w:t>Taken together, Module 2 enhanced the learner’s ability to conduct sector-specific threat analysis, align controls with sustainable infrastructure contexts, and develop structured inputs for the Capstone Project’s risk assessment and mitigation design components.</w:t>
            </w:r>
          </w:p>
          <w:p w14:paraId="200BBF28" w14:textId="77777777" w:rsidR="002221F4" w:rsidRPr="00C462A0" w:rsidRDefault="002221F4" w:rsidP="002221F4">
            <w:pPr>
              <w:pStyle w:val="NoSpacing"/>
              <w:jc w:val="both"/>
              <w:rPr>
                <w:rFonts w:cstheme="minorHAnsi"/>
                <w:sz w:val="20"/>
                <w:szCs w:val="20"/>
                <w:lang w:val="en-GB"/>
              </w:rPr>
            </w:pPr>
          </w:p>
          <w:p w14:paraId="7DB122DE" w14:textId="77777777" w:rsidR="002221F4" w:rsidRPr="00C462A0" w:rsidRDefault="002221F4" w:rsidP="002221F4">
            <w:pPr>
              <w:pStyle w:val="NoSpacing"/>
              <w:jc w:val="both"/>
              <w:rPr>
                <w:rFonts w:cstheme="minorHAnsi"/>
                <w:b/>
                <w:bCs/>
                <w:color w:val="00AC4D"/>
                <w:sz w:val="20"/>
                <w:szCs w:val="20"/>
                <w:lang w:val="en-GB"/>
              </w:rPr>
            </w:pPr>
            <w:r w:rsidRPr="00C462A0">
              <w:rPr>
                <w:rFonts w:cstheme="minorHAnsi"/>
                <w:b/>
                <w:bCs/>
                <w:color w:val="00AC4D"/>
                <w:sz w:val="20"/>
                <w:szCs w:val="20"/>
                <w:lang w:val="en-GB"/>
              </w:rPr>
              <w:t>Module Knowledge Quiz</w:t>
            </w:r>
          </w:p>
          <w:p w14:paraId="29C10B4B" w14:textId="55AB4239" w:rsidR="002221F4" w:rsidRPr="00C462A0" w:rsidRDefault="002221F4" w:rsidP="002221F4">
            <w:pPr>
              <w:pStyle w:val="NoSpacing"/>
              <w:numPr>
                <w:ilvl w:val="0"/>
                <w:numId w:val="326"/>
              </w:numPr>
              <w:jc w:val="both"/>
              <w:rPr>
                <w:rFonts w:cstheme="minorHAnsi"/>
                <w:color w:val="009889" w:themeColor="accent2"/>
                <w:sz w:val="20"/>
                <w:szCs w:val="20"/>
                <w:lang w:val="en-GB"/>
              </w:rPr>
            </w:pPr>
            <w:r w:rsidRPr="00C462A0">
              <w:rPr>
                <w:rFonts w:cstheme="minorHAnsi"/>
                <w:bCs/>
                <w:color w:val="009889" w:themeColor="accent2"/>
                <w:sz w:val="20"/>
                <w:szCs w:val="20"/>
                <w:lang w:val="en-GB"/>
              </w:rPr>
              <w:t xml:space="preserve">A smart grid operator segments its Advanced Metering Infrastructure (AMI) from substations but allows shared authentication mechanisms across both domains. Which risk remains most significant? </w:t>
            </w:r>
          </w:p>
          <w:p w14:paraId="6DDB0A05" w14:textId="77777777" w:rsidR="002221F4" w:rsidRPr="00C462A0" w:rsidRDefault="002221F4" w:rsidP="002221F4">
            <w:pPr>
              <w:pStyle w:val="NoSpacing"/>
              <w:numPr>
                <w:ilvl w:val="0"/>
                <w:numId w:val="339"/>
              </w:numPr>
              <w:jc w:val="both"/>
              <w:rPr>
                <w:rFonts w:cstheme="minorHAnsi"/>
                <w:sz w:val="20"/>
                <w:szCs w:val="20"/>
                <w:lang w:val="en-GB"/>
              </w:rPr>
            </w:pPr>
            <w:r w:rsidRPr="00C462A0">
              <w:rPr>
                <w:rFonts w:cstheme="minorHAnsi"/>
                <w:sz w:val="20"/>
                <w:szCs w:val="20"/>
                <w:lang w:val="en-GB"/>
              </w:rPr>
              <w:t>Physical isolation of renewable assets</w:t>
            </w:r>
          </w:p>
          <w:p w14:paraId="071C507D" w14:textId="77777777" w:rsidR="002221F4" w:rsidRPr="00C462A0" w:rsidRDefault="002221F4" w:rsidP="002221F4">
            <w:pPr>
              <w:pStyle w:val="NoSpacing"/>
              <w:numPr>
                <w:ilvl w:val="0"/>
                <w:numId w:val="339"/>
              </w:numPr>
              <w:jc w:val="both"/>
              <w:rPr>
                <w:rFonts w:cstheme="minorHAnsi"/>
                <w:sz w:val="20"/>
                <w:szCs w:val="20"/>
                <w:lang w:val="en-GB"/>
              </w:rPr>
            </w:pPr>
            <w:r w:rsidRPr="00C462A0">
              <w:rPr>
                <w:rFonts w:cstheme="minorHAnsi"/>
                <w:sz w:val="20"/>
                <w:szCs w:val="20"/>
                <w:lang w:val="en-GB"/>
              </w:rPr>
              <w:t>Credential-based lateral movement across segmented environments</w:t>
            </w:r>
          </w:p>
          <w:p w14:paraId="644889D3" w14:textId="77777777" w:rsidR="002221F4" w:rsidRPr="00C462A0" w:rsidRDefault="002221F4" w:rsidP="002221F4">
            <w:pPr>
              <w:pStyle w:val="NoSpacing"/>
              <w:numPr>
                <w:ilvl w:val="0"/>
                <w:numId w:val="339"/>
              </w:numPr>
              <w:jc w:val="both"/>
              <w:rPr>
                <w:rFonts w:cstheme="minorHAnsi"/>
                <w:sz w:val="20"/>
                <w:szCs w:val="20"/>
                <w:lang w:val="en-GB"/>
              </w:rPr>
            </w:pPr>
            <w:r w:rsidRPr="00C462A0">
              <w:rPr>
                <w:rFonts w:cstheme="minorHAnsi"/>
                <w:sz w:val="20"/>
                <w:szCs w:val="20"/>
                <w:lang w:val="en-GB"/>
              </w:rPr>
              <w:t>Elimination of insider threats</w:t>
            </w:r>
          </w:p>
          <w:p w14:paraId="4DDC4941" w14:textId="2DCED31A" w:rsidR="002221F4" w:rsidRPr="00C462A0" w:rsidRDefault="002221F4" w:rsidP="002221F4">
            <w:pPr>
              <w:pStyle w:val="NoSpacing"/>
              <w:numPr>
                <w:ilvl w:val="0"/>
                <w:numId w:val="339"/>
              </w:numPr>
              <w:jc w:val="both"/>
              <w:rPr>
                <w:rFonts w:cstheme="minorHAnsi"/>
                <w:sz w:val="20"/>
                <w:szCs w:val="20"/>
                <w:lang w:val="en-GB"/>
              </w:rPr>
            </w:pPr>
            <w:r w:rsidRPr="00C462A0">
              <w:rPr>
                <w:rFonts w:cstheme="minorHAnsi"/>
                <w:sz w:val="20"/>
                <w:szCs w:val="20"/>
                <w:lang w:val="en-GB"/>
              </w:rPr>
              <w:t>Removal of supply chain exposure.</w:t>
            </w:r>
          </w:p>
          <w:p w14:paraId="7E454324" w14:textId="77777777" w:rsidR="002221F4" w:rsidRPr="00C462A0" w:rsidRDefault="002221F4" w:rsidP="002221F4">
            <w:pPr>
              <w:pStyle w:val="NoSpacing"/>
              <w:ind w:left="720"/>
              <w:jc w:val="both"/>
              <w:rPr>
                <w:rFonts w:cstheme="minorHAnsi"/>
                <w:sz w:val="20"/>
                <w:szCs w:val="20"/>
                <w:lang w:val="en-GB"/>
              </w:rPr>
            </w:pPr>
          </w:p>
          <w:p w14:paraId="082C0EE6" w14:textId="6A2FA2E1" w:rsidR="002221F4" w:rsidRPr="00C462A0" w:rsidRDefault="002221F4" w:rsidP="002221F4">
            <w:pPr>
              <w:pStyle w:val="NoSpacing"/>
              <w:numPr>
                <w:ilvl w:val="0"/>
                <w:numId w:val="328"/>
              </w:numPr>
              <w:jc w:val="both"/>
              <w:rPr>
                <w:rFonts w:cstheme="minorHAnsi"/>
                <w:color w:val="009889" w:themeColor="accent2"/>
                <w:sz w:val="20"/>
                <w:szCs w:val="20"/>
                <w:lang w:val="en-GB"/>
              </w:rPr>
            </w:pPr>
            <w:r w:rsidRPr="00C462A0">
              <w:rPr>
                <w:rFonts w:cstheme="minorHAnsi"/>
                <w:color w:val="009889" w:themeColor="accent2"/>
                <w:sz w:val="20"/>
                <w:szCs w:val="20"/>
                <w:lang w:val="en-GB"/>
              </w:rPr>
              <w:t xml:space="preserve">In an Energy Management System, a vulnerability in a non-critical monitoring interface may still represent high systemic risk if it provides indirect access to control system components. </w:t>
            </w:r>
          </w:p>
          <w:p w14:paraId="0E7B41CE" w14:textId="173F15AF" w:rsidR="002221F4" w:rsidRPr="00C462A0" w:rsidRDefault="002221F4" w:rsidP="002221F4">
            <w:pPr>
              <w:pStyle w:val="NoSpacing"/>
              <w:numPr>
                <w:ilvl w:val="0"/>
                <w:numId w:val="244"/>
              </w:numPr>
              <w:jc w:val="both"/>
              <w:rPr>
                <w:rFonts w:cstheme="minorHAnsi"/>
                <w:color w:val="009889" w:themeColor="accent2"/>
                <w:sz w:val="20"/>
                <w:szCs w:val="20"/>
                <w:lang w:val="en-GB"/>
              </w:rPr>
            </w:pPr>
            <w:r w:rsidRPr="00C462A0">
              <w:rPr>
                <w:rFonts w:cstheme="minorHAnsi"/>
                <w:color w:val="009889" w:themeColor="accent2"/>
                <w:sz w:val="20"/>
                <w:szCs w:val="20"/>
                <w:lang w:val="en-GB"/>
              </w:rPr>
              <w:t xml:space="preserve">An ESG platform integrates third-party supply chain emissions data through APIs. A compromised partner injects manipulated carbon metrics that are later disclosed in regulatory reports. Which risk dimension is most directly affected? </w:t>
            </w:r>
          </w:p>
          <w:p w14:paraId="299827AC" w14:textId="77777777" w:rsidR="002221F4" w:rsidRPr="00C462A0" w:rsidRDefault="002221F4" w:rsidP="002221F4">
            <w:pPr>
              <w:pStyle w:val="NoSpacing"/>
              <w:numPr>
                <w:ilvl w:val="0"/>
                <w:numId w:val="340"/>
              </w:numPr>
              <w:jc w:val="both"/>
              <w:rPr>
                <w:rFonts w:cstheme="minorHAnsi"/>
                <w:sz w:val="20"/>
                <w:szCs w:val="20"/>
                <w:lang w:val="en-GB"/>
              </w:rPr>
            </w:pPr>
            <w:r w:rsidRPr="00C462A0">
              <w:rPr>
                <w:rFonts w:cstheme="minorHAnsi"/>
                <w:sz w:val="20"/>
                <w:szCs w:val="20"/>
                <w:lang w:val="en-GB"/>
              </w:rPr>
              <w:t>Availability of cloud infrastructure</w:t>
            </w:r>
          </w:p>
          <w:p w14:paraId="4D36AEED" w14:textId="77777777" w:rsidR="002221F4" w:rsidRPr="00C462A0" w:rsidRDefault="002221F4" w:rsidP="002221F4">
            <w:pPr>
              <w:pStyle w:val="NoSpacing"/>
              <w:numPr>
                <w:ilvl w:val="0"/>
                <w:numId w:val="340"/>
              </w:numPr>
              <w:jc w:val="both"/>
              <w:rPr>
                <w:rFonts w:cstheme="minorHAnsi"/>
                <w:sz w:val="20"/>
                <w:szCs w:val="20"/>
                <w:lang w:val="en-GB"/>
              </w:rPr>
            </w:pPr>
            <w:r w:rsidRPr="00C462A0">
              <w:rPr>
                <w:rFonts w:cstheme="minorHAnsi"/>
                <w:sz w:val="20"/>
                <w:szCs w:val="20"/>
                <w:lang w:val="en-GB"/>
              </w:rPr>
              <w:t>Integrity of sustainability disclosures and regulatory compliance exposure</w:t>
            </w:r>
          </w:p>
          <w:p w14:paraId="45E191D7" w14:textId="77777777" w:rsidR="002221F4" w:rsidRPr="00C462A0" w:rsidRDefault="002221F4" w:rsidP="002221F4">
            <w:pPr>
              <w:pStyle w:val="NoSpacing"/>
              <w:numPr>
                <w:ilvl w:val="0"/>
                <w:numId w:val="340"/>
              </w:numPr>
              <w:jc w:val="both"/>
              <w:rPr>
                <w:rFonts w:cstheme="minorHAnsi"/>
                <w:sz w:val="20"/>
                <w:szCs w:val="20"/>
                <w:lang w:val="en-GB"/>
              </w:rPr>
            </w:pPr>
            <w:r w:rsidRPr="00C462A0">
              <w:rPr>
                <w:rFonts w:cstheme="minorHAnsi"/>
                <w:sz w:val="20"/>
                <w:szCs w:val="20"/>
                <w:lang w:val="en-GB"/>
              </w:rPr>
              <w:lastRenderedPageBreak/>
              <w:t>Physical safety of substations</w:t>
            </w:r>
          </w:p>
          <w:p w14:paraId="79A4B37A" w14:textId="0857BA70" w:rsidR="002221F4" w:rsidRPr="00C462A0" w:rsidRDefault="002221F4" w:rsidP="002221F4">
            <w:pPr>
              <w:pStyle w:val="NoSpacing"/>
              <w:numPr>
                <w:ilvl w:val="0"/>
                <w:numId w:val="340"/>
              </w:numPr>
              <w:jc w:val="both"/>
              <w:rPr>
                <w:rFonts w:cstheme="minorHAnsi"/>
                <w:sz w:val="20"/>
                <w:szCs w:val="20"/>
                <w:lang w:val="en-GB"/>
              </w:rPr>
            </w:pPr>
            <w:r w:rsidRPr="00C462A0">
              <w:rPr>
                <w:rFonts w:cstheme="minorHAnsi"/>
                <w:sz w:val="20"/>
                <w:szCs w:val="20"/>
                <w:lang w:val="en-GB"/>
              </w:rPr>
              <w:t>Performance of IoT sensor.</w:t>
            </w:r>
          </w:p>
          <w:p w14:paraId="6BDA3923" w14:textId="77777777" w:rsidR="002221F4" w:rsidRPr="00C462A0" w:rsidRDefault="002221F4" w:rsidP="002221F4">
            <w:pPr>
              <w:pStyle w:val="NoSpacing"/>
              <w:ind w:left="720"/>
              <w:jc w:val="both"/>
              <w:rPr>
                <w:rFonts w:cstheme="minorHAnsi"/>
                <w:sz w:val="20"/>
                <w:szCs w:val="20"/>
                <w:lang w:val="en-GB"/>
              </w:rPr>
            </w:pPr>
          </w:p>
          <w:p w14:paraId="2C6EF72D" w14:textId="10CECE23" w:rsidR="002221F4" w:rsidRPr="00C462A0" w:rsidRDefault="002221F4" w:rsidP="002221F4">
            <w:pPr>
              <w:pStyle w:val="NoSpacing"/>
              <w:numPr>
                <w:ilvl w:val="0"/>
                <w:numId w:val="244"/>
              </w:numPr>
              <w:jc w:val="both"/>
              <w:rPr>
                <w:rFonts w:cstheme="minorHAnsi"/>
                <w:sz w:val="20"/>
                <w:szCs w:val="20"/>
                <w:lang w:val="en-GB"/>
              </w:rPr>
            </w:pPr>
            <w:r w:rsidRPr="00C462A0">
              <w:rPr>
                <w:rFonts w:cstheme="minorHAnsi"/>
                <w:color w:val="009889" w:themeColor="accent2"/>
                <w:sz w:val="20"/>
                <w:szCs w:val="20"/>
                <w:lang w:val="en-GB"/>
              </w:rPr>
              <w:t xml:space="preserve">Which scenario best illustrates a cascading risk within a smart grid environment? </w:t>
            </w:r>
          </w:p>
          <w:p w14:paraId="380D42B4" w14:textId="77777777" w:rsidR="002221F4" w:rsidRPr="00C462A0" w:rsidRDefault="002221F4" w:rsidP="002221F4">
            <w:pPr>
              <w:pStyle w:val="NoSpacing"/>
              <w:numPr>
                <w:ilvl w:val="0"/>
                <w:numId w:val="341"/>
              </w:numPr>
              <w:jc w:val="both"/>
              <w:rPr>
                <w:rFonts w:cstheme="minorHAnsi"/>
                <w:sz w:val="20"/>
                <w:szCs w:val="20"/>
                <w:lang w:val="en-GB"/>
              </w:rPr>
            </w:pPr>
            <w:r w:rsidRPr="00C462A0">
              <w:rPr>
                <w:rFonts w:cstheme="minorHAnsi"/>
                <w:sz w:val="20"/>
                <w:szCs w:val="20"/>
                <w:lang w:val="en-GB"/>
              </w:rPr>
              <w:t>A temporary slowdown in a public sustainability dashboard</w:t>
            </w:r>
          </w:p>
          <w:p w14:paraId="6FC4C68F" w14:textId="77777777" w:rsidR="002221F4" w:rsidRPr="00C462A0" w:rsidRDefault="002221F4" w:rsidP="002221F4">
            <w:pPr>
              <w:pStyle w:val="NoSpacing"/>
              <w:numPr>
                <w:ilvl w:val="0"/>
                <w:numId w:val="341"/>
              </w:numPr>
              <w:jc w:val="both"/>
              <w:rPr>
                <w:rFonts w:cstheme="minorHAnsi"/>
                <w:sz w:val="20"/>
                <w:szCs w:val="20"/>
                <w:lang w:val="en-GB"/>
              </w:rPr>
            </w:pPr>
            <w:r w:rsidRPr="00C462A0">
              <w:rPr>
                <w:rFonts w:cstheme="minorHAnsi"/>
                <w:sz w:val="20"/>
                <w:szCs w:val="20"/>
                <w:lang w:val="en-GB"/>
              </w:rPr>
              <w:t>Compromise of a smart meter leading to unauthorised commands reaching substation controllers</w:t>
            </w:r>
          </w:p>
          <w:p w14:paraId="6B024D9D" w14:textId="77777777" w:rsidR="002221F4" w:rsidRPr="00C462A0" w:rsidRDefault="002221F4" w:rsidP="002221F4">
            <w:pPr>
              <w:pStyle w:val="NoSpacing"/>
              <w:numPr>
                <w:ilvl w:val="0"/>
                <w:numId w:val="341"/>
              </w:numPr>
              <w:jc w:val="both"/>
              <w:rPr>
                <w:rFonts w:cstheme="minorHAnsi"/>
                <w:sz w:val="20"/>
                <w:szCs w:val="20"/>
                <w:lang w:val="en-GB"/>
              </w:rPr>
            </w:pPr>
            <w:r w:rsidRPr="00C462A0">
              <w:rPr>
                <w:rFonts w:cstheme="minorHAnsi"/>
                <w:sz w:val="20"/>
                <w:szCs w:val="20"/>
                <w:lang w:val="en-GB"/>
              </w:rPr>
              <w:t>A localised password reset failure</w:t>
            </w:r>
          </w:p>
          <w:p w14:paraId="52686F01" w14:textId="74606A03" w:rsidR="002221F4" w:rsidRPr="00C462A0" w:rsidRDefault="002221F4" w:rsidP="002221F4">
            <w:pPr>
              <w:pStyle w:val="NoSpacing"/>
              <w:numPr>
                <w:ilvl w:val="0"/>
                <w:numId w:val="341"/>
              </w:numPr>
              <w:jc w:val="both"/>
              <w:rPr>
                <w:rFonts w:cstheme="minorHAnsi"/>
                <w:sz w:val="20"/>
                <w:szCs w:val="20"/>
                <w:lang w:val="en-GB"/>
              </w:rPr>
            </w:pPr>
            <w:r w:rsidRPr="00C462A0">
              <w:rPr>
                <w:rFonts w:cstheme="minorHAnsi"/>
                <w:sz w:val="20"/>
                <w:szCs w:val="20"/>
                <w:lang w:val="en-GB"/>
              </w:rPr>
              <w:t>Delayed patching of a non-networked training server.</w:t>
            </w:r>
          </w:p>
          <w:p w14:paraId="0B7753A8" w14:textId="77777777" w:rsidR="002221F4" w:rsidRPr="00C462A0" w:rsidRDefault="002221F4" w:rsidP="002221F4">
            <w:pPr>
              <w:pStyle w:val="NoSpacing"/>
              <w:jc w:val="both"/>
              <w:rPr>
                <w:rFonts w:cstheme="minorHAnsi"/>
                <w:sz w:val="20"/>
                <w:szCs w:val="20"/>
                <w:lang w:val="en-GB"/>
              </w:rPr>
            </w:pPr>
          </w:p>
          <w:p w14:paraId="1C64C00C" w14:textId="2FC8E451" w:rsidR="002221F4" w:rsidRPr="00C462A0" w:rsidRDefault="002221F4" w:rsidP="002221F4">
            <w:pPr>
              <w:pStyle w:val="NoSpacing"/>
              <w:numPr>
                <w:ilvl w:val="0"/>
                <w:numId w:val="331"/>
              </w:numPr>
              <w:jc w:val="both"/>
              <w:rPr>
                <w:rFonts w:cstheme="minorHAnsi"/>
                <w:color w:val="009889" w:themeColor="accent2"/>
                <w:sz w:val="20"/>
                <w:szCs w:val="20"/>
                <w:lang w:val="en-GB"/>
              </w:rPr>
            </w:pPr>
            <w:r w:rsidRPr="00C462A0">
              <w:rPr>
                <w:rFonts w:cstheme="minorHAnsi"/>
                <w:color w:val="009889" w:themeColor="accent2"/>
                <w:sz w:val="20"/>
                <w:szCs w:val="20"/>
                <w:lang w:val="en-GB"/>
              </w:rPr>
              <w:t xml:space="preserve">An organisation adopts a recognised cybersecurity framework but applies identical controls to IoT sensors, SCADA systems, and ESG dashboards without risk differentiation. What is the most accurate assessment? </w:t>
            </w:r>
          </w:p>
          <w:p w14:paraId="60285CE8" w14:textId="77777777" w:rsidR="002221F4" w:rsidRPr="00C462A0" w:rsidRDefault="002221F4" w:rsidP="002221F4">
            <w:pPr>
              <w:pStyle w:val="NoSpacing"/>
              <w:numPr>
                <w:ilvl w:val="0"/>
                <w:numId w:val="342"/>
              </w:numPr>
              <w:jc w:val="both"/>
              <w:rPr>
                <w:rFonts w:cstheme="minorHAnsi"/>
                <w:sz w:val="20"/>
                <w:szCs w:val="20"/>
                <w:lang w:val="en-GB"/>
              </w:rPr>
            </w:pPr>
            <w:r w:rsidRPr="00C462A0">
              <w:rPr>
                <w:rFonts w:cstheme="minorHAnsi"/>
                <w:sz w:val="20"/>
                <w:szCs w:val="20"/>
                <w:lang w:val="en-GB"/>
              </w:rPr>
              <w:t>The framework is fully and correctly implemented</w:t>
            </w:r>
          </w:p>
          <w:p w14:paraId="0781143D" w14:textId="77777777" w:rsidR="002221F4" w:rsidRPr="00C462A0" w:rsidRDefault="002221F4" w:rsidP="002221F4">
            <w:pPr>
              <w:pStyle w:val="NoSpacing"/>
              <w:numPr>
                <w:ilvl w:val="0"/>
                <w:numId w:val="342"/>
              </w:numPr>
              <w:jc w:val="both"/>
              <w:rPr>
                <w:rFonts w:cstheme="minorHAnsi"/>
                <w:sz w:val="20"/>
                <w:szCs w:val="20"/>
                <w:lang w:val="en-GB"/>
              </w:rPr>
            </w:pPr>
            <w:r w:rsidRPr="00C462A0">
              <w:rPr>
                <w:rFonts w:cstheme="minorHAnsi"/>
                <w:sz w:val="20"/>
                <w:szCs w:val="20"/>
                <w:lang w:val="en-GB"/>
              </w:rPr>
              <w:t>Risk-based prioritisation is lacking despite formal framework adoption</w:t>
            </w:r>
          </w:p>
          <w:p w14:paraId="7DF22779" w14:textId="77777777" w:rsidR="002221F4" w:rsidRPr="00C462A0" w:rsidRDefault="002221F4" w:rsidP="002221F4">
            <w:pPr>
              <w:pStyle w:val="NoSpacing"/>
              <w:numPr>
                <w:ilvl w:val="0"/>
                <w:numId w:val="342"/>
              </w:numPr>
              <w:jc w:val="both"/>
              <w:rPr>
                <w:rFonts w:cstheme="minorHAnsi"/>
                <w:sz w:val="20"/>
                <w:szCs w:val="20"/>
                <w:lang w:val="en-GB"/>
              </w:rPr>
            </w:pPr>
            <w:r w:rsidRPr="00C462A0">
              <w:rPr>
                <w:rFonts w:cstheme="minorHAnsi"/>
                <w:sz w:val="20"/>
                <w:szCs w:val="20"/>
                <w:lang w:val="en-GB"/>
              </w:rPr>
              <w:t>Overprotection eliminates systemic vulnerability</w:t>
            </w:r>
          </w:p>
          <w:p w14:paraId="4DE13974" w14:textId="03437E2A" w:rsidR="002221F4" w:rsidRPr="00C462A0" w:rsidRDefault="002221F4" w:rsidP="002221F4">
            <w:pPr>
              <w:pStyle w:val="NoSpacing"/>
              <w:numPr>
                <w:ilvl w:val="0"/>
                <w:numId w:val="342"/>
              </w:numPr>
              <w:jc w:val="both"/>
              <w:rPr>
                <w:rFonts w:cstheme="minorHAnsi"/>
                <w:sz w:val="20"/>
                <w:szCs w:val="20"/>
                <w:lang w:val="en-GB"/>
              </w:rPr>
            </w:pPr>
            <w:r w:rsidRPr="00C462A0">
              <w:rPr>
                <w:rFonts w:cstheme="minorHAnsi"/>
                <w:sz w:val="20"/>
                <w:szCs w:val="20"/>
                <w:lang w:val="en-GB"/>
              </w:rPr>
              <w:t>Compliance obligations are automatically satisfied.</w:t>
            </w:r>
          </w:p>
          <w:p w14:paraId="2665CD64" w14:textId="77777777" w:rsidR="002221F4" w:rsidRPr="00C462A0" w:rsidRDefault="002221F4" w:rsidP="002221F4">
            <w:pPr>
              <w:pStyle w:val="NoSpacing"/>
              <w:ind w:left="360"/>
              <w:jc w:val="both"/>
              <w:rPr>
                <w:rFonts w:cstheme="minorHAnsi"/>
                <w:sz w:val="20"/>
                <w:szCs w:val="20"/>
                <w:lang w:val="en-GB"/>
              </w:rPr>
            </w:pPr>
          </w:p>
          <w:p w14:paraId="01406014" w14:textId="7A7DF398" w:rsidR="002221F4" w:rsidRPr="00C462A0" w:rsidRDefault="002221F4" w:rsidP="002221F4">
            <w:pPr>
              <w:pStyle w:val="NoSpacing"/>
              <w:numPr>
                <w:ilvl w:val="0"/>
                <w:numId w:val="333"/>
              </w:numPr>
              <w:jc w:val="both"/>
              <w:rPr>
                <w:rFonts w:cstheme="minorHAnsi"/>
                <w:color w:val="009889" w:themeColor="accent2"/>
                <w:sz w:val="20"/>
                <w:szCs w:val="20"/>
                <w:lang w:val="en-GB"/>
              </w:rPr>
            </w:pPr>
            <w:r w:rsidRPr="00C462A0">
              <w:rPr>
                <w:rFonts w:cstheme="minorHAnsi"/>
                <w:color w:val="009889" w:themeColor="accent2"/>
                <w:sz w:val="20"/>
                <w:szCs w:val="20"/>
                <w:lang w:val="en-GB"/>
              </w:rPr>
              <w:t>In sustainable infrastructures, data integrity breaches may create strategic risk even in the absence of service interruption.</w:t>
            </w:r>
          </w:p>
          <w:p w14:paraId="1DB28A21" w14:textId="77777777" w:rsidR="002221F4" w:rsidRPr="00C462A0" w:rsidRDefault="002221F4" w:rsidP="002221F4">
            <w:pPr>
              <w:pStyle w:val="NoSpacing"/>
              <w:jc w:val="both"/>
              <w:rPr>
                <w:rFonts w:cstheme="minorHAnsi"/>
                <w:color w:val="009889" w:themeColor="accent2"/>
                <w:sz w:val="20"/>
                <w:szCs w:val="20"/>
                <w:lang w:val="en-GB"/>
              </w:rPr>
            </w:pPr>
          </w:p>
          <w:p w14:paraId="25808421" w14:textId="0202ACA4" w:rsidR="002221F4" w:rsidRPr="00C462A0" w:rsidRDefault="002221F4" w:rsidP="002221F4">
            <w:pPr>
              <w:pStyle w:val="NoSpacing"/>
              <w:numPr>
                <w:ilvl w:val="0"/>
                <w:numId w:val="334"/>
              </w:numPr>
              <w:jc w:val="both"/>
              <w:rPr>
                <w:rFonts w:cstheme="minorHAnsi"/>
                <w:color w:val="009889" w:themeColor="accent2"/>
                <w:sz w:val="20"/>
                <w:szCs w:val="20"/>
                <w:lang w:val="en-GB"/>
              </w:rPr>
            </w:pPr>
            <w:r w:rsidRPr="00C462A0">
              <w:rPr>
                <w:rFonts w:cstheme="minorHAnsi"/>
                <w:color w:val="009889" w:themeColor="accent2"/>
                <w:sz w:val="20"/>
                <w:szCs w:val="20"/>
                <w:lang w:val="en-GB"/>
              </w:rPr>
              <w:t xml:space="preserve">A renewable energy operator strengthens perimeter firewalls but does not implement internal monitoring aligned to ATT&amp;CK for ICS techniques.Which framework function is most critically underdeveloped? </w:t>
            </w:r>
          </w:p>
          <w:p w14:paraId="4E59BE1A" w14:textId="77777777" w:rsidR="002221F4" w:rsidRPr="00C462A0" w:rsidRDefault="002221F4" w:rsidP="002221F4">
            <w:pPr>
              <w:pStyle w:val="NoSpacing"/>
              <w:numPr>
                <w:ilvl w:val="0"/>
                <w:numId w:val="343"/>
              </w:numPr>
              <w:jc w:val="both"/>
              <w:rPr>
                <w:rFonts w:cstheme="minorHAnsi"/>
                <w:sz w:val="20"/>
                <w:szCs w:val="20"/>
                <w:lang w:val="en-GB"/>
              </w:rPr>
            </w:pPr>
            <w:r w:rsidRPr="00C462A0">
              <w:rPr>
                <w:rFonts w:cstheme="minorHAnsi"/>
                <w:sz w:val="20"/>
                <w:szCs w:val="20"/>
                <w:lang w:val="en-GB"/>
              </w:rPr>
              <w:t>Identify</w:t>
            </w:r>
          </w:p>
          <w:p w14:paraId="63DEDCA9" w14:textId="77777777" w:rsidR="002221F4" w:rsidRPr="00C462A0" w:rsidRDefault="002221F4" w:rsidP="002221F4">
            <w:pPr>
              <w:pStyle w:val="NoSpacing"/>
              <w:numPr>
                <w:ilvl w:val="0"/>
                <w:numId w:val="343"/>
              </w:numPr>
              <w:jc w:val="both"/>
              <w:rPr>
                <w:rFonts w:cstheme="minorHAnsi"/>
                <w:sz w:val="20"/>
                <w:szCs w:val="20"/>
                <w:lang w:val="en-GB"/>
              </w:rPr>
            </w:pPr>
            <w:r w:rsidRPr="00C462A0">
              <w:rPr>
                <w:rFonts w:cstheme="minorHAnsi"/>
                <w:sz w:val="20"/>
                <w:szCs w:val="20"/>
                <w:lang w:val="en-GB"/>
              </w:rPr>
              <w:t>Protect</w:t>
            </w:r>
          </w:p>
          <w:p w14:paraId="77C42AD7" w14:textId="77777777" w:rsidR="002221F4" w:rsidRPr="00C462A0" w:rsidRDefault="002221F4" w:rsidP="002221F4">
            <w:pPr>
              <w:pStyle w:val="NoSpacing"/>
              <w:numPr>
                <w:ilvl w:val="0"/>
                <w:numId w:val="343"/>
              </w:numPr>
              <w:jc w:val="both"/>
              <w:rPr>
                <w:rFonts w:cstheme="minorHAnsi"/>
                <w:sz w:val="20"/>
                <w:szCs w:val="20"/>
                <w:lang w:val="en-GB"/>
              </w:rPr>
            </w:pPr>
            <w:r w:rsidRPr="00C462A0">
              <w:rPr>
                <w:rFonts w:cstheme="minorHAnsi"/>
                <w:sz w:val="20"/>
                <w:szCs w:val="20"/>
                <w:lang w:val="en-GB"/>
              </w:rPr>
              <w:t>Detect</w:t>
            </w:r>
          </w:p>
          <w:p w14:paraId="20C35E3A" w14:textId="5103722F" w:rsidR="002221F4" w:rsidRPr="00C462A0" w:rsidRDefault="002221F4" w:rsidP="00C462A0">
            <w:pPr>
              <w:pStyle w:val="NoSpacing"/>
              <w:numPr>
                <w:ilvl w:val="0"/>
                <w:numId w:val="343"/>
              </w:numPr>
              <w:jc w:val="both"/>
              <w:rPr>
                <w:rFonts w:cstheme="minorHAnsi"/>
                <w:sz w:val="20"/>
                <w:szCs w:val="20"/>
                <w:lang w:val="en-GB"/>
              </w:rPr>
            </w:pPr>
            <w:r w:rsidRPr="00C462A0">
              <w:rPr>
                <w:rFonts w:cstheme="minorHAnsi"/>
                <w:sz w:val="20"/>
                <w:szCs w:val="20"/>
                <w:lang w:val="en-GB"/>
              </w:rPr>
              <w:t>Recover.</w:t>
            </w:r>
          </w:p>
          <w:p w14:paraId="223BE4F9" w14:textId="232012CD" w:rsidR="002221F4" w:rsidRPr="00C462A0" w:rsidRDefault="002221F4" w:rsidP="002221F4">
            <w:pPr>
              <w:pStyle w:val="NoSpacing"/>
              <w:jc w:val="both"/>
              <w:rPr>
                <w:rFonts w:cstheme="minorHAnsi"/>
                <w:i/>
                <w:iCs/>
                <w:sz w:val="20"/>
                <w:szCs w:val="20"/>
                <w:lang w:val="en-GB"/>
              </w:rPr>
            </w:pPr>
            <w:r w:rsidRPr="00C462A0">
              <w:rPr>
                <w:rFonts w:cstheme="minorHAnsi"/>
                <w:i/>
                <w:iCs/>
                <w:sz w:val="20"/>
                <w:szCs w:val="20"/>
                <w:lang w:val="en-GB"/>
              </w:rPr>
              <w:t xml:space="preserve">Answer key: 1. b); 2. true; 3. b); 4. b); 5. b); 6. true; 7. c). </w:t>
            </w:r>
          </w:p>
          <w:p w14:paraId="5FD4DD5D" w14:textId="77777777" w:rsidR="002221F4" w:rsidRPr="00C462A0" w:rsidRDefault="002221F4" w:rsidP="002221F4">
            <w:pPr>
              <w:pStyle w:val="NoSpacing"/>
              <w:jc w:val="both"/>
              <w:rPr>
                <w:rFonts w:cstheme="minorHAnsi"/>
                <w:sz w:val="20"/>
                <w:szCs w:val="20"/>
                <w:lang w:val="en-GB"/>
              </w:rPr>
            </w:pPr>
          </w:p>
          <w:p w14:paraId="043D194C" w14:textId="15C4786D" w:rsidR="002221F4" w:rsidRPr="00C462A0" w:rsidRDefault="002221F4" w:rsidP="002221F4">
            <w:pPr>
              <w:pStyle w:val="NoSpacing"/>
              <w:jc w:val="both"/>
              <w:rPr>
                <w:rFonts w:cstheme="minorHAnsi"/>
                <w:sz w:val="20"/>
                <w:szCs w:val="20"/>
                <w:lang w:val="en-GB"/>
              </w:rPr>
            </w:pPr>
            <w:r w:rsidRPr="00C462A0">
              <w:rPr>
                <w:rFonts w:cstheme="minorHAnsi"/>
                <w:b/>
                <w:bCs/>
                <w:color w:val="00AC4E" w:themeColor="accent1"/>
                <w:sz w:val="20"/>
                <w:szCs w:val="20"/>
                <w:lang w:val="en-GB"/>
              </w:rPr>
              <w:t>Applied Scenario:</w:t>
            </w:r>
          </w:p>
          <w:p w14:paraId="37002A4A" w14:textId="77777777" w:rsidR="002221F4" w:rsidRPr="00C462A0" w:rsidRDefault="002221F4" w:rsidP="002221F4">
            <w:pPr>
              <w:pStyle w:val="NoSpacing"/>
              <w:jc w:val="both"/>
              <w:rPr>
                <w:rFonts w:cstheme="minorHAnsi"/>
                <w:b/>
                <w:sz w:val="20"/>
                <w:szCs w:val="20"/>
                <w:lang w:val="en-GB"/>
              </w:rPr>
            </w:pPr>
            <w:r w:rsidRPr="00C462A0">
              <w:rPr>
                <w:rFonts w:cstheme="minorHAnsi"/>
                <w:b/>
                <w:sz w:val="20"/>
                <w:szCs w:val="20"/>
                <w:lang w:val="en-GB"/>
              </w:rPr>
              <w:t>Scenario</w:t>
            </w:r>
          </w:p>
          <w:p w14:paraId="1C631CC5" w14:textId="77777777" w:rsidR="002221F4" w:rsidRPr="00C462A0" w:rsidRDefault="002221F4" w:rsidP="002221F4">
            <w:pPr>
              <w:pStyle w:val="NoSpacing"/>
              <w:jc w:val="both"/>
              <w:rPr>
                <w:rFonts w:cstheme="minorHAnsi"/>
                <w:bCs/>
                <w:sz w:val="20"/>
                <w:szCs w:val="20"/>
                <w:lang w:val="en-GB"/>
              </w:rPr>
            </w:pPr>
            <w:r w:rsidRPr="00C462A0">
              <w:rPr>
                <w:rFonts w:cstheme="minorHAnsi"/>
                <w:bCs/>
                <w:sz w:val="20"/>
                <w:szCs w:val="20"/>
                <w:lang w:val="en-GB"/>
              </w:rPr>
              <w:t>A national energy operator manages:</w:t>
            </w:r>
          </w:p>
          <w:p w14:paraId="21537AC6" w14:textId="77777777" w:rsidR="002221F4" w:rsidRPr="00C462A0" w:rsidRDefault="002221F4" w:rsidP="002221F4">
            <w:pPr>
              <w:pStyle w:val="NoSpacing"/>
              <w:numPr>
                <w:ilvl w:val="0"/>
                <w:numId w:val="336"/>
              </w:numPr>
              <w:jc w:val="both"/>
              <w:rPr>
                <w:rFonts w:cstheme="minorHAnsi"/>
                <w:bCs/>
                <w:sz w:val="20"/>
                <w:szCs w:val="20"/>
                <w:lang w:val="en-GB"/>
              </w:rPr>
            </w:pPr>
            <w:r w:rsidRPr="00C462A0">
              <w:rPr>
                <w:rFonts w:cstheme="minorHAnsi"/>
                <w:bCs/>
                <w:sz w:val="20"/>
                <w:szCs w:val="20"/>
                <w:lang w:val="en-GB"/>
              </w:rPr>
              <w:t>Smart grid infrastructure with distributed renewable generation</w:t>
            </w:r>
          </w:p>
          <w:p w14:paraId="1A99C32B" w14:textId="77777777" w:rsidR="002221F4" w:rsidRPr="00C462A0" w:rsidRDefault="002221F4" w:rsidP="002221F4">
            <w:pPr>
              <w:pStyle w:val="NoSpacing"/>
              <w:numPr>
                <w:ilvl w:val="0"/>
                <w:numId w:val="336"/>
              </w:numPr>
              <w:jc w:val="both"/>
              <w:rPr>
                <w:rFonts w:cstheme="minorHAnsi"/>
                <w:bCs/>
                <w:sz w:val="20"/>
                <w:szCs w:val="20"/>
                <w:lang w:val="en-GB"/>
              </w:rPr>
            </w:pPr>
            <w:r w:rsidRPr="00C462A0">
              <w:rPr>
                <w:rFonts w:cstheme="minorHAnsi"/>
                <w:bCs/>
                <w:sz w:val="20"/>
                <w:szCs w:val="20"/>
                <w:lang w:val="en-GB"/>
              </w:rPr>
              <w:t>Thousands of IoT-enabled smart meters</w:t>
            </w:r>
          </w:p>
          <w:p w14:paraId="17E0F5CE" w14:textId="77777777" w:rsidR="002221F4" w:rsidRPr="00C462A0" w:rsidRDefault="002221F4" w:rsidP="002221F4">
            <w:pPr>
              <w:pStyle w:val="NoSpacing"/>
              <w:numPr>
                <w:ilvl w:val="0"/>
                <w:numId w:val="336"/>
              </w:numPr>
              <w:jc w:val="both"/>
              <w:rPr>
                <w:rFonts w:cstheme="minorHAnsi"/>
                <w:bCs/>
                <w:sz w:val="20"/>
                <w:szCs w:val="20"/>
                <w:lang w:val="en-GB"/>
              </w:rPr>
            </w:pPr>
            <w:r w:rsidRPr="00C462A0">
              <w:rPr>
                <w:rFonts w:cstheme="minorHAnsi"/>
                <w:bCs/>
                <w:sz w:val="20"/>
                <w:szCs w:val="20"/>
                <w:lang w:val="en-GB"/>
              </w:rPr>
              <w:t>A cloud-based ESG reporting platform</w:t>
            </w:r>
          </w:p>
          <w:p w14:paraId="2C42A79E" w14:textId="77777777" w:rsidR="002221F4" w:rsidRPr="00C462A0" w:rsidRDefault="002221F4" w:rsidP="002221F4">
            <w:pPr>
              <w:pStyle w:val="NoSpacing"/>
              <w:jc w:val="both"/>
              <w:rPr>
                <w:rFonts w:cstheme="minorHAnsi"/>
                <w:bCs/>
                <w:sz w:val="20"/>
                <w:szCs w:val="20"/>
                <w:lang w:val="en-GB"/>
              </w:rPr>
            </w:pPr>
            <w:r w:rsidRPr="00C462A0">
              <w:rPr>
                <w:rFonts w:cstheme="minorHAnsi"/>
                <w:bCs/>
                <w:sz w:val="20"/>
                <w:szCs w:val="20"/>
                <w:lang w:val="en-GB"/>
              </w:rPr>
              <w:t>A vulnerability assessment reveals:</w:t>
            </w:r>
          </w:p>
          <w:p w14:paraId="142532B1" w14:textId="77777777" w:rsidR="002221F4" w:rsidRPr="00C462A0" w:rsidRDefault="002221F4" w:rsidP="002221F4">
            <w:pPr>
              <w:pStyle w:val="NoSpacing"/>
              <w:numPr>
                <w:ilvl w:val="0"/>
                <w:numId w:val="337"/>
              </w:numPr>
              <w:jc w:val="both"/>
              <w:rPr>
                <w:rFonts w:cstheme="minorHAnsi"/>
                <w:bCs/>
                <w:sz w:val="20"/>
                <w:szCs w:val="20"/>
                <w:lang w:val="en-GB"/>
              </w:rPr>
            </w:pPr>
            <w:r w:rsidRPr="00C462A0">
              <w:rPr>
                <w:rFonts w:cstheme="minorHAnsi"/>
                <w:bCs/>
                <w:sz w:val="20"/>
                <w:szCs w:val="20"/>
                <w:lang w:val="en-GB"/>
              </w:rPr>
              <w:t>Weak authentication on several IoT gateways</w:t>
            </w:r>
          </w:p>
          <w:p w14:paraId="72165F0E" w14:textId="77777777" w:rsidR="002221F4" w:rsidRPr="00C462A0" w:rsidRDefault="002221F4" w:rsidP="002221F4">
            <w:pPr>
              <w:pStyle w:val="NoSpacing"/>
              <w:numPr>
                <w:ilvl w:val="0"/>
                <w:numId w:val="337"/>
              </w:numPr>
              <w:jc w:val="both"/>
              <w:rPr>
                <w:rFonts w:cstheme="minorHAnsi"/>
                <w:bCs/>
                <w:sz w:val="20"/>
                <w:szCs w:val="20"/>
                <w:lang w:val="en-GB"/>
              </w:rPr>
            </w:pPr>
            <w:r w:rsidRPr="00C462A0">
              <w:rPr>
                <w:rFonts w:cstheme="minorHAnsi"/>
                <w:bCs/>
                <w:sz w:val="20"/>
                <w:szCs w:val="20"/>
                <w:lang w:val="en-GB"/>
              </w:rPr>
              <w:t>Limited monitoring capability in substations</w:t>
            </w:r>
          </w:p>
          <w:p w14:paraId="5F49831C" w14:textId="77777777" w:rsidR="002221F4" w:rsidRPr="00C462A0" w:rsidRDefault="002221F4" w:rsidP="002221F4">
            <w:pPr>
              <w:pStyle w:val="NoSpacing"/>
              <w:numPr>
                <w:ilvl w:val="0"/>
                <w:numId w:val="337"/>
              </w:numPr>
              <w:jc w:val="both"/>
              <w:rPr>
                <w:rFonts w:cstheme="minorHAnsi"/>
                <w:bCs/>
                <w:sz w:val="20"/>
                <w:szCs w:val="20"/>
                <w:lang w:val="en-GB"/>
              </w:rPr>
            </w:pPr>
            <w:r w:rsidRPr="00C462A0">
              <w:rPr>
                <w:rFonts w:cstheme="minorHAnsi"/>
                <w:bCs/>
                <w:sz w:val="20"/>
                <w:szCs w:val="20"/>
                <w:lang w:val="en-GB"/>
              </w:rPr>
              <w:t>Incomplete framework mapping for ESG data integrity controls</w:t>
            </w:r>
          </w:p>
          <w:p w14:paraId="2237C016" w14:textId="581E197B" w:rsidR="002221F4" w:rsidRPr="00C462A0" w:rsidRDefault="002221F4" w:rsidP="002221F4">
            <w:pPr>
              <w:pStyle w:val="NoSpacing"/>
              <w:jc w:val="both"/>
              <w:rPr>
                <w:rFonts w:cstheme="minorHAnsi"/>
                <w:b/>
                <w:sz w:val="20"/>
                <w:szCs w:val="20"/>
                <w:lang w:val="en-GB"/>
              </w:rPr>
            </w:pPr>
            <w:r w:rsidRPr="00C462A0">
              <w:rPr>
                <w:rFonts w:cstheme="minorHAnsi"/>
                <w:b/>
                <w:sz w:val="20"/>
                <w:szCs w:val="20"/>
                <w:lang w:val="en-GB"/>
              </w:rPr>
              <w:t>Learner Task:</w:t>
            </w:r>
          </w:p>
          <w:p w14:paraId="4FD0C995" w14:textId="77777777" w:rsidR="002221F4" w:rsidRPr="00C462A0" w:rsidRDefault="002221F4" w:rsidP="002221F4">
            <w:pPr>
              <w:pStyle w:val="NoSpacing"/>
              <w:numPr>
                <w:ilvl w:val="0"/>
                <w:numId w:val="338"/>
              </w:numPr>
              <w:jc w:val="both"/>
              <w:rPr>
                <w:rFonts w:cstheme="minorHAnsi"/>
                <w:bCs/>
                <w:sz w:val="20"/>
                <w:szCs w:val="20"/>
                <w:lang w:val="en-GB"/>
              </w:rPr>
            </w:pPr>
            <w:r w:rsidRPr="00C462A0">
              <w:rPr>
                <w:rFonts w:cstheme="minorHAnsi"/>
                <w:bCs/>
                <w:sz w:val="20"/>
                <w:szCs w:val="20"/>
                <w:lang w:val="en-GB"/>
              </w:rPr>
              <w:t>Identify two high-priority risks in this environment.</w:t>
            </w:r>
          </w:p>
          <w:p w14:paraId="17D23ECF" w14:textId="77777777" w:rsidR="002221F4" w:rsidRPr="00C462A0" w:rsidRDefault="002221F4" w:rsidP="002221F4">
            <w:pPr>
              <w:pStyle w:val="NoSpacing"/>
              <w:numPr>
                <w:ilvl w:val="0"/>
                <w:numId w:val="338"/>
              </w:numPr>
              <w:jc w:val="both"/>
              <w:rPr>
                <w:rFonts w:cstheme="minorHAnsi"/>
                <w:bCs/>
                <w:sz w:val="20"/>
                <w:szCs w:val="20"/>
                <w:lang w:val="en-GB"/>
              </w:rPr>
            </w:pPr>
            <w:r w:rsidRPr="00C462A0">
              <w:rPr>
                <w:rFonts w:cstheme="minorHAnsi"/>
                <w:bCs/>
                <w:sz w:val="20"/>
                <w:szCs w:val="20"/>
                <w:lang w:val="en-GB"/>
              </w:rPr>
              <w:t>Explain how these risks could generate cascading operational or regulatory impact.</w:t>
            </w:r>
          </w:p>
          <w:p w14:paraId="77C05154" w14:textId="77777777" w:rsidR="002221F4" w:rsidRPr="00C462A0" w:rsidRDefault="002221F4" w:rsidP="002221F4">
            <w:pPr>
              <w:pStyle w:val="NoSpacing"/>
              <w:numPr>
                <w:ilvl w:val="0"/>
                <w:numId w:val="338"/>
              </w:numPr>
              <w:jc w:val="both"/>
              <w:rPr>
                <w:rFonts w:cstheme="minorHAnsi"/>
                <w:bCs/>
                <w:sz w:val="20"/>
                <w:szCs w:val="20"/>
                <w:lang w:val="en-GB"/>
              </w:rPr>
            </w:pPr>
            <w:r w:rsidRPr="00C462A0">
              <w:rPr>
                <w:rFonts w:cstheme="minorHAnsi"/>
                <w:bCs/>
                <w:sz w:val="20"/>
                <w:szCs w:val="20"/>
                <w:lang w:val="en-GB"/>
              </w:rPr>
              <w:t>Propose one mitigation aligned with a recognised security framework function (Identify, Protect, Detect, Respond, or Recover).</w:t>
            </w:r>
          </w:p>
          <w:p w14:paraId="27FD0452" w14:textId="77777777" w:rsidR="002221F4" w:rsidRPr="00C462A0" w:rsidRDefault="002221F4" w:rsidP="002221F4">
            <w:pPr>
              <w:pStyle w:val="NoSpacing"/>
              <w:numPr>
                <w:ilvl w:val="0"/>
                <w:numId w:val="338"/>
              </w:numPr>
              <w:jc w:val="both"/>
              <w:rPr>
                <w:rFonts w:cstheme="minorHAnsi"/>
                <w:bCs/>
                <w:sz w:val="20"/>
                <w:szCs w:val="20"/>
                <w:lang w:val="en-GB"/>
              </w:rPr>
            </w:pPr>
            <w:r w:rsidRPr="00C462A0">
              <w:rPr>
                <w:rFonts w:cstheme="minorHAnsi"/>
                <w:bCs/>
                <w:sz w:val="20"/>
                <w:szCs w:val="20"/>
                <w:lang w:val="en-GB"/>
              </w:rPr>
              <w:t>Briefly justify why your selected mitigation reduces systemic risk.</w:t>
            </w:r>
          </w:p>
          <w:p w14:paraId="5334177F" w14:textId="309B7A8F" w:rsidR="002221F4" w:rsidRPr="00C462A0" w:rsidRDefault="002221F4" w:rsidP="002221F4">
            <w:pPr>
              <w:spacing w:line="276" w:lineRule="auto"/>
              <w:jc w:val="both"/>
              <w:rPr>
                <w:rFonts w:cstheme="minorHAnsi"/>
                <w:b/>
                <w:bCs/>
                <w:szCs w:val="20"/>
              </w:rPr>
            </w:pPr>
            <w:r w:rsidRPr="00C462A0">
              <w:rPr>
                <w:rFonts w:cstheme="minorHAnsi"/>
                <w:bCs/>
                <w:szCs w:val="20"/>
              </w:rPr>
              <w:t>Write a structured response (10–12 sentences) integrating concepts from Topics 2.1–2.5.</w:t>
            </w:r>
          </w:p>
        </w:tc>
      </w:tr>
    </w:tbl>
    <w:p w14:paraId="370345DD" w14:textId="6CFE1845" w:rsidR="00954ED6" w:rsidRPr="00C462A0" w:rsidRDefault="00954ED6" w:rsidP="00954ED6">
      <w:pPr>
        <w:pStyle w:val="Heading1"/>
        <w:numPr>
          <w:ilvl w:val="0"/>
          <w:numId w:val="0"/>
        </w:numPr>
        <w:spacing w:line="276" w:lineRule="auto"/>
        <w:ind w:left="426" w:hanging="360"/>
        <w:rPr>
          <w:sz w:val="40"/>
          <w:szCs w:val="40"/>
        </w:rPr>
      </w:pPr>
      <w:bookmarkStart w:id="44" w:name="_Toc227623412"/>
      <w:r w:rsidRPr="00C462A0">
        <w:rPr>
          <w:sz w:val="40"/>
          <w:szCs w:val="40"/>
        </w:rPr>
        <w:lastRenderedPageBreak/>
        <w:t>MODULE 3: Data Protection &amp; Compliance</w:t>
      </w:r>
      <w:bookmarkEnd w:id="44"/>
    </w:p>
    <w:tbl>
      <w:tblPr>
        <w:tblStyle w:val="TableGrid"/>
        <w:tblW w:w="0" w:type="auto"/>
        <w:tblLook w:val="04A0" w:firstRow="1" w:lastRow="0" w:firstColumn="1" w:lastColumn="0" w:noHBand="0" w:noVBand="1"/>
      </w:tblPr>
      <w:tblGrid>
        <w:gridCol w:w="9628"/>
      </w:tblGrid>
      <w:tr w:rsidR="00954ED6" w:rsidRPr="00C462A0" w14:paraId="6508576E" w14:textId="77777777" w:rsidTr="00210B7E">
        <w:trPr>
          <w:trHeight w:val="300"/>
        </w:trPr>
        <w:tc>
          <w:tcPr>
            <w:tcW w:w="9628" w:type="dxa"/>
            <w:shd w:val="clear" w:color="auto" w:fill="D9D9D9" w:themeFill="background1" w:themeFillShade="D9"/>
          </w:tcPr>
          <w:p w14:paraId="139C0F6C" w14:textId="77777777" w:rsidR="00954ED6" w:rsidRPr="00C462A0" w:rsidRDefault="00954ED6" w:rsidP="00210B7E">
            <w:pPr>
              <w:spacing w:line="276" w:lineRule="auto"/>
              <w:rPr>
                <w:rFonts w:cstheme="minorHAnsi"/>
                <w:b/>
                <w:bCs/>
                <w:szCs w:val="20"/>
              </w:rPr>
            </w:pPr>
            <w:r w:rsidRPr="00C462A0">
              <w:rPr>
                <w:rFonts w:cstheme="minorHAnsi"/>
                <w:b/>
                <w:bCs/>
                <w:szCs w:val="20"/>
              </w:rPr>
              <w:t xml:space="preserve">Module Overview: </w:t>
            </w:r>
          </w:p>
        </w:tc>
      </w:tr>
      <w:tr w:rsidR="00954ED6" w:rsidRPr="00C462A0" w14:paraId="39C4BA42" w14:textId="77777777" w:rsidTr="00210B7E">
        <w:trPr>
          <w:trHeight w:val="300"/>
        </w:trPr>
        <w:tc>
          <w:tcPr>
            <w:tcW w:w="9628" w:type="dxa"/>
          </w:tcPr>
          <w:p w14:paraId="0C0F15D1" w14:textId="370A9CB8" w:rsidR="00954ED6" w:rsidRPr="00C462A0" w:rsidRDefault="00954ED6" w:rsidP="00210B7E">
            <w:pPr>
              <w:spacing w:after="160"/>
              <w:jc w:val="both"/>
              <w:rPr>
                <w:rFonts w:cstheme="minorHAnsi"/>
                <w:szCs w:val="20"/>
              </w:rPr>
            </w:pPr>
            <w:r w:rsidRPr="00C462A0">
              <w:t>This module explores the legal, regulatory, and governance aspects of data protection within sustainable digital infrastructures. It introduces the core principles of data protection, outlines key compliance obligations, and explains accountability mechanisms relevant to energy systems, IoT environments, and ESG platforms operating in regulated settings.</w:t>
            </w:r>
          </w:p>
        </w:tc>
      </w:tr>
      <w:tr w:rsidR="00954ED6" w:rsidRPr="00C462A0" w14:paraId="30D1DBC6" w14:textId="77777777" w:rsidTr="00210B7E">
        <w:trPr>
          <w:trHeight w:val="300"/>
        </w:trPr>
        <w:tc>
          <w:tcPr>
            <w:tcW w:w="9628" w:type="dxa"/>
            <w:shd w:val="clear" w:color="auto" w:fill="D9D9D9" w:themeFill="background1" w:themeFillShade="D9"/>
          </w:tcPr>
          <w:p w14:paraId="4B2A4CD1" w14:textId="77777777" w:rsidR="00954ED6" w:rsidRPr="00C462A0" w:rsidRDefault="00954ED6" w:rsidP="00210B7E">
            <w:pPr>
              <w:spacing w:line="276" w:lineRule="auto"/>
              <w:rPr>
                <w:rFonts w:cstheme="minorHAnsi"/>
                <w:szCs w:val="20"/>
              </w:rPr>
            </w:pPr>
            <w:r w:rsidRPr="00C462A0">
              <w:rPr>
                <w:rFonts w:cstheme="minorHAnsi"/>
                <w:b/>
                <w:bCs/>
                <w:szCs w:val="20"/>
              </w:rPr>
              <w:t>Module learning outcomes:</w:t>
            </w:r>
            <w:r w:rsidRPr="00C462A0">
              <w:rPr>
                <w:rFonts w:cstheme="minorHAnsi"/>
                <w:szCs w:val="20"/>
              </w:rPr>
              <w:t xml:space="preserve"> </w:t>
            </w:r>
          </w:p>
        </w:tc>
      </w:tr>
      <w:tr w:rsidR="00954ED6" w:rsidRPr="00C462A0" w14:paraId="2C287D6D" w14:textId="77777777" w:rsidTr="00210B7E">
        <w:trPr>
          <w:trHeight w:val="300"/>
        </w:trPr>
        <w:tc>
          <w:tcPr>
            <w:tcW w:w="9628" w:type="dxa"/>
          </w:tcPr>
          <w:p w14:paraId="1A7F0B68" w14:textId="77777777" w:rsidR="00954ED6" w:rsidRPr="00C462A0" w:rsidRDefault="00954ED6" w:rsidP="00954ED6">
            <w:pPr>
              <w:pStyle w:val="NoSpacing"/>
              <w:numPr>
                <w:ilvl w:val="0"/>
                <w:numId w:val="119"/>
              </w:numPr>
              <w:jc w:val="both"/>
              <w:rPr>
                <w:sz w:val="20"/>
                <w:szCs w:val="20"/>
                <w:lang w:val="en-GB"/>
              </w:rPr>
            </w:pPr>
            <w:r w:rsidRPr="00C462A0">
              <w:rPr>
                <w:sz w:val="20"/>
                <w:szCs w:val="20"/>
                <w:lang w:val="en-GB"/>
              </w:rPr>
              <w:t>Compare and evaluate different access control models (e.g., RBAC, ABAC, policy-based) and assess their suitability for ESG-driven digital systems.</w:t>
            </w:r>
          </w:p>
          <w:p w14:paraId="16E549AF" w14:textId="77777777" w:rsidR="00954ED6" w:rsidRPr="00C462A0" w:rsidRDefault="00954ED6" w:rsidP="00954ED6">
            <w:pPr>
              <w:pStyle w:val="NoSpacing"/>
              <w:numPr>
                <w:ilvl w:val="0"/>
                <w:numId w:val="119"/>
              </w:numPr>
              <w:jc w:val="both"/>
              <w:rPr>
                <w:sz w:val="20"/>
                <w:szCs w:val="20"/>
                <w:lang w:val="en-GB"/>
              </w:rPr>
            </w:pPr>
            <w:r w:rsidRPr="00C462A0">
              <w:rPr>
                <w:sz w:val="20"/>
                <w:szCs w:val="20"/>
                <w:lang w:val="en-GB"/>
              </w:rPr>
              <w:t>Analyse encryption and key management principles, identifying common attack patterns, implementation pitfalls, and governance implications.</w:t>
            </w:r>
          </w:p>
          <w:p w14:paraId="75487B30" w14:textId="77777777" w:rsidR="00954ED6" w:rsidRPr="00C462A0" w:rsidRDefault="00954ED6" w:rsidP="00954ED6">
            <w:pPr>
              <w:pStyle w:val="NoSpacing"/>
              <w:numPr>
                <w:ilvl w:val="0"/>
                <w:numId w:val="119"/>
              </w:numPr>
              <w:jc w:val="both"/>
              <w:rPr>
                <w:sz w:val="20"/>
                <w:szCs w:val="20"/>
                <w:lang w:val="en-GB"/>
              </w:rPr>
            </w:pPr>
            <w:r w:rsidRPr="00C462A0">
              <w:rPr>
                <w:sz w:val="20"/>
                <w:szCs w:val="20"/>
                <w:lang w:val="en-GB"/>
              </w:rPr>
              <w:t>Interpret and apply core GDPR principles, including lawful basis, purpose limitation, and pseudonymisation, within sustainable system contexts.</w:t>
            </w:r>
          </w:p>
          <w:p w14:paraId="0738E150" w14:textId="78AADE9D" w:rsidR="00954ED6" w:rsidRPr="00C462A0" w:rsidRDefault="00954ED6" w:rsidP="00954ED6">
            <w:pPr>
              <w:numPr>
                <w:ilvl w:val="0"/>
                <w:numId w:val="119"/>
              </w:numPr>
              <w:spacing w:line="276" w:lineRule="auto"/>
              <w:jc w:val="both"/>
              <w:rPr>
                <w:rFonts w:cstheme="minorHAnsi"/>
                <w:szCs w:val="20"/>
              </w:rPr>
            </w:pPr>
            <w:r w:rsidRPr="00C462A0">
              <w:rPr>
                <w:szCs w:val="20"/>
              </w:rPr>
              <w:t>Assess the interaction between cybersecurity, ESG governance, and evolving regulatory frameworks (including AI-related legislation), identifying common compliance risks and mitigation strategies..</w:t>
            </w:r>
          </w:p>
        </w:tc>
      </w:tr>
      <w:tr w:rsidR="00954ED6" w:rsidRPr="00C462A0" w14:paraId="18B7210C" w14:textId="77777777" w:rsidTr="00210B7E">
        <w:trPr>
          <w:trHeight w:val="400"/>
        </w:trPr>
        <w:tc>
          <w:tcPr>
            <w:tcW w:w="9628" w:type="dxa"/>
            <w:shd w:val="clear" w:color="auto" w:fill="D9D9D9" w:themeFill="background1" w:themeFillShade="D9"/>
          </w:tcPr>
          <w:p w14:paraId="28607D64" w14:textId="77777777" w:rsidR="00954ED6" w:rsidRPr="00C462A0" w:rsidRDefault="00954ED6" w:rsidP="00210B7E">
            <w:pPr>
              <w:spacing w:line="276" w:lineRule="auto"/>
              <w:rPr>
                <w:rFonts w:cstheme="minorHAnsi"/>
                <w:b/>
                <w:bCs/>
                <w:szCs w:val="20"/>
              </w:rPr>
            </w:pPr>
            <w:r w:rsidRPr="00C462A0">
              <w:rPr>
                <w:rFonts w:cstheme="minorHAnsi"/>
                <w:b/>
                <w:bCs/>
                <w:szCs w:val="20"/>
              </w:rPr>
              <w:t>Estimated workload:</w:t>
            </w:r>
          </w:p>
        </w:tc>
      </w:tr>
      <w:tr w:rsidR="00954ED6" w:rsidRPr="00C462A0" w14:paraId="7B09F36C" w14:textId="77777777" w:rsidTr="00210B7E">
        <w:trPr>
          <w:trHeight w:val="550"/>
        </w:trPr>
        <w:tc>
          <w:tcPr>
            <w:tcW w:w="9628" w:type="dxa"/>
            <w:vMerge w:val="restart"/>
          </w:tcPr>
          <w:p w14:paraId="3FAF8EB9" w14:textId="77777777" w:rsidR="00954ED6" w:rsidRPr="00C462A0" w:rsidRDefault="00954ED6" w:rsidP="00954ED6">
            <w:pPr>
              <w:pStyle w:val="NoSpacing"/>
              <w:rPr>
                <w:lang w:val="en-GB"/>
              </w:rPr>
            </w:pPr>
            <w:r w:rsidRPr="00C462A0">
              <w:rPr>
                <w:lang w:val="en-GB"/>
              </w:rPr>
              <w:t>Lecture hours (F2F):  6hours</w:t>
            </w:r>
          </w:p>
          <w:p w14:paraId="4D0312F1" w14:textId="77777777" w:rsidR="00954ED6" w:rsidRPr="00C462A0" w:rsidRDefault="00954ED6" w:rsidP="00954ED6">
            <w:pPr>
              <w:pStyle w:val="NoSpacing"/>
              <w:rPr>
                <w:lang w:val="en-GB"/>
              </w:rPr>
            </w:pPr>
            <w:r w:rsidRPr="00C462A0">
              <w:rPr>
                <w:lang w:val="en-GB"/>
              </w:rPr>
              <w:t xml:space="preserve">Self-study: 8.5 hours </w:t>
            </w:r>
          </w:p>
          <w:p w14:paraId="09FA8930" w14:textId="77777777" w:rsidR="00954ED6" w:rsidRPr="00C462A0" w:rsidRDefault="00954ED6" w:rsidP="00954ED6">
            <w:pPr>
              <w:pStyle w:val="NoSpacing"/>
              <w:rPr>
                <w:lang w:val="en-GB"/>
              </w:rPr>
            </w:pPr>
            <w:r w:rsidRPr="00C462A0">
              <w:rPr>
                <w:lang w:val="en-GB"/>
              </w:rPr>
              <w:t>Practical application (if applicable): 6 hours</w:t>
            </w:r>
          </w:p>
          <w:p w14:paraId="22A6FB78" w14:textId="6B6D9D8C" w:rsidR="00954ED6" w:rsidRPr="00C462A0" w:rsidRDefault="00954ED6" w:rsidP="00954ED6">
            <w:pPr>
              <w:spacing w:line="276" w:lineRule="auto"/>
              <w:jc w:val="both"/>
              <w:rPr>
                <w:rFonts w:cstheme="minorHAnsi"/>
                <w:szCs w:val="20"/>
              </w:rPr>
            </w:pPr>
            <w:r w:rsidRPr="00C462A0">
              <w:t>Assessment link: This module contributes the regulatory and compliance analysis section of the Capstone Project, requiring learners to assess data protection risks, identify relevant legal obligations, and align technical controls with governance and accountability requirements.</w:t>
            </w:r>
          </w:p>
        </w:tc>
      </w:tr>
      <w:tr w:rsidR="00954ED6" w:rsidRPr="00C462A0" w14:paraId="075915ED" w14:textId="77777777" w:rsidTr="00210B7E">
        <w:trPr>
          <w:trHeight w:val="326"/>
        </w:trPr>
        <w:tc>
          <w:tcPr>
            <w:tcW w:w="9628" w:type="dxa"/>
            <w:shd w:val="clear" w:color="auto" w:fill="D9D9D9" w:themeFill="background1" w:themeFillShade="D9"/>
          </w:tcPr>
          <w:p w14:paraId="47CC655A" w14:textId="77777777" w:rsidR="00954ED6" w:rsidRPr="00C462A0" w:rsidRDefault="00954ED6" w:rsidP="00210B7E">
            <w:pPr>
              <w:spacing w:line="276" w:lineRule="auto"/>
              <w:rPr>
                <w:rFonts w:cstheme="minorHAnsi"/>
                <w:b/>
                <w:bCs/>
                <w:szCs w:val="20"/>
              </w:rPr>
            </w:pPr>
            <w:r w:rsidRPr="00C462A0">
              <w:rPr>
                <w:rFonts w:cstheme="minorHAnsi"/>
                <w:b/>
                <w:bCs/>
                <w:szCs w:val="20"/>
              </w:rPr>
              <w:t>Practical focus / deliverable:</w:t>
            </w:r>
          </w:p>
        </w:tc>
      </w:tr>
      <w:tr w:rsidR="00954ED6" w:rsidRPr="00C462A0" w14:paraId="56520772" w14:textId="77777777" w:rsidTr="00210B7E">
        <w:trPr>
          <w:trHeight w:val="550"/>
        </w:trPr>
        <w:tc>
          <w:tcPr>
            <w:tcW w:w="9628" w:type="dxa"/>
          </w:tcPr>
          <w:p w14:paraId="7FAACB9B" w14:textId="465D217F" w:rsidR="00954ED6" w:rsidRPr="00C462A0" w:rsidRDefault="00954ED6" w:rsidP="00210B7E">
            <w:pPr>
              <w:spacing w:after="160" w:line="276" w:lineRule="auto"/>
              <w:jc w:val="both"/>
              <w:rPr>
                <w:rFonts w:cstheme="minorHAnsi"/>
                <w:szCs w:val="20"/>
              </w:rPr>
            </w:pPr>
            <w:r w:rsidRPr="00C462A0">
              <w:t>Learners conduct a structured compliance assessment for the assigned sustainable system case study, mapping data flows, identifying personal and sensitive data categories, assessing regulatory exposure, and proposing governance-aligned mitigation measures.</w:t>
            </w:r>
          </w:p>
        </w:tc>
      </w:tr>
    </w:tbl>
    <w:p w14:paraId="63FB33E8" w14:textId="0C406313" w:rsidR="00954ED6" w:rsidRPr="00C462A0" w:rsidRDefault="00954ED6" w:rsidP="00C462A0">
      <w:pPr>
        <w:spacing w:line="276" w:lineRule="auto"/>
      </w:pPr>
      <w:r w:rsidRPr="00C462A0">
        <w:br w:type="page"/>
      </w:r>
    </w:p>
    <w:tbl>
      <w:tblPr>
        <w:tblStyle w:val="TableGrid"/>
        <w:tblW w:w="0" w:type="auto"/>
        <w:tblLook w:val="04A0" w:firstRow="1" w:lastRow="0" w:firstColumn="1" w:lastColumn="0" w:noHBand="0" w:noVBand="1"/>
      </w:tblPr>
      <w:tblGrid>
        <w:gridCol w:w="9628"/>
      </w:tblGrid>
      <w:tr w:rsidR="00954ED6" w:rsidRPr="00C462A0" w14:paraId="139555B7" w14:textId="77777777" w:rsidTr="00210B7E">
        <w:tc>
          <w:tcPr>
            <w:tcW w:w="9628" w:type="dxa"/>
          </w:tcPr>
          <w:p w14:paraId="757B3B0D" w14:textId="09AB5DBB" w:rsidR="00954ED6" w:rsidRPr="00C462A0" w:rsidRDefault="00954ED6" w:rsidP="00210B7E">
            <w:pPr>
              <w:pStyle w:val="Heading2"/>
              <w:numPr>
                <w:ilvl w:val="0"/>
                <w:numId w:val="0"/>
              </w:numPr>
              <w:spacing w:before="0" w:line="276" w:lineRule="auto"/>
              <w:rPr>
                <w:rFonts w:cstheme="minorHAnsi"/>
                <w:b/>
                <w:bCs/>
                <w:szCs w:val="40"/>
              </w:rPr>
            </w:pPr>
            <w:bookmarkStart w:id="45" w:name="_Toc227623413"/>
            <w:r w:rsidRPr="00C462A0">
              <w:rPr>
                <w:rFonts w:cstheme="minorHAnsi"/>
                <w:b/>
                <w:bCs/>
                <w:szCs w:val="40"/>
              </w:rPr>
              <w:lastRenderedPageBreak/>
              <w:t>Topic 3.1: Introduction to the Access Controls</w:t>
            </w:r>
            <w:bookmarkEnd w:id="45"/>
          </w:p>
        </w:tc>
      </w:tr>
      <w:tr w:rsidR="00954ED6" w:rsidRPr="00C462A0" w14:paraId="7967FCC6" w14:textId="77777777" w:rsidTr="00210B7E">
        <w:tc>
          <w:tcPr>
            <w:tcW w:w="9628" w:type="dxa"/>
            <w:shd w:val="clear" w:color="auto" w:fill="D9D9D9" w:themeFill="background1" w:themeFillShade="D9"/>
          </w:tcPr>
          <w:p w14:paraId="630607D9" w14:textId="77777777" w:rsidR="00954ED6" w:rsidRPr="00C462A0" w:rsidRDefault="00954ED6" w:rsidP="00210B7E">
            <w:pPr>
              <w:spacing w:line="276" w:lineRule="auto"/>
              <w:rPr>
                <w:rFonts w:cstheme="minorHAnsi"/>
                <w:b/>
                <w:szCs w:val="20"/>
              </w:rPr>
            </w:pPr>
            <w:r w:rsidRPr="00C462A0">
              <w:rPr>
                <w:rFonts w:cstheme="minorHAnsi"/>
                <w:b/>
                <w:szCs w:val="20"/>
              </w:rPr>
              <w:t>Short introduction:</w:t>
            </w:r>
          </w:p>
        </w:tc>
      </w:tr>
      <w:tr w:rsidR="00954ED6" w:rsidRPr="00C462A0" w14:paraId="558DEF89" w14:textId="77777777" w:rsidTr="00210B7E">
        <w:tc>
          <w:tcPr>
            <w:tcW w:w="9628" w:type="dxa"/>
          </w:tcPr>
          <w:p w14:paraId="6B667B1D" w14:textId="5BCD46A6" w:rsidR="00954ED6" w:rsidRPr="00C462A0" w:rsidRDefault="00954ED6" w:rsidP="00954ED6">
            <w:pPr>
              <w:pStyle w:val="NormalWeb"/>
              <w:spacing w:before="0" w:beforeAutospacing="0" w:after="0" w:afterAutospacing="0"/>
              <w:jc w:val="both"/>
              <w:rPr>
                <w:rFonts w:asciiTheme="minorHAnsi" w:hAnsiTheme="minorHAnsi"/>
                <w:bCs/>
                <w:iCs/>
                <w:sz w:val="20"/>
                <w:szCs w:val="20"/>
                <w:lang w:val="en-GB"/>
              </w:rPr>
            </w:pPr>
            <w:r w:rsidRPr="00C462A0">
              <w:rPr>
                <w:rFonts w:asciiTheme="minorHAnsi" w:hAnsiTheme="minorHAnsi"/>
                <w:bCs/>
                <w:iCs/>
                <w:sz w:val="20"/>
                <w:szCs w:val="20"/>
                <w:lang w:val="en-GB"/>
              </w:rPr>
              <w:t>Access control is a core element of both cybersecurity and data protection compliance. It defines who can access specific systems, data, and functionalities, and under what conditions. In sustainable digital infrastructures such as smart grids, IoT ecosystems, and ESG platforms, well-designed access control mechanisms are critical to safeguarding sensitive information, meeting regulatory requirements, and preserving operational integrity.</w:t>
            </w:r>
          </w:p>
        </w:tc>
      </w:tr>
      <w:tr w:rsidR="00954ED6" w:rsidRPr="00C462A0" w14:paraId="323A8E96" w14:textId="77777777" w:rsidTr="00210B7E">
        <w:tc>
          <w:tcPr>
            <w:tcW w:w="9628" w:type="dxa"/>
            <w:shd w:val="clear" w:color="auto" w:fill="D9D9D9" w:themeFill="background1" w:themeFillShade="D9"/>
          </w:tcPr>
          <w:p w14:paraId="412B391B" w14:textId="77777777" w:rsidR="00954ED6" w:rsidRPr="00C462A0" w:rsidRDefault="00954ED6" w:rsidP="00210B7E">
            <w:pPr>
              <w:spacing w:line="276" w:lineRule="auto"/>
              <w:rPr>
                <w:rFonts w:cstheme="minorHAnsi"/>
                <w:b/>
                <w:szCs w:val="20"/>
              </w:rPr>
            </w:pPr>
            <w:r w:rsidRPr="00C462A0">
              <w:rPr>
                <w:rFonts w:cstheme="minorHAnsi"/>
                <w:b/>
                <w:szCs w:val="20"/>
              </w:rPr>
              <w:t xml:space="preserve">Theory &amp; Knowledge: </w:t>
            </w:r>
          </w:p>
        </w:tc>
      </w:tr>
      <w:tr w:rsidR="00954ED6" w:rsidRPr="00C462A0" w14:paraId="1F4B2A26" w14:textId="77777777" w:rsidTr="00210B7E">
        <w:trPr>
          <w:trHeight w:val="2142"/>
        </w:trPr>
        <w:tc>
          <w:tcPr>
            <w:tcW w:w="9628" w:type="dxa"/>
          </w:tcPr>
          <w:p w14:paraId="605FB4F2" w14:textId="77777777" w:rsidR="00954ED6" w:rsidRPr="00C462A0" w:rsidRDefault="00954ED6" w:rsidP="00954ED6">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sz w:val="20"/>
                <w:szCs w:val="20"/>
                <w:lang w:val="en-GB"/>
              </w:rPr>
              <w:t xml:space="preserve"> </w:t>
            </w:r>
            <w:r w:rsidRPr="00C462A0">
              <w:rPr>
                <w:rFonts w:asciiTheme="minorHAnsi" w:hAnsiTheme="minorHAnsi" w:cstheme="minorHAnsi"/>
                <w:bCs/>
                <w:iCs/>
                <w:sz w:val="20"/>
                <w:szCs w:val="20"/>
                <w:lang w:val="en-GB"/>
              </w:rPr>
              <w:t>Access control refers to the set of policies, procedures, and technical mechanisms that govern how users and systems gain access to resources. It puts core security principles such as confidentiality, integrity, and accountability into practice by ensuring that only authorised entities can access specific assets.</w:t>
            </w:r>
          </w:p>
          <w:p w14:paraId="52AD94A2" w14:textId="77777777" w:rsidR="00954ED6" w:rsidRPr="00C462A0" w:rsidRDefault="00954ED6" w:rsidP="00954ED6">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In regulated environments, access control goes beyond being a technical safeguard; it also serves as a compliance requirement that supports data protection, auditability, and governance responsibilities.</w:t>
            </w:r>
          </w:p>
          <w:p w14:paraId="682BFA31" w14:textId="77777777" w:rsidR="00954ED6" w:rsidRPr="00C462A0" w:rsidRDefault="00954ED6" w:rsidP="00954ED6">
            <w:pPr>
              <w:pStyle w:val="NormalWeb"/>
              <w:spacing w:before="0" w:beforeAutospacing="0" w:after="0" w:afterAutospacing="0"/>
              <w:jc w:val="both"/>
              <w:rPr>
                <w:rFonts w:asciiTheme="minorHAnsi" w:hAnsiTheme="minorHAnsi" w:cstheme="minorHAnsi"/>
                <w:bCs/>
                <w:iCs/>
                <w:sz w:val="20"/>
                <w:szCs w:val="20"/>
                <w:lang w:val="en-GB"/>
              </w:rPr>
            </w:pPr>
          </w:p>
          <w:p w14:paraId="7A2A26DA" w14:textId="3A0D2A03" w:rsidR="00954ED6" w:rsidRPr="00C462A0" w:rsidRDefault="00954ED6" w:rsidP="006B0DE2">
            <w:pPr>
              <w:pStyle w:val="NormalWeb"/>
              <w:numPr>
                <w:ilvl w:val="0"/>
                <w:numId w:val="357"/>
              </w:numPr>
              <w:spacing w:before="0" w:beforeAutospacing="0" w:after="0" w:afterAutospacing="0"/>
              <w:jc w:val="both"/>
              <w:rPr>
                <w:rFonts w:asciiTheme="minorHAnsi" w:hAnsiTheme="minorHAnsi" w:cstheme="minorHAnsi"/>
                <w:b/>
                <w:bCs/>
                <w:iCs/>
                <w:color w:val="009889" w:themeColor="accent2"/>
                <w:sz w:val="20"/>
                <w:szCs w:val="20"/>
                <w:lang w:val="en-GB"/>
              </w:rPr>
            </w:pPr>
            <w:r w:rsidRPr="00C462A0">
              <w:rPr>
                <w:rFonts w:asciiTheme="minorHAnsi" w:hAnsiTheme="minorHAnsi" w:cstheme="minorHAnsi"/>
                <w:b/>
                <w:bCs/>
                <w:iCs/>
                <w:color w:val="009889" w:themeColor="accent2"/>
                <w:sz w:val="20"/>
                <w:szCs w:val="20"/>
                <w:lang w:val="en-GB"/>
              </w:rPr>
              <w:t>Core Components of Access Control</w:t>
            </w:r>
          </w:p>
          <w:p w14:paraId="3E217F78" w14:textId="77777777" w:rsidR="00954ED6" w:rsidRPr="00C462A0" w:rsidRDefault="00954ED6" w:rsidP="00954ED6">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Access control mechanisms generally consist of three essential elements:</w:t>
            </w:r>
          </w:p>
          <w:p w14:paraId="2623E541" w14:textId="77777777" w:rsidR="00954ED6" w:rsidRPr="00C462A0" w:rsidRDefault="00954ED6" w:rsidP="00954ED6">
            <w:pPr>
              <w:pStyle w:val="NormalWeb"/>
              <w:numPr>
                <w:ilvl w:val="0"/>
                <w:numId w:val="344"/>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Identification: The act of claiming an identity, such as a username or device ID.</w:t>
            </w:r>
          </w:p>
          <w:p w14:paraId="4A1EAD1A" w14:textId="77777777" w:rsidR="00954ED6" w:rsidRPr="00C462A0" w:rsidRDefault="00954ED6" w:rsidP="00954ED6">
            <w:pPr>
              <w:pStyle w:val="NormalWeb"/>
              <w:numPr>
                <w:ilvl w:val="0"/>
                <w:numId w:val="344"/>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Authentication: Verifying that the claimed identity, for example, through a password, token, or biometric factor.</w:t>
            </w:r>
          </w:p>
          <w:p w14:paraId="15E3AB05" w14:textId="77777777" w:rsidR="00954ED6" w:rsidRPr="00C462A0" w:rsidRDefault="00954ED6" w:rsidP="00954ED6">
            <w:pPr>
              <w:pStyle w:val="NormalWeb"/>
              <w:numPr>
                <w:ilvl w:val="0"/>
                <w:numId w:val="344"/>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Authorisation: Defining which actions the authenticated entity is allowed to perform.</w:t>
            </w:r>
          </w:p>
          <w:p w14:paraId="5A2499DC" w14:textId="77777777" w:rsidR="00954ED6" w:rsidRPr="00C462A0" w:rsidRDefault="00954ED6" w:rsidP="00954ED6">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 xml:space="preserve">These processes are reinforced by logging and monitoring mechanisms that ensure traceability and accountability. </w:t>
            </w:r>
          </w:p>
          <w:p w14:paraId="492F6BDB" w14:textId="77777777" w:rsidR="00954ED6" w:rsidRPr="00C462A0" w:rsidRDefault="00954ED6" w:rsidP="00954ED6">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The National Institute of Standards and Technology offers structured guidance on identity and access management through its cybersecurity and digital identity frameworks.</w:t>
            </w:r>
          </w:p>
          <w:p w14:paraId="3B498FB8" w14:textId="77777777" w:rsidR="00954ED6" w:rsidRPr="00C462A0" w:rsidRDefault="00954ED6" w:rsidP="006B0DE2">
            <w:pPr>
              <w:pStyle w:val="NormalWeb"/>
              <w:keepNext/>
              <w:spacing w:before="0" w:beforeAutospacing="0" w:after="0" w:afterAutospacing="0"/>
              <w:jc w:val="center"/>
              <w:rPr>
                <w:rFonts w:asciiTheme="minorHAnsi" w:hAnsiTheme="minorHAnsi" w:cstheme="minorHAnsi"/>
                <w:sz w:val="20"/>
                <w:szCs w:val="20"/>
                <w:lang w:val="en-GB"/>
              </w:rPr>
            </w:pPr>
            <w:r w:rsidRPr="00C462A0">
              <w:rPr>
                <w:rFonts w:asciiTheme="minorHAnsi" w:hAnsiTheme="minorHAnsi" w:cstheme="minorHAnsi"/>
                <w:noProof/>
                <w:sz w:val="20"/>
                <w:szCs w:val="20"/>
                <w:lang w:val="en-GB"/>
              </w:rPr>
              <w:drawing>
                <wp:inline distT="0" distB="0" distL="0" distR="0" wp14:anchorId="7A5DF610" wp14:editId="56C53D75">
                  <wp:extent cx="6058238" cy="2853266"/>
                  <wp:effectExtent l="0" t="0" r="0" b="4445"/>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86"/>
                          <a:srcRect t="15218" b="14120"/>
                          <a:stretch/>
                        </pic:blipFill>
                        <pic:spPr bwMode="auto">
                          <a:xfrm>
                            <a:off x="0" y="0"/>
                            <a:ext cx="6086702" cy="2866672"/>
                          </a:xfrm>
                          <a:prstGeom prst="rect">
                            <a:avLst/>
                          </a:prstGeom>
                          <a:noFill/>
                          <a:ln>
                            <a:noFill/>
                          </a:ln>
                        </pic:spPr>
                      </pic:pic>
                    </a:graphicData>
                  </a:graphic>
                </wp:inline>
              </w:drawing>
            </w:r>
          </w:p>
          <w:p w14:paraId="101B538C" w14:textId="20C01F45" w:rsidR="00954ED6" w:rsidRPr="00C462A0" w:rsidRDefault="00954ED6" w:rsidP="006B0DE2">
            <w:pPr>
              <w:pStyle w:val="Caption"/>
              <w:jc w:val="center"/>
              <w:rPr>
                <w:rFonts w:cstheme="minorHAnsi"/>
                <w:b w:val="0"/>
                <w:bCs w:val="0"/>
                <w:sz w:val="18"/>
                <w:szCs w:val="18"/>
              </w:rPr>
            </w:pPr>
            <w:bookmarkStart w:id="46" w:name="_Toc227623458"/>
            <w:r w:rsidRPr="00C462A0">
              <w:rPr>
                <w:rFonts w:cstheme="minorHAnsi"/>
                <w:b w:val="0"/>
                <w:bCs w:val="0"/>
                <w:sz w:val="18"/>
                <w:szCs w:val="18"/>
              </w:rPr>
              <w:t xml:space="preserve">Figure </w:t>
            </w:r>
            <w:r w:rsidRPr="00C462A0">
              <w:rPr>
                <w:rFonts w:cstheme="minorHAnsi"/>
                <w:b w:val="0"/>
                <w:bCs w:val="0"/>
                <w:sz w:val="18"/>
                <w:szCs w:val="18"/>
              </w:rPr>
              <w:fldChar w:fldCharType="begin"/>
            </w:r>
            <w:r w:rsidRPr="00C462A0">
              <w:rPr>
                <w:rFonts w:cstheme="minorHAnsi"/>
                <w:b w:val="0"/>
                <w:bCs w:val="0"/>
                <w:sz w:val="18"/>
                <w:szCs w:val="18"/>
              </w:rPr>
              <w:instrText xml:space="preserve"> SEQ Figure \* ARABIC </w:instrText>
            </w:r>
            <w:r w:rsidRPr="00C462A0">
              <w:rPr>
                <w:rFonts w:cstheme="minorHAnsi"/>
                <w:b w:val="0"/>
                <w:bCs w:val="0"/>
                <w:sz w:val="18"/>
                <w:szCs w:val="18"/>
              </w:rPr>
              <w:fldChar w:fldCharType="separate"/>
            </w:r>
            <w:r w:rsidRPr="00C462A0">
              <w:rPr>
                <w:rFonts w:cstheme="minorHAnsi"/>
                <w:b w:val="0"/>
                <w:bCs w:val="0"/>
                <w:sz w:val="18"/>
                <w:szCs w:val="18"/>
              </w:rPr>
              <w:t>21</w:t>
            </w:r>
            <w:r w:rsidRPr="00C462A0">
              <w:rPr>
                <w:rFonts w:cstheme="minorHAnsi"/>
                <w:b w:val="0"/>
                <w:bCs w:val="0"/>
                <w:sz w:val="18"/>
                <w:szCs w:val="18"/>
              </w:rPr>
              <w:fldChar w:fldCharType="end"/>
            </w:r>
            <w:r w:rsidR="006B0DE2" w:rsidRPr="00C462A0">
              <w:rPr>
                <w:rFonts w:cstheme="minorHAnsi"/>
                <w:b w:val="0"/>
                <w:bCs w:val="0"/>
                <w:sz w:val="18"/>
                <w:szCs w:val="18"/>
              </w:rPr>
              <w:t>.</w:t>
            </w:r>
            <w:r w:rsidRPr="00C462A0">
              <w:rPr>
                <w:rFonts w:cstheme="minorHAnsi"/>
                <w:b w:val="0"/>
                <w:bCs w:val="0"/>
                <w:sz w:val="18"/>
                <w:szCs w:val="18"/>
              </w:rPr>
              <w:t xml:space="preserve"> Access control workflow showing identification, authentication, authorization, and decision steps, supported by logging and continuous monitoring</w:t>
            </w:r>
            <w:r w:rsidR="006B0DE2" w:rsidRPr="00C462A0">
              <w:rPr>
                <w:rFonts w:cstheme="minorHAnsi"/>
                <w:b w:val="0"/>
                <w:bCs w:val="0"/>
                <w:sz w:val="18"/>
                <w:szCs w:val="18"/>
              </w:rPr>
              <w:t xml:space="preserve"> (</w:t>
            </w:r>
            <w:r w:rsidR="0031451E" w:rsidRPr="00C462A0">
              <w:rPr>
                <w:rFonts w:cstheme="minorHAnsi"/>
                <w:b w:val="0"/>
                <w:bCs w:val="0"/>
                <w:sz w:val="18"/>
                <w:szCs w:val="18"/>
              </w:rPr>
              <w:t>source:</w:t>
            </w:r>
            <w:r w:rsidR="006B0DE2" w:rsidRPr="00C462A0">
              <w:rPr>
                <w:rFonts w:cstheme="minorHAnsi"/>
                <w:b w:val="0"/>
                <w:bCs w:val="0"/>
                <w:sz w:val="18"/>
                <w:szCs w:val="18"/>
              </w:rPr>
              <w:t xml:space="preserve"> Author)</w:t>
            </w:r>
            <w:bookmarkEnd w:id="46"/>
          </w:p>
          <w:p w14:paraId="0360E333" w14:textId="77777777" w:rsidR="00954ED6" w:rsidRDefault="00954ED6" w:rsidP="00954ED6">
            <w:pPr>
              <w:jc w:val="both"/>
              <w:rPr>
                <w:rFonts w:cstheme="minorHAnsi"/>
                <w:szCs w:val="20"/>
              </w:rPr>
            </w:pPr>
          </w:p>
          <w:p w14:paraId="53D91D38" w14:textId="77777777" w:rsidR="00C462A0" w:rsidRDefault="00C462A0" w:rsidP="00954ED6">
            <w:pPr>
              <w:jc w:val="both"/>
              <w:rPr>
                <w:rFonts w:cstheme="minorHAnsi"/>
                <w:szCs w:val="20"/>
              </w:rPr>
            </w:pPr>
          </w:p>
          <w:p w14:paraId="38C5FE6F" w14:textId="7F8E508D" w:rsidR="0031451E" w:rsidRPr="0031451E" w:rsidRDefault="0031451E" w:rsidP="0031451E">
            <w:pPr>
              <w:jc w:val="both"/>
              <w:rPr>
                <w:rFonts w:cstheme="minorHAnsi"/>
                <w:i/>
                <w:iCs/>
                <w:sz w:val="18"/>
                <w:szCs w:val="18"/>
              </w:rPr>
            </w:pPr>
            <w:r w:rsidRPr="0031451E">
              <w:rPr>
                <w:rFonts w:cstheme="minorHAnsi"/>
                <w:i/>
                <w:iCs/>
                <w:sz w:val="18"/>
                <w:szCs w:val="18"/>
              </w:rPr>
              <w:lastRenderedPageBreak/>
              <w:t>Th</w:t>
            </w:r>
            <w:r>
              <w:rPr>
                <w:rFonts w:cstheme="minorHAnsi"/>
                <w:i/>
                <w:iCs/>
                <w:sz w:val="18"/>
                <w:szCs w:val="18"/>
              </w:rPr>
              <w:t>e</w:t>
            </w:r>
            <w:r w:rsidRPr="0031451E">
              <w:rPr>
                <w:rFonts w:cstheme="minorHAnsi"/>
                <w:i/>
                <w:iCs/>
                <w:sz w:val="18"/>
                <w:szCs w:val="18"/>
              </w:rPr>
              <w:t xml:space="preserve"> diagram</w:t>
            </w:r>
            <w:r>
              <w:rPr>
                <w:rFonts w:cstheme="minorHAnsi"/>
                <w:i/>
                <w:iCs/>
                <w:sz w:val="18"/>
                <w:szCs w:val="18"/>
              </w:rPr>
              <w:t xml:space="preserve"> above</w:t>
            </w:r>
            <w:r w:rsidRPr="0031451E">
              <w:rPr>
                <w:rFonts w:cstheme="minorHAnsi"/>
                <w:i/>
                <w:iCs/>
                <w:sz w:val="18"/>
                <w:szCs w:val="18"/>
              </w:rPr>
              <w:t xml:space="preserve"> illustrates the Access Control Process, a security mechanism used to regulate who can access specific resources, systems, or data. </w:t>
            </w:r>
          </w:p>
          <w:p w14:paraId="1EBEA9AA" w14:textId="77777777" w:rsidR="0031451E" w:rsidRPr="0031451E" w:rsidRDefault="0031451E" w:rsidP="0031451E">
            <w:pPr>
              <w:pStyle w:val="ListParagraph"/>
              <w:numPr>
                <w:ilvl w:val="0"/>
                <w:numId w:val="432"/>
              </w:numPr>
              <w:jc w:val="both"/>
              <w:rPr>
                <w:rFonts w:cstheme="minorHAnsi"/>
                <w:i/>
                <w:iCs/>
                <w:sz w:val="18"/>
                <w:szCs w:val="18"/>
              </w:rPr>
            </w:pPr>
            <w:r w:rsidRPr="0031451E">
              <w:rPr>
                <w:rFonts w:cstheme="minorHAnsi"/>
                <w:i/>
                <w:iCs/>
                <w:sz w:val="18"/>
                <w:szCs w:val="18"/>
              </w:rPr>
              <w:t xml:space="preserve">Identification &amp; Authentication: The process begins by identifying the user (e.g., via an ID card) and verifying their identity (e.g., with a password or biometric data). </w:t>
            </w:r>
          </w:p>
          <w:p w14:paraId="137FA139" w14:textId="77777777" w:rsidR="0031451E" w:rsidRPr="0031451E" w:rsidRDefault="0031451E" w:rsidP="0031451E">
            <w:pPr>
              <w:pStyle w:val="ListParagraph"/>
              <w:numPr>
                <w:ilvl w:val="0"/>
                <w:numId w:val="432"/>
              </w:numPr>
              <w:jc w:val="both"/>
              <w:rPr>
                <w:rFonts w:cstheme="minorHAnsi"/>
                <w:i/>
                <w:iCs/>
                <w:sz w:val="18"/>
                <w:szCs w:val="18"/>
              </w:rPr>
            </w:pPr>
            <w:r w:rsidRPr="0031451E">
              <w:rPr>
                <w:rFonts w:cstheme="minorHAnsi"/>
                <w:i/>
                <w:iCs/>
                <w:sz w:val="18"/>
                <w:szCs w:val="18"/>
              </w:rPr>
              <w:t xml:space="preserve">Authorization: Once authenticated, the system determines the specific permissions or resources the user is allowed to access. </w:t>
            </w:r>
          </w:p>
          <w:p w14:paraId="2258BF9B" w14:textId="77777777" w:rsidR="0031451E" w:rsidRPr="0031451E" w:rsidRDefault="0031451E" w:rsidP="0031451E">
            <w:pPr>
              <w:pStyle w:val="ListParagraph"/>
              <w:numPr>
                <w:ilvl w:val="0"/>
                <w:numId w:val="432"/>
              </w:numPr>
              <w:jc w:val="both"/>
              <w:rPr>
                <w:rFonts w:cstheme="minorHAnsi"/>
                <w:i/>
                <w:iCs/>
                <w:sz w:val="18"/>
                <w:szCs w:val="18"/>
              </w:rPr>
            </w:pPr>
            <w:r w:rsidRPr="0031451E">
              <w:rPr>
                <w:rFonts w:cstheme="minorHAnsi"/>
                <w:i/>
                <w:iCs/>
                <w:sz w:val="18"/>
                <w:szCs w:val="18"/>
              </w:rPr>
              <w:t xml:space="preserve">Access Granted/Denied: Based on authorization, the system permits or restricts entry to the requested resource. </w:t>
            </w:r>
          </w:p>
          <w:p w14:paraId="671E071B" w14:textId="5A7EFB8E" w:rsidR="00C462A0" w:rsidRPr="0031451E" w:rsidRDefault="0031451E" w:rsidP="0031451E">
            <w:pPr>
              <w:pStyle w:val="ListParagraph"/>
              <w:numPr>
                <w:ilvl w:val="0"/>
                <w:numId w:val="432"/>
              </w:numPr>
              <w:jc w:val="both"/>
              <w:rPr>
                <w:rFonts w:cstheme="minorHAnsi"/>
                <w:i/>
                <w:iCs/>
                <w:sz w:val="18"/>
                <w:szCs w:val="18"/>
              </w:rPr>
            </w:pPr>
            <w:r w:rsidRPr="0031451E">
              <w:rPr>
                <w:rFonts w:cstheme="minorHAnsi"/>
                <w:i/>
                <w:iCs/>
                <w:sz w:val="18"/>
                <w:szCs w:val="18"/>
              </w:rPr>
              <w:t>Logging &amp; Monitoring: All access attempts, whether granted or denied, are recorded and monitored to maintain security records and detect suspicious activity.</w:t>
            </w:r>
          </w:p>
          <w:p w14:paraId="1BF7B9EA" w14:textId="77777777" w:rsidR="0031451E" w:rsidRPr="00C462A0" w:rsidRDefault="0031451E" w:rsidP="0031451E">
            <w:pPr>
              <w:jc w:val="both"/>
              <w:rPr>
                <w:rFonts w:cstheme="minorHAnsi"/>
                <w:szCs w:val="20"/>
              </w:rPr>
            </w:pPr>
          </w:p>
          <w:p w14:paraId="36F8DDFD" w14:textId="5D3878CB" w:rsidR="00954ED6" w:rsidRPr="00C462A0" w:rsidRDefault="00954ED6" w:rsidP="006B0DE2">
            <w:pPr>
              <w:pStyle w:val="NormalWeb"/>
              <w:numPr>
                <w:ilvl w:val="0"/>
                <w:numId w:val="357"/>
              </w:numPr>
              <w:spacing w:before="0" w:beforeAutospacing="0" w:after="0" w:afterAutospacing="0"/>
              <w:jc w:val="both"/>
              <w:rPr>
                <w:rFonts w:asciiTheme="minorHAnsi" w:hAnsiTheme="minorHAnsi" w:cstheme="minorHAnsi"/>
                <w:b/>
                <w:bCs/>
                <w:iCs/>
                <w:color w:val="009889" w:themeColor="accent2"/>
                <w:sz w:val="20"/>
                <w:szCs w:val="20"/>
                <w:lang w:val="en-GB"/>
              </w:rPr>
            </w:pPr>
            <w:r w:rsidRPr="00C462A0">
              <w:rPr>
                <w:rFonts w:asciiTheme="minorHAnsi" w:hAnsiTheme="minorHAnsi" w:cstheme="minorHAnsi"/>
                <w:b/>
                <w:bCs/>
                <w:iCs/>
                <w:color w:val="009889" w:themeColor="accent2"/>
                <w:sz w:val="20"/>
                <w:szCs w:val="20"/>
                <w:lang w:val="en-GB"/>
              </w:rPr>
              <w:t>Access Control Models</w:t>
            </w:r>
          </w:p>
          <w:p w14:paraId="0469112D" w14:textId="77777777" w:rsidR="00954ED6" w:rsidRPr="00C462A0" w:rsidRDefault="00954ED6" w:rsidP="00954ED6">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Several conceptual models define how permissions are assigned:</w:t>
            </w:r>
          </w:p>
          <w:p w14:paraId="4DC48BCB" w14:textId="77777777" w:rsidR="00954ED6" w:rsidRPr="00C462A0" w:rsidRDefault="00954ED6" w:rsidP="00954ED6">
            <w:pPr>
              <w:pStyle w:val="NormalWeb"/>
              <w:numPr>
                <w:ilvl w:val="0"/>
                <w:numId w:val="345"/>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
                <w:iCs/>
                <w:sz w:val="20"/>
                <w:szCs w:val="20"/>
                <w:lang w:val="en-GB"/>
              </w:rPr>
              <w:t>Discretionary Access Control (DAC):</w:t>
            </w:r>
            <w:r w:rsidRPr="00C462A0">
              <w:rPr>
                <w:rFonts w:asciiTheme="minorHAnsi" w:hAnsiTheme="minorHAnsi" w:cstheme="minorHAnsi"/>
                <w:bCs/>
                <w:iCs/>
                <w:sz w:val="20"/>
                <w:szCs w:val="20"/>
                <w:lang w:val="en-GB"/>
              </w:rPr>
              <w:t xml:space="preserve"> Access rights are determined by the resource owner.</w:t>
            </w:r>
          </w:p>
          <w:p w14:paraId="0833B72D" w14:textId="77777777" w:rsidR="00954ED6" w:rsidRPr="00C462A0" w:rsidRDefault="00954ED6" w:rsidP="00954ED6">
            <w:pPr>
              <w:pStyle w:val="NormalWeb"/>
              <w:numPr>
                <w:ilvl w:val="0"/>
                <w:numId w:val="345"/>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
                <w:iCs/>
                <w:sz w:val="20"/>
                <w:szCs w:val="20"/>
                <w:lang w:val="en-GB"/>
              </w:rPr>
              <w:t>Mandatory Access Control (MAC):</w:t>
            </w:r>
            <w:r w:rsidRPr="00C462A0">
              <w:rPr>
                <w:rFonts w:asciiTheme="minorHAnsi" w:hAnsiTheme="minorHAnsi" w:cstheme="minorHAnsi"/>
                <w:bCs/>
                <w:iCs/>
                <w:sz w:val="20"/>
                <w:szCs w:val="20"/>
                <w:lang w:val="en-GB"/>
              </w:rPr>
              <w:t xml:space="preserve"> Access is governed by centralised security policies and classification levels.</w:t>
            </w:r>
          </w:p>
          <w:p w14:paraId="4306F750" w14:textId="77777777" w:rsidR="00954ED6" w:rsidRPr="00C462A0" w:rsidRDefault="00954ED6" w:rsidP="00954ED6">
            <w:pPr>
              <w:pStyle w:val="NormalWeb"/>
              <w:numPr>
                <w:ilvl w:val="0"/>
                <w:numId w:val="345"/>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
                <w:iCs/>
                <w:sz w:val="20"/>
                <w:szCs w:val="20"/>
                <w:lang w:val="en-GB"/>
              </w:rPr>
              <w:t>Role-Based Access Control (RBAC):</w:t>
            </w:r>
            <w:r w:rsidRPr="00C462A0">
              <w:rPr>
                <w:rFonts w:asciiTheme="minorHAnsi" w:hAnsiTheme="minorHAnsi" w:cstheme="minorHAnsi"/>
                <w:bCs/>
                <w:iCs/>
                <w:sz w:val="20"/>
                <w:szCs w:val="20"/>
                <w:lang w:val="en-GB"/>
              </w:rPr>
              <w:t xml:space="preserve"> Permissions are assigned according to predefined organisational roles.</w:t>
            </w:r>
          </w:p>
          <w:p w14:paraId="7D4A9A37" w14:textId="77777777" w:rsidR="00954ED6" w:rsidRPr="00C462A0" w:rsidRDefault="00954ED6" w:rsidP="00954ED6">
            <w:pPr>
              <w:pStyle w:val="NormalWeb"/>
              <w:numPr>
                <w:ilvl w:val="0"/>
                <w:numId w:val="345"/>
              </w:numPr>
              <w:spacing w:before="0" w:beforeAutospacing="0" w:after="0" w:afterAutospacing="0"/>
              <w:jc w:val="both"/>
              <w:rPr>
                <w:rFonts w:asciiTheme="minorHAnsi" w:hAnsiTheme="minorHAnsi" w:cstheme="minorHAnsi"/>
                <w:bCs/>
                <w:iCs/>
                <w:sz w:val="20"/>
                <w:szCs w:val="20"/>
                <w:lang w:val="en-GB"/>
              </w:rPr>
            </w:pPr>
            <w:commentRangeStart w:id="47"/>
            <w:r w:rsidRPr="00C462A0">
              <w:rPr>
                <w:rFonts w:asciiTheme="minorHAnsi" w:hAnsiTheme="minorHAnsi" w:cstheme="minorHAnsi"/>
                <w:b/>
                <w:iCs/>
                <w:sz w:val="20"/>
                <w:szCs w:val="20"/>
                <w:lang w:val="en-GB"/>
              </w:rPr>
              <w:t>Attribute-Based Access Control (ABAC</w:t>
            </w:r>
            <w:commentRangeEnd w:id="47"/>
            <w:r w:rsidRPr="00C462A0">
              <w:rPr>
                <w:rStyle w:val="CommentReference"/>
                <w:rFonts w:asciiTheme="minorHAnsi" w:hAnsiTheme="minorHAnsi" w:cstheme="minorHAnsi"/>
                <w:b/>
                <w:iCs/>
                <w:sz w:val="20"/>
                <w:szCs w:val="20"/>
                <w:lang w:val="en-GB"/>
              </w:rPr>
              <w:commentReference w:id="47"/>
            </w:r>
            <w:r w:rsidRPr="00C462A0">
              <w:rPr>
                <w:rFonts w:asciiTheme="minorHAnsi" w:hAnsiTheme="minorHAnsi" w:cstheme="minorHAnsi"/>
                <w:b/>
                <w:iCs/>
                <w:sz w:val="20"/>
                <w:szCs w:val="20"/>
                <w:lang w:val="en-GB"/>
              </w:rPr>
              <w:t>):</w:t>
            </w:r>
            <w:r w:rsidRPr="00C462A0">
              <w:rPr>
                <w:rFonts w:asciiTheme="minorHAnsi" w:hAnsiTheme="minorHAnsi" w:cstheme="minorHAnsi"/>
                <w:bCs/>
                <w:iCs/>
                <w:sz w:val="20"/>
                <w:szCs w:val="20"/>
                <w:lang w:val="en-GB"/>
              </w:rPr>
              <w:t xml:space="preserve"> Access decisions are based on attributes such as user characteristics, contextual factors, or environmental conditions.</w:t>
            </w:r>
          </w:p>
          <w:p w14:paraId="320B2E3C" w14:textId="77777777" w:rsidR="00954ED6" w:rsidRPr="00C462A0" w:rsidRDefault="00954ED6" w:rsidP="00954ED6">
            <w:pPr>
              <w:pStyle w:val="NormalWeb"/>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bCs/>
                <w:iCs/>
                <w:sz w:val="20"/>
                <w:szCs w:val="20"/>
                <w:lang w:val="en-GB"/>
              </w:rPr>
              <w:t>These access control models are commonly implemented and managed through Identity and Access Management systems (IAM), which provide the infrastructure for managing digital identities, authentication processes, and the enforcement of access policies across information systems.In ESG platforms and energy systems, RBAC is often implemented to align permissions with organisational roles, such as ESG analyst, system administrator, or compliance officer. In more complex IoT and smart grid environments, ABAC may be necessary to incorporate contextual factors such as location or device trust levels.</w:t>
            </w:r>
          </w:p>
          <w:p w14:paraId="71F9902E" w14:textId="77777777" w:rsidR="00954ED6" w:rsidRPr="00C462A0" w:rsidRDefault="00954ED6" w:rsidP="00954ED6">
            <w:pPr>
              <w:pStyle w:val="NormalWeb"/>
              <w:spacing w:before="0" w:beforeAutospacing="0" w:after="0" w:afterAutospacing="0"/>
              <w:jc w:val="both"/>
              <w:rPr>
                <w:rFonts w:asciiTheme="minorHAnsi" w:hAnsiTheme="minorHAnsi" w:cstheme="minorHAnsi"/>
                <w:bCs/>
                <w:iCs/>
                <w:sz w:val="20"/>
                <w:szCs w:val="20"/>
                <w:lang w:val="en-GB"/>
              </w:rPr>
            </w:pPr>
          </w:p>
          <w:p w14:paraId="0E1D337E" w14:textId="77777777" w:rsidR="00954ED6" w:rsidRPr="00C462A0" w:rsidRDefault="00954ED6" w:rsidP="006B0DE2">
            <w:pPr>
              <w:pStyle w:val="NormalWeb"/>
              <w:numPr>
                <w:ilvl w:val="0"/>
                <w:numId w:val="357"/>
              </w:numPr>
              <w:spacing w:before="0" w:beforeAutospacing="0" w:after="0" w:afterAutospacing="0"/>
              <w:jc w:val="both"/>
              <w:rPr>
                <w:rFonts w:asciiTheme="minorHAnsi" w:hAnsiTheme="minorHAnsi" w:cstheme="minorHAnsi"/>
                <w:b/>
                <w:bCs/>
                <w:iCs/>
                <w:color w:val="009889" w:themeColor="accent2"/>
                <w:sz w:val="20"/>
                <w:szCs w:val="20"/>
                <w:lang w:val="en-GB"/>
              </w:rPr>
            </w:pPr>
            <w:r w:rsidRPr="00C462A0">
              <w:rPr>
                <w:rFonts w:asciiTheme="minorHAnsi" w:hAnsiTheme="minorHAnsi" w:cstheme="minorHAnsi"/>
                <w:b/>
                <w:iCs/>
                <w:color w:val="009889" w:themeColor="accent2"/>
                <w:sz w:val="20"/>
                <w:szCs w:val="20"/>
                <w:lang w:val="en-GB"/>
              </w:rPr>
              <w:t>Principle of Least Privilege and Separation of</w:t>
            </w:r>
            <w:r w:rsidRPr="00C462A0">
              <w:rPr>
                <w:rFonts w:asciiTheme="minorHAnsi" w:hAnsiTheme="minorHAnsi" w:cstheme="minorHAnsi"/>
                <w:b/>
                <w:bCs/>
                <w:iCs/>
                <w:color w:val="009889" w:themeColor="accent2"/>
                <w:sz w:val="20"/>
                <w:szCs w:val="20"/>
                <w:lang w:val="en-GB"/>
              </w:rPr>
              <w:t xml:space="preserve"> Duties</w:t>
            </w:r>
          </w:p>
          <w:p w14:paraId="114D2924" w14:textId="77777777" w:rsidR="00954ED6" w:rsidRPr="00C462A0" w:rsidRDefault="00954ED6" w:rsidP="00954ED6">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Two core governance principles support secure access management:</w:t>
            </w:r>
          </w:p>
          <w:p w14:paraId="582FFEAD" w14:textId="77777777" w:rsidR="00954ED6" w:rsidRPr="00C462A0" w:rsidRDefault="00954ED6" w:rsidP="00954ED6">
            <w:pPr>
              <w:pStyle w:val="NormalWeb"/>
              <w:numPr>
                <w:ilvl w:val="0"/>
                <w:numId w:val="346"/>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Least Privilege: Users are granted only the minimum level of access required to perform their responsibilities.</w:t>
            </w:r>
          </w:p>
          <w:p w14:paraId="444A2051" w14:textId="77777777" w:rsidR="00954ED6" w:rsidRPr="00C462A0" w:rsidRDefault="00954ED6" w:rsidP="00954ED6">
            <w:pPr>
              <w:pStyle w:val="NormalWeb"/>
              <w:numPr>
                <w:ilvl w:val="0"/>
                <w:numId w:val="346"/>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Separation of Duties: Critical tasks are distributed among multiple individuals to reduce the risk of misuse or fraud.</w:t>
            </w:r>
          </w:p>
          <w:p w14:paraId="6AC6ABB9" w14:textId="77777777" w:rsidR="00954ED6" w:rsidRPr="00C462A0" w:rsidRDefault="00954ED6" w:rsidP="00954ED6">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These principles are especially relevant in ESG reporting contexts, where unauthorised modification of sustainability metrics could trigger regulatory consequences.</w:t>
            </w:r>
          </w:p>
          <w:p w14:paraId="62B6D26A" w14:textId="77777777" w:rsidR="00954ED6" w:rsidRPr="00C462A0" w:rsidRDefault="00954ED6" w:rsidP="00954ED6">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The International Organisation for Standardisation ISO/IEC 27001 underscores the importance of structured access control policies within information security management systems.</w:t>
            </w:r>
          </w:p>
          <w:p w14:paraId="1AB3103D" w14:textId="77777777" w:rsidR="00954ED6" w:rsidRPr="00C462A0" w:rsidRDefault="00954ED6" w:rsidP="00954ED6">
            <w:pPr>
              <w:pStyle w:val="NormalWeb"/>
              <w:spacing w:before="0" w:beforeAutospacing="0" w:after="0" w:afterAutospacing="0"/>
              <w:jc w:val="both"/>
              <w:rPr>
                <w:rFonts w:asciiTheme="minorHAnsi" w:hAnsiTheme="minorHAnsi" w:cstheme="minorHAnsi"/>
                <w:bCs/>
                <w:iCs/>
                <w:sz w:val="20"/>
                <w:szCs w:val="20"/>
                <w:lang w:val="en-GB"/>
              </w:rPr>
            </w:pPr>
          </w:p>
          <w:p w14:paraId="6282C4EE" w14:textId="77777777" w:rsidR="00954ED6" w:rsidRPr="00C462A0" w:rsidRDefault="00954ED6" w:rsidP="006B0DE2">
            <w:pPr>
              <w:pStyle w:val="NormalWeb"/>
              <w:numPr>
                <w:ilvl w:val="0"/>
                <w:numId w:val="357"/>
              </w:numPr>
              <w:spacing w:before="0" w:beforeAutospacing="0" w:after="0" w:afterAutospacing="0"/>
              <w:jc w:val="both"/>
              <w:rPr>
                <w:rFonts w:asciiTheme="minorHAnsi" w:hAnsiTheme="minorHAnsi" w:cstheme="minorHAnsi"/>
                <w:b/>
                <w:bCs/>
                <w:iCs/>
                <w:color w:val="009889" w:themeColor="accent2"/>
                <w:sz w:val="20"/>
                <w:szCs w:val="20"/>
                <w:lang w:val="en-GB"/>
              </w:rPr>
            </w:pPr>
            <w:r w:rsidRPr="00C462A0">
              <w:rPr>
                <w:rFonts w:asciiTheme="minorHAnsi" w:hAnsiTheme="minorHAnsi" w:cstheme="minorHAnsi"/>
                <w:b/>
                <w:bCs/>
                <w:iCs/>
                <w:color w:val="009889" w:themeColor="accent2"/>
                <w:sz w:val="20"/>
                <w:szCs w:val="20"/>
                <w:lang w:val="en-GB"/>
              </w:rPr>
              <w:t>Access Controls in Sustainable Infrastructure</w:t>
            </w:r>
          </w:p>
          <w:p w14:paraId="4DC9D752" w14:textId="77777777" w:rsidR="00954ED6" w:rsidRPr="00C462A0" w:rsidRDefault="00954ED6" w:rsidP="00954ED6">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Within sustainable systems, access control must account for diverse operational environments:</w:t>
            </w:r>
          </w:p>
          <w:p w14:paraId="53563E1A" w14:textId="77777777" w:rsidR="00954ED6" w:rsidRPr="00C462A0" w:rsidRDefault="00954ED6" w:rsidP="00954ED6">
            <w:pPr>
              <w:pStyle w:val="NormalWeb"/>
              <w:numPr>
                <w:ilvl w:val="0"/>
                <w:numId w:val="347"/>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Energy Management Systems (EMS): Limit administrative access to control functions.</w:t>
            </w:r>
          </w:p>
          <w:p w14:paraId="2E995911" w14:textId="77777777" w:rsidR="00954ED6" w:rsidRPr="00C462A0" w:rsidRDefault="00954ED6" w:rsidP="00954ED6">
            <w:pPr>
              <w:pStyle w:val="NormalWeb"/>
              <w:numPr>
                <w:ilvl w:val="0"/>
                <w:numId w:val="347"/>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IoT Sensor Networks: Require device authentication before permitting data transmission.</w:t>
            </w:r>
          </w:p>
          <w:p w14:paraId="4BFAB10D" w14:textId="77777777" w:rsidR="00954ED6" w:rsidRPr="00C462A0" w:rsidRDefault="00954ED6" w:rsidP="00954ED6">
            <w:pPr>
              <w:pStyle w:val="NormalWeb"/>
              <w:numPr>
                <w:ilvl w:val="0"/>
                <w:numId w:val="347"/>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Smart Grids: Separate operational roles between substations and control centres.</w:t>
            </w:r>
          </w:p>
          <w:p w14:paraId="6B670B53" w14:textId="77777777" w:rsidR="00954ED6" w:rsidRPr="00C462A0" w:rsidRDefault="00954ED6" w:rsidP="00954ED6">
            <w:pPr>
              <w:pStyle w:val="NormalWeb"/>
              <w:numPr>
                <w:ilvl w:val="0"/>
                <w:numId w:val="347"/>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ESG Platforms: Apply granular permissions to data editing and report publication.</w:t>
            </w:r>
          </w:p>
          <w:p w14:paraId="6B2A538E" w14:textId="77777777" w:rsidR="00954ED6" w:rsidRPr="00C462A0" w:rsidRDefault="00954ED6" w:rsidP="00954ED6">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Weak access management can lead to:</w:t>
            </w:r>
          </w:p>
          <w:p w14:paraId="51D457B6" w14:textId="77777777" w:rsidR="00954ED6" w:rsidRPr="00C462A0" w:rsidRDefault="00954ED6" w:rsidP="00954ED6">
            <w:pPr>
              <w:pStyle w:val="NormalWeb"/>
              <w:numPr>
                <w:ilvl w:val="0"/>
                <w:numId w:val="348"/>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Unauthorised data manipulation.</w:t>
            </w:r>
          </w:p>
          <w:p w14:paraId="5A35B4F6" w14:textId="77777777" w:rsidR="00954ED6" w:rsidRPr="00C462A0" w:rsidRDefault="00954ED6" w:rsidP="00954ED6">
            <w:pPr>
              <w:pStyle w:val="NormalWeb"/>
              <w:numPr>
                <w:ilvl w:val="0"/>
                <w:numId w:val="348"/>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lastRenderedPageBreak/>
              <w:t>Operational disruption.</w:t>
            </w:r>
          </w:p>
          <w:p w14:paraId="596C2505" w14:textId="77777777" w:rsidR="00954ED6" w:rsidRPr="00C462A0" w:rsidRDefault="00954ED6" w:rsidP="00954ED6">
            <w:pPr>
              <w:pStyle w:val="NormalWeb"/>
              <w:numPr>
                <w:ilvl w:val="0"/>
                <w:numId w:val="348"/>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Regulatory non-compliance.</w:t>
            </w:r>
          </w:p>
          <w:p w14:paraId="24D520FC" w14:textId="77777777" w:rsidR="00954ED6" w:rsidRPr="00C462A0" w:rsidRDefault="00954ED6" w:rsidP="00954ED6">
            <w:pPr>
              <w:pStyle w:val="NormalWeb"/>
              <w:numPr>
                <w:ilvl w:val="0"/>
                <w:numId w:val="348"/>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Reputational damage.</w:t>
            </w:r>
          </w:p>
          <w:p w14:paraId="1F5F3A2B" w14:textId="77777777" w:rsidR="00954ED6" w:rsidRPr="00C462A0" w:rsidRDefault="00954ED6" w:rsidP="00954ED6">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For this reason, access control connects technical safeguards with governance and compliance frameworks.</w:t>
            </w:r>
          </w:p>
          <w:p w14:paraId="23473633" w14:textId="77777777" w:rsidR="00954ED6" w:rsidRPr="00C462A0" w:rsidRDefault="00954ED6" w:rsidP="00954ED6">
            <w:pPr>
              <w:pStyle w:val="NormalWeb"/>
              <w:keepNext/>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noProof/>
                <w:sz w:val="20"/>
                <w:szCs w:val="20"/>
                <w:lang w:val="en-GB"/>
              </w:rPr>
              <w:drawing>
                <wp:inline distT="0" distB="0" distL="0" distR="0" wp14:anchorId="360AF52B" wp14:editId="18CB1CDB">
                  <wp:extent cx="5962650" cy="3371714"/>
                  <wp:effectExtent l="0" t="0" r="0" b="635"/>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87"/>
                          <a:srcRect t="5338" b="9823"/>
                          <a:stretch/>
                        </pic:blipFill>
                        <pic:spPr bwMode="auto">
                          <a:xfrm>
                            <a:off x="0" y="0"/>
                            <a:ext cx="5979716" cy="3381364"/>
                          </a:xfrm>
                          <a:prstGeom prst="rect">
                            <a:avLst/>
                          </a:prstGeom>
                          <a:noFill/>
                          <a:ln>
                            <a:noFill/>
                          </a:ln>
                        </pic:spPr>
                      </pic:pic>
                    </a:graphicData>
                  </a:graphic>
                </wp:inline>
              </w:drawing>
            </w:r>
          </w:p>
          <w:p w14:paraId="7DF70D4D" w14:textId="6C19E1EB" w:rsidR="00954ED6" w:rsidRPr="00C462A0" w:rsidRDefault="00954ED6" w:rsidP="006B0DE2">
            <w:pPr>
              <w:pStyle w:val="Caption"/>
              <w:jc w:val="center"/>
              <w:rPr>
                <w:rFonts w:cstheme="minorHAnsi"/>
                <w:b w:val="0"/>
                <w:bCs w:val="0"/>
                <w:iCs/>
                <w:sz w:val="18"/>
                <w:szCs w:val="18"/>
              </w:rPr>
            </w:pPr>
            <w:bookmarkStart w:id="48" w:name="_Toc227623459"/>
            <w:r w:rsidRPr="00C462A0">
              <w:rPr>
                <w:rFonts w:cstheme="minorHAnsi"/>
                <w:b w:val="0"/>
                <w:bCs w:val="0"/>
                <w:sz w:val="18"/>
                <w:szCs w:val="18"/>
              </w:rPr>
              <w:t xml:space="preserve">Figure </w:t>
            </w:r>
            <w:r w:rsidRPr="00C462A0">
              <w:rPr>
                <w:rFonts w:cstheme="minorHAnsi"/>
                <w:b w:val="0"/>
                <w:bCs w:val="0"/>
                <w:sz w:val="18"/>
                <w:szCs w:val="18"/>
              </w:rPr>
              <w:fldChar w:fldCharType="begin"/>
            </w:r>
            <w:r w:rsidRPr="00C462A0">
              <w:rPr>
                <w:rFonts w:cstheme="minorHAnsi"/>
                <w:b w:val="0"/>
                <w:bCs w:val="0"/>
                <w:sz w:val="18"/>
                <w:szCs w:val="18"/>
              </w:rPr>
              <w:instrText xml:space="preserve"> SEQ Figure \* ARABIC </w:instrText>
            </w:r>
            <w:r w:rsidRPr="00C462A0">
              <w:rPr>
                <w:rFonts w:cstheme="minorHAnsi"/>
                <w:b w:val="0"/>
                <w:bCs w:val="0"/>
                <w:sz w:val="18"/>
                <w:szCs w:val="18"/>
              </w:rPr>
              <w:fldChar w:fldCharType="separate"/>
            </w:r>
            <w:r w:rsidRPr="00C462A0">
              <w:rPr>
                <w:rFonts w:cstheme="minorHAnsi"/>
                <w:b w:val="0"/>
                <w:bCs w:val="0"/>
                <w:sz w:val="18"/>
                <w:szCs w:val="18"/>
              </w:rPr>
              <w:t>22</w:t>
            </w:r>
            <w:r w:rsidRPr="00C462A0">
              <w:rPr>
                <w:rFonts w:cstheme="minorHAnsi"/>
                <w:b w:val="0"/>
                <w:bCs w:val="0"/>
                <w:sz w:val="18"/>
                <w:szCs w:val="18"/>
              </w:rPr>
              <w:fldChar w:fldCharType="end"/>
            </w:r>
            <w:r w:rsidR="006B0DE2" w:rsidRPr="00C462A0">
              <w:rPr>
                <w:rFonts w:cstheme="minorHAnsi"/>
                <w:b w:val="0"/>
                <w:bCs w:val="0"/>
                <w:sz w:val="18"/>
                <w:szCs w:val="18"/>
              </w:rPr>
              <w:t>.</w:t>
            </w:r>
            <w:r w:rsidRPr="00C462A0">
              <w:rPr>
                <w:rFonts w:cstheme="minorHAnsi"/>
                <w:b w:val="0"/>
                <w:bCs w:val="0"/>
                <w:sz w:val="18"/>
                <w:szCs w:val="18"/>
              </w:rPr>
              <w:t xml:space="preserve"> Access Control Mechanisms across infrastructure domains</w:t>
            </w:r>
            <w:r w:rsidR="006B0DE2" w:rsidRPr="00C462A0">
              <w:rPr>
                <w:rFonts w:cstheme="minorHAnsi"/>
                <w:b w:val="0"/>
                <w:bCs w:val="0"/>
                <w:sz w:val="18"/>
                <w:szCs w:val="18"/>
              </w:rPr>
              <w:t xml:space="preserve"> (source: Author)</w:t>
            </w:r>
            <w:bookmarkEnd w:id="48"/>
          </w:p>
          <w:p w14:paraId="09C64DD2" w14:textId="77777777" w:rsidR="00954ED6" w:rsidRDefault="00954ED6" w:rsidP="00954ED6">
            <w:pPr>
              <w:pStyle w:val="NormalWeb"/>
              <w:spacing w:before="0" w:beforeAutospacing="0" w:after="0" w:afterAutospacing="0"/>
              <w:jc w:val="both"/>
              <w:rPr>
                <w:rFonts w:asciiTheme="minorHAnsi" w:hAnsiTheme="minorHAnsi" w:cstheme="minorHAnsi"/>
                <w:bCs/>
                <w:iCs/>
                <w:sz w:val="20"/>
                <w:szCs w:val="20"/>
                <w:lang w:val="en-GB"/>
              </w:rPr>
            </w:pPr>
          </w:p>
          <w:p w14:paraId="5EB0633A" w14:textId="1590E4A2" w:rsidR="0031451E" w:rsidRPr="0031451E" w:rsidRDefault="0031451E" w:rsidP="0031451E">
            <w:pPr>
              <w:jc w:val="both"/>
              <w:rPr>
                <w:i/>
                <w:iCs/>
                <w:sz w:val="18"/>
                <w:szCs w:val="20"/>
              </w:rPr>
            </w:pPr>
            <w:r w:rsidRPr="0031451E">
              <w:rPr>
                <w:i/>
                <w:iCs/>
                <w:sz w:val="18"/>
                <w:szCs w:val="20"/>
              </w:rPr>
              <w:t>The image</w:t>
            </w:r>
            <w:r w:rsidRPr="0031451E">
              <w:rPr>
                <w:i/>
                <w:iCs/>
                <w:sz w:val="18"/>
                <w:szCs w:val="20"/>
              </w:rPr>
              <w:t xml:space="preserve"> above</w:t>
            </w:r>
            <w:r w:rsidRPr="0031451E">
              <w:rPr>
                <w:i/>
                <w:iCs/>
                <w:sz w:val="18"/>
                <w:szCs w:val="20"/>
              </w:rPr>
              <w:t xml:space="preserve"> is a chart titled "Access Control Mechanisms Across Infrastructure Domains," outlining various security measures used in different technological systems.</w:t>
            </w:r>
          </w:p>
          <w:p w14:paraId="2FDB9E02" w14:textId="77777777" w:rsidR="0031451E" w:rsidRPr="0031451E" w:rsidRDefault="0031451E" w:rsidP="0031451E">
            <w:pPr>
              <w:jc w:val="both"/>
              <w:rPr>
                <w:i/>
                <w:iCs/>
                <w:sz w:val="18"/>
                <w:szCs w:val="20"/>
              </w:rPr>
            </w:pPr>
            <w:r w:rsidRPr="0031451E">
              <w:rPr>
                <w:i/>
                <w:iCs/>
                <w:sz w:val="18"/>
                <w:szCs w:val="20"/>
              </w:rPr>
              <w:t>Identified Domains: The chart compares security mechanisms across four key domains: Energy Management Systems (EMS), IoT Sensors, Smart Grids, and ESG Platforms.</w:t>
            </w:r>
          </w:p>
          <w:p w14:paraId="174988D2" w14:textId="77777777" w:rsidR="0031451E" w:rsidRPr="0031451E" w:rsidRDefault="0031451E" w:rsidP="0031451E">
            <w:pPr>
              <w:jc w:val="both"/>
              <w:rPr>
                <w:i/>
                <w:iCs/>
                <w:sz w:val="18"/>
                <w:szCs w:val="20"/>
              </w:rPr>
            </w:pPr>
            <w:r w:rsidRPr="0031451E">
              <w:rPr>
                <w:i/>
                <w:iCs/>
                <w:sz w:val="18"/>
                <w:szCs w:val="20"/>
              </w:rPr>
              <w:t>Security Pillars: It lists specific implementations for four fundamental security pillars within these domains: Identification, Authentication, Authorisation, and Least Privilege.</w:t>
            </w:r>
          </w:p>
          <w:p w14:paraId="111E6C7A" w14:textId="7B12AED0" w:rsidR="0031451E" w:rsidRPr="0031451E" w:rsidRDefault="0031451E" w:rsidP="0031451E">
            <w:pPr>
              <w:jc w:val="both"/>
              <w:rPr>
                <w:i/>
                <w:iCs/>
                <w:sz w:val="18"/>
                <w:szCs w:val="20"/>
              </w:rPr>
            </w:pPr>
            <w:r w:rsidRPr="0031451E">
              <w:rPr>
                <w:i/>
                <w:iCs/>
                <w:sz w:val="18"/>
                <w:szCs w:val="20"/>
              </w:rPr>
              <w:t>Access Control Methods: Specific methods mentioned include Role-Based Access Control (RBAC), Multi-Factor Authentication, Access Control Lists (ACLs), Public Key Infrastructure (PKI), and Encryption.</w:t>
            </w:r>
          </w:p>
          <w:p w14:paraId="089B26CE" w14:textId="77777777" w:rsidR="0031451E" w:rsidRPr="00C462A0" w:rsidRDefault="0031451E" w:rsidP="00954ED6">
            <w:pPr>
              <w:pStyle w:val="NormalWeb"/>
              <w:spacing w:before="0" w:beforeAutospacing="0" w:after="0" w:afterAutospacing="0"/>
              <w:jc w:val="both"/>
              <w:rPr>
                <w:rFonts w:asciiTheme="minorHAnsi" w:hAnsiTheme="minorHAnsi" w:cstheme="minorHAnsi"/>
                <w:bCs/>
                <w:iCs/>
                <w:sz w:val="20"/>
                <w:szCs w:val="20"/>
                <w:lang w:val="en-GB"/>
              </w:rPr>
            </w:pPr>
          </w:p>
          <w:p w14:paraId="17A414BC" w14:textId="77777777" w:rsidR="00954ED6" w:rsidRPr="00C462A0" w:rsidRDefault="00954ED6" w:rsidP="00954ED6">
            <w:pPr>
              <w:pStyle w:val="NormalWeb"/>
              <w:spacing w:before="0" w:beforeAutospacing="0" w:after="0" w:afterAutospacing="0"/>
              <w:jc w:val="both"/>
              <w:rPr>
                <w:rFonts w:asciiTheme="minorHAnsi" w:hAnsiTheme="minorHAnsi" w:cstheme="minorHAnsi"/>
                <w:b/>
                <w:color w:val="00AC4E" w:themeColor="accent1"/>
                <w:sz w:val="20"/>
                <w:szCs w:val="20"/>
                <w:u w:val="single"/>
                <w:lang w:val="en-GB"/>
              </w:rPr>
            </w:pPr>
            <w:r w:rsidRPr="00C462A0">
              <w:rPr>
                <w:rFonts w:asciiTheme="minorHAnsi" w:hAnsiTheme="minorHAnsi" w:cstheme="minorHAnsi"/>
                <w:b/>
                <w:bCs/>
                <w:color w:val="00AC4E" w:themeColor="accent1"/>
                <w:sz w:val="20"/>
                <w:szCs w:val="20"/>
                <w:u w:val="single"/>
                <w:lang w:val="en-GB"/>
              </w:rPr>
              <w:t>Micro-activity</w:t>
            </w:r>
            <w:r w:rsidRPr="00C462A0">
              <w:rPr>
                <w:rFonts w:asciiTheme="minorHAnsi" w:hAnsiTheme="minorHAnsi" w:cstheme="minorHAnsi"/>
                <w:b/>
                <w:color w:val="00AC4E" w:themeColor="accent1"/>
                <w:sz w:val="20"/>
                <w:szCs w:val="20"/>
                <w:u w:val="single"/>
                <w:lang w:val="en-GB"/>
              </w:rPr>
              <w:t>:</w:t>
            </w:r>
          </w:p>
          <w:p w14:paraId="0CBC208E" w14:textId="77777777" w:rsidR="00954ED6" w:rsidRPr="00C462A0" w:rsidRDefault="00954ED6" w:rsidP="00954ED6">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Consider a cloud-based ESG reporting platform integrated with IoT energy sensors and a smart grid control interface.</w:t>
            </w:r>
          </w:p>
          <w:p w14:paraId="28399A2A" w14:textId="3E338622" w:rsidR="00954ED6" w:rsidRPr="00C462A0" w:rsidRDefault="006B0DE2" w:rsidP="00954ED6">
            <w:pPr>
              <w:pStyle w:val="NormalWeb"/>
              <w:spacing w:before="0" w:beforeAutospacing="0" w:after="0" w:afterAutospacing="0"/>
              <w:jc w:val="both"/>
              <w:rPr>
                <w:rFonts w:asciiTheme="minorHAnsi" w:hAnsiTheme="minorHAnsi" w:cstheme="minorHAnsi"/>
                <w:b/>
                <w:iCs/>
                <w:sz w:val="20"/>
                <w:szCs w:val="20"/>
                <w:lang w:val="en-GB"/>
              </w:rPr>
            </w:pPr>
            <w:r w:rsidRPr="00C462A0">
              <w:rPr>
                <w:rFonts w:asciiTheme="minorHAnsi" w:hAnsiTheme="minorHAnsi" w:cstheme="minorHAnsi"/>
                <w:b/>
                <w:iCs/>
                <w:sz w:val="20"/>
                <w:szCs w:val="20"/>
                <w:lang w:val="en-GB"/>
              </w:rPr>
              <w:t>Learner t</w:t>
            </w:r>
            <w:r w:rsidR="00954ED6" w:rsidRPr="00C462A0">
              <w:rPr>
                <w:rFonts w:asciiTheme="minorHAnsi" w:hAnsiTheme="minorHAnsi" w:cstheme="minorHAnsi"/>
                <w:b/>
                <w:iCs/>
                <w:sz w:val="20"/>
                <w:szCs w:val="20"/>
                <w:lang w:val="en-GB"/>
              </w:rPr>
              <w:t>ask:</w:t>
            </w:r>
          </w:p>
          <w:p w14:paraId="44DC0809" w14:textId="77777777" w:rsidR="00954ED6" w:rsidRPr="00C462A0" w:rsidRDefault="00954ED6" w:rsidP="00954ED6">
            <w:pPr>
              <w:pStyle w:val="NormalWeb"/>
              <w:numPr>
                <w:ilvl w:val="0"/>
                <w:numId w:val="349"/>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Identify two distinct user roles within this environment.</w:t>
            </w:r>
          </w:p>
          <w:p w14:paraId="482D25C0" w14:textId="77777777" w:rsidR="00954ED6" w:rsidRPr="00C462A0" w:rsidRDefault="00954ED6" w:rsidP="00954ED6">
            <w:pPr>
              <w:pStyle w:val="NormalWeb"/>
              <w:numPr>
                <w:ilvl w:val="0"/>
                <w:numId w:val="349"/>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Define the minimum permissions required for each role (least privilege).</w:t>
            </w:r>
          </w:p>
          <w:p w14:paraId="070E007C" w14:textId="77777777" w:rsidR="00954ED6" w:rsidRPr="00C462A0" w:rsidRDefault="00954ED6" w:rsidP="00954ED6">
            <w:pPr>
              <w:pStyle w:val="NormalWeb"/>
              <w:numPr>
                <w:ilvl w:val="0"/>
                <w:numId w:val="349"/>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Identify one risk arising from excessive privileges.</w:t>
            </w:r>
          </w:p>
          <w:p w14:paraId="3F353E55" w14:textId="77777777" w:rsidR="00954ED6" w:rsidRPr="00C462A0" w:rsidRDefault="00954ED6" w:rsidP="00954ED6">
            <w:pPr>
              <w:pStyle w:val="NormalWeb"/>
              <w:numPr>
                <w:ilvl w:val="0"/>
                <w:numId w:val="349"/>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Propose one technical control and one governance control to mitigate that risk.</w:t>
            </w:r>
          </w:p>
          <w:p w14:paraId="241408C4" w14:textId="2FA0FB5B" w:rsidR="0031451E" w:rsidRPr="0031451E" w:rsidRDefault="00954ED6" w:rsidP="0031451E">
            <w:pPr>
              <w:pStyle w:val="NormalWeb"/>
              <w:spacing w:before="0" w:beforeAutospacing="0" w:after="24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Respond in 8–10 structured sentences.</w:t>
            </w:r>
          </w:p>
          <w:p w14:paraId="00C7BAB8" w14:textId="77777777" w:rsidR="00954ED6" w:rsidRPr="00C462A0" w:rsidRDefault="00954ED6" w:rsidP="00954ED6">
            <w:pPr>
              <w:jc w:val="both"/>
              <w:rPr>
                <w:rFonts w:cstheme="minorHAnsi"/>
                <w:szCs w:val="20"/>
              </w:rPr>
            </w:pPr>
            <w:r w:rsidRPr="00C462A0">
              <w:rPr>
                <w:rFonts w:cstheme="minorHAnsi"/>
                <w:b/>
                <w:color w:val="00AC4E" w:themeColor="accent1"/>
                <w:szCs w:val="20"/>
              </w:rPr>
              <w:t xml:space="preserve">Additional reading: </w:t>
            </w:r>
          </w:p>
          <w:p w14:paraId="0952E3DD" w14:textId="2C22881B" w:rsidR="00954ED6" w:rsidRPr="00C462A0" w:rsidRDefault="00954ED6" w:rsidP="00954ED6">
            <w:pPr>
              <w:pStyle w:val="NormalWeb"/>
              <w:numPr>
                <w:ilvl w:val="0"/>
                <w:numId w:val="355"/>
              </w:numPr>
              <w:spacing w:before="40" w:beforeAutospacing="0" w:after="40"/>
              <w:jc w:val="both"/>
              <w:rPr>
                <w:rFonts w:asciiTheme="minorHAnsi" w:hAnsiTheme="minorHAnsi" w:cstheme="minorHAnsi"/>
                <w:color w:val="00AC4E" w:themeColor="accent1"/>
                <w:sz w:val="20"/>
                <w:szCs w:val="20"/>
                <w:lang w:val="en-GB"/>
              </w:rPr>
            </w:pPr>
            <w:hyperlink r:id="rId88" w:history="1">
              <w:r w:rsidRPr="00C462A0">
                <w:rPr>
                  <w:rStyle w:val="Hyperlink"/>
                  <w:rFonts w:asciiTheme="minorHAnsi" w:hAnsiTheme="minorHAnsi" w:cstheme="minorHAnsi"/>
                  <w:bCs/>
                  <w:iCs/>
                  <w:color w:val="00AC4E" w:themeColor="accent1"/>
                  <w:sz w:val="20"/>
                  <w:szCs w:val="20"/>
                  <w:lang w:val="en-GB"/>
                </w:rPr>
                <w:t>NIST SP 800-63 Digital Identity Guidelines</w:t>
              </w:r>
            </w:hyperlink>
          </w:p>
          <w:p w14:paraId="5B290AA2" w14:textId="77777777" w:rsidR="006B0DE2" w:rsidRPr="00C462A0" w:rsidRDefault="00954ED6" w:rsidP="00954ED6">
            <w:pPr>
              <w:pStyle w:val="NormalWeb"/>
              <w:numPr>
                <w:ilvl w:val="0"/>
                <w:numId w:val="355"/>
              </w:numPr>
              <w:spacing w:before="40" w:beforeAutospacing="0" w:after="40"/>
              <w:jc w:val="both"/>
              <w:rPr>
                <w:rFonts w:asciiTheme="minorHAnsi" w:hAnsiTheme="minorHAnsi" w:cstheme="minorHAnsi"/>
                <w:bCs/>
                <w:iCs/>
                <w:color w:val="00AC4E" w:themeColor="accent1"/>
                <w:sz w:val="20"/>
                <w:szCs w:val="20"/>
                <w:lang w:val="en-GB"/>
              </w:rPr>
            </w:pPr>
            <w:hyperlink r:id="rId89" w:history="1">
              <w:r w:rsidRPr="00C462A0">
                <w:rPr>
                  <w:rStyle w:val="Hyperlink"/>
                  <w:rFonts w:asciiTheme="minorHAnsi" w:hAnsiTheme="minorHAnsi" w:cstheme="minorHAnsi"/>
                  <w:bCs/>
                  <w:iCs/>
                  <w:color w:val="00AC4E" w:themeColor="accent1"/>
                  <w:sz w:val="20"/>
                  <w:szCs w:val="20"/>
                  <w:lang w:val="en-GB"/>
                </w:rPr>
                <w:t>ENISA – Good Practices for Security of IoT</w:t>
              </w:r>
            </w:hyperlink>
          </w:p>
          <w:p w14:paraId="271EADEC" w14:textId="6DE234E5" w:rsidR="00954ED6" w:rsidRPr="0031451E" w:rsidRDefault="00954ED6" w:rsidP="0031451E">
            <w:pPr>
              <w:pStyle w:val="NormalWeb"/>
              <w:numPr>
                <w:ilvl w:val="0"/>
                <w:numId w:val="355"/>
              </w:numPr>
              <w:spacing w:before="40" w:beforeAutospacing="0" w:after="40"/>
              <w:jc w:val="both"/>
              <w:rPr>
                <w:rFonts w:asciiTheme="minorHAnsi" w:hAnsiTheme="minorHAnsi" w:cstheme="minorHAnsi"/>
                <w:bCs/>
                <w:iCs/>
                <w:color w:val="00AC4E" w:themeColor="accent1"/>
                <w:sz w:val="20"/>
                <w:szCs w:val="20"/>
                <w:lang w:val="en-GB"/>
              </w:rPr>
            </w:pPr>
            <w:hyperlink r:id="rId90" w:history="1">
              <w:r w:rsidRPr="00C462A0">
                <w:rPr>
                  <w:rStyle w:val="Hyperlink"/>
                  <w:rFonts w:asciiTheme="minorHAnsi" w:hAnsiTheme="minorHAnsi" w:cstheme="minorHAnsi"/>
                  <w:bCs/>
                  <w:iCs/>
                  <w:color w:val="00AC4E" w:themeColor="accent1"/>
                  <w:sz w:val="20"/>
                  <w:szCs w:val="20"/>
                  <w:lang w:val="en-GB"/>
                </w:rPr>
                <w:t>Guide to Operational Technology (OT) Security</w:t>
              </w:r>
            </w:hyperlink>
            <w:r w:rsidR="006B0DE2" w:rsidRPr="00C462A0">
              <w:rPr>
                <w:rFonts w:asciiTheme="minorHAnsi" w:hAnsiTheme="minorHAnsi" w:cstheme="minorHAnsi"/>
                <w:bCs/>
                <w:iCs/>
                <w:color w:val="00AC4E" w:themeColor="accent1"/>
                <w:sz w:val="20"/>
                <w:szCs w:val="20"/>
                <w:lang w:val="en-GB"/>
              </w:rPr>
              <w:t>.</w:t>
            </w:r>
          </w:p>
          <w:p w14:paraId="5F03009D" w14:textId="21380839" w:rsidR="00954ED6" w:rsidRPr="00C462A0" w:rsidRDefault="00954ED6" w:rsidP="00954ED6">
            <w:pPr>
              <w:jc w:val="both"/>
              <w:rPr>
                <w:rFonts w:cstheme="minorHAnsi"/>
                <w:szCs w:val="20"/>
              </w:rPr>
            </w:pPr>
            <w:r w:rsidRPr="00C462A0">
              <w:rPr>
                <w:rFonts w:cstheme="minorHAnsi"/>
                <w:b/>
                <w:color w:val="00AC4E" w:themeColor="accent1"/>
                <w:szCs w:val="20"/>
              </w:rPr>
              <w:t>Key Takeaways</w:t>
            </w:r>
            <w:r w:rsidRPr="00C462A0">
              <w:rPr>
                <w:rFonts w:cstheme="minorHAnsi"/>
                <w:szCs w:val="20"/>
              </w:rPr>
              <w:t>:</w:t>
            </w:r>
          </w:p>
          <w:p w14:paraId="113B64A0" w14:textId="77777777" w:rsidR="00954ED6" w:rsidRPr="00C462A0" w:rsidRDefault="00954ED6" w:rsidP="0031451E">
            <w:pPr>
              <w:pStyle w:val="ListParagraph"/>
              <w:numPr>
                <w:ilvl w:val="0"/>
                <w:numId w:val="350"/>
              </w:numPr>
              <w:jc w:val="both"/>
              <w:rPr>
                <w:rFonts w:cstheme="minorHAnsi"/>
                <w:szCs w:val="20"/>
              </w:rPr>
            </w:pPr>
            <w:r w:rsidRPr="00C462A0">
              <w:rPr>
                <w:rFonts w:cstheme="minorHAnsi"/>
                <w:szCs w:val="20"/>
              </w:rPr>
              <w:t>Access control regulates identification, authentication, and authorisation.</w:t>
            </w:r>
          </w:p>
          <w:p w14:paraId="2E8FFC95" w14:textId="77777777" w:rsidR="00954ED6" w:rsidRPr="00C462A0" w:rsidRDefault="00954ED6" w:rsidP="0031451E">
            <w:pPr>
              <w:pStyle w:val="ListParagraph"/>
              <w:numPr>
                <w:ilvl w:val="0"/>
                <w:numId w:val="350"/>
              </w:numPr>
              <w:jc w:val="both"/>
              <w:rPr>
                <w:rFonts w:cstheme="minorHAnsi"/>
                <w:szCs w:val="20"/>
              </w:rPr>
            </w:pPr>
            <w:r w:rsidRPr="00C462A0">
              <w:rPr>
                <w:rFonts w:cstheme="minorHAnsi"/>
                <w:szCs w:val="20"/>
              </w:rPr>
              <w:t>RBAC and ABAC are particularly relevant for sustainable digital infrastructures.</w:t>
            </w:r>
          </w:p>
          <w:p w14:paraId="64D9AB48" w14:textId="77777777" w:rsidR="00954ED6" w:rsidRPr="00C462A0" w:rsidRDefault="00954ED6" w:rsidP="0031451E">
            <w:pPr>
              <w:pStyle w:val="ListParagraph"/>
              <w:numPr>
                <w:ilvl w:val="0"/>
                <w:numId w:val="350"/>
              </w:numPr>
              <w:jc w:val="both"/>
              <w:rPr>
                <w:rFonts w:cstheme="minorHAnsi"/>
                <w:szCs w:val="20"/>
              </w:rPr>
            </w:pPr>
            <w:r w:rsidRPr="00C462A0">
              <w:rPr>
                <w:rFonts w:cstheme="minorHAnsi"/>
                <w:szCs w:val="20"/>
              </w:rPr>
              <w:t>Least privilege and separation of duties support compliance and integrity.</w:t>
            </w:r>
          </w:p>
          <w:p w14:paraId="0D8CCA1E" w14:textId="77777777" w:rsidR="00954ED6" w:rsidRPr="00C462A0" w:rsidRDefault="00954ED6" w:rsidP="0031451E">
            <w:pPr>
              <w:pStyle w:val="ListParagraph"/>
              <w:numPr>
                <w:ilvl w:val="0"/>
                <w:numId w:val="350"/>
              </w:numPr>
              <w:jc w:val="both"/>
              <w:rPr>
                <w:rFonts w:cstheme="minorHAnsi"/>
                <w:szCs w:val="20"/>
              </w:rPr>
            </w:pPr>
            <w:r w:rsidRPr="00C462A0">
              <w:rPr>
                <w:rFonts w:cstheme="minorHAnsi"/>
                <w:szCs w:val="20"/>
              </w:rPr>
              <w:t>Access control failures may create regulatory, operational, and reputational risk.</w:t>
            </w:r>
          </w:p>
          <w:p w14:paraId="6D329605" w14:textId="77777777" w:rsidR="00954ED6" w:rsidRPr="00C462A0" w:rsidRDefault="00954ED6" w:rsidP="0031451E">
            <w:pPr>
              <w:pStyle w:val="ListParagraph"/>
              <w:numPr>
                <w:ilvl w:val="0"/>
                <w:numId w:val="350"/>
              </w:numPr>
              <w:jc w:val="both"/>
              <w:rPr>
                <w:rFonts w:cstheme="minorHAnsi"/>
                <w:szCs w:val="20"/>
              </w:rPr>
            </w:pPr>
            <w:r w:rsidRPr="00C462A0">
              <w:rPr>
                <w:rFonts w:cstheme="minorHAnsi"/>
                <w:szCs w:val="20"/>
              </w:rPr>
              <w:t>Governance and technical controls must operate together to ensure accountability.</w:t>
            </w:r>
          </w:p>
          <w:p w14:paraId="786B799B" w14:textId="77777777" w:rsidR="00C462A0" w:rsidRDefault="00C462A0" w:rsidP="0031451E">
            <w:pPr>
              <w:jc w:val="both"/>
              <w:rPr>
                <w:rFonts w:cstheme="minorHAnsi"/>
                <w:b/>
                <w:color w:val="00AC4E" w:themeColor="accent1"/>
                <w:szCs w:val="20"/>
              </w:rPr>
            </w:pPr>
          </w:p>
          <w:p w14:paraId="064F48B5" w14:textId="3EDB26C7" w:rsidR="006B0DE2" w:rsidRPr="00C462A0" w:rsidRDefault="00954ED6" w:rsidP="0031451E">
            <w:pPr>
              <w:jc w:val="both"/>
              <w:rPr>
                <w:rFonts w:cstheme="minorHAnsi"/>
                <w:b/>
                <w:color w:val="00AC4E" w:themeColor="accent1"/>
                <w:szCs w:val="20"/>
              </w:rPr>
            </w:pPr>
            <w:r w:rsidRPr="00C462A0">
              <w:rPr>
                <w:rFonts w:cstheme="minorHAnsi"/>
                <w:b/>
                <w:color w:val="00AC4E" w:themeColor="accent1"/>
                <w:szCs w:val="20"/>
              </w:rPr>
              <w:t xml:space="preserve">Quick Check: </w:t>
            </w:r>
          </w:p>
          <w:p w14:paraId="6E249357" w14:textId="201B2C73" w:rsidR="00954ED6" w:rsidRPr="00C462A0" w:rsidRDefault="00954ED6" w:rsidP="0031451E">
            <w:pPr>
              <w:pStyle w:val="ListParagraph"/>
              <w:numPr>
                <w:ilvl w:val="0"/>
                <w:numId w:val="358"/>
              </w:numPr>
              <w:jc w:val="both"/>
              <w:rPr>
                <w:rFonts w:cstheme="minorHAnsi"/>
                <w:bCs/>
                <w:iCs/>
                <w:color w:val="009889" w:themeColor="accent2"/>
                <w:szCs w:val="20"/>
              </w:rPr>
            </w:pPr>
            <w:r w:rsidRPr="00C462A0">
              <w:rPr>
                <w:rFonts w:cstheme="minorHAnsi"/>
                <w:bCs/>
                <w:iCs/>
                <w:color w:val="009889" w:themeColor="accent2"/>
                <w:szCs w:val="20"/>
              </w:rPr>
              <w:t>True or False:</w:t>
            </w:r>
            <w:r w:rsidR="006B0DE2" w:rsidRPr="00C462A0">
              <w:rPr>
                <w:rFonts w:cstheme="minorHAnsi"/>
                <w:bCs/>
                <w:iCs/>
                <w:color w:val="009889" w:themeColor="accent2"/>
                <w:szCs w:val="20"/>
              </w:rPr>
              <w:t xml:space="preserve"> </w:t>
            </w:r>
            <w:r w:rsidRPr="00C462A0">
              <w:rPr>
                <w:rFonts w:cstheme="minorHAnsi"/>
                <w:bCs/>
                <w:iCs/>
                <w:color w:val="009889" w:themeColor="accent2"/>
                <w:szCs w:val="20"/>
              </w:rPr>
              <w:t>An organisation implements multi-factor authentication for all ESG platform users but allows unrestricted role escalation after login.</w:t>
            </w:r>
            <w:r w:rsidR="006B0DE2" w:rsidRPr="00C462A0">
              <w:rPr>
                <w:rFonts w:cstheme="minorHAnsi"/>
                <w:bCs/>
                <w:iCs/>
                <w:color w:val="009889" w:themeColor="accent2"/>
                <w:szCs w:val="20"/>
              </w:rPr>
              <w:t xml:space="preserve"> </w:t>
            </w:r>
            <w:r w:rsidRPr="00C462A0">
              <w:rPr>
                <w:rFonts w:cstheme="minorHAnsi"/>
                <w:bCs/>
                <w:iCs/>
                <w:color w:val="009889" w:themeColor="accent2"/>
                <w:szCs w:val="20"/>
              </w:rPr>
              <w:t xml:space="preserve">From a risk and compliance perspective, access control can still be considered effectively enforced. </w:t>
            </w:r>
          </w:p>
          <w:p w14:paraId="7E22697A" w14:textId="77777777" w:rsidR="006B0DE2" w:rsidRPr="00C462A0" w:rsidRDefault="006B0DE2" w:rsidP="006B0DE2">
            <w:pPr>
              <w:jc w:val="both"/>
              <w:rPr>
                <w:rFonts w:cstheme="minorHAnsi"/>
                <w:bCs/>
                <w:color w:val="009889" w:themeColor="accent2"/>
                <w:szCs w:val="20"/>
              </w:rPr>
            </w:pPr>
          </w:p>
          <w:p w14:paraId="7486DCF2" w14:textId="3C53CF2D" w:rsidR="00954ED6" w:rsidRPr="00C462A0" w:rsidRDefault="006B0DE2" w:rsidP="006B0DE2">
            <w:pPr>
              <w:pStyle w:val="NormalWeb"/>
              <w:spacing w:before="0" w:beforeAutospacing="0" w:after="0" w:afterAutospacing="0"/>
              <w:jc w:val="both"/>
              <w:rPr>
                <w:rFonts w:asciiTheme="minorHAnsi" w:hAnsiTheme="minorHAnsi" w:cstheme="minorHAnsi"/>
                <w:bCs/>
                <w:iCs/>
                <w:color w:val="009889" w:themeColor="accent2"/>
                <w:sz w:val="20"/>
                <w:szCs w:val="20"/>
                <w:lang w:val="en-GB"/>
              </w:rPr>
            </w:pPr>
            <w:r w:rsidRPr="00C462A0">
              <w:rPr>
                <w:rFonts w:asciiTheme="minorHAnsi" w:hAnsiTheme="minorHAnsi" w:cstheme="minorHAnsi"/>
                <w:bCs/>
                <w:iCs/>
                <w:color w:val="009889" w:themeColor="accent2"/>
                <w:sz w:val="20"/>
                <w:szCs w:val="20"/>
                <w:lang w:val="en-GB"/>
              </w:rPr>
              <w:t xml:space="preserve">2. </w:t>
            </w:r>
            <w:r w:rsidR="00954ED6" w:rsidRPr="00C462A0">
              <w:rPr>
                <w:rFonts w:asciiTheme="minorHAnsi" w:hAnsiTheme="minorHAnsi" w:cstheme="minorHAnsi"/>
                <w:bCs/>
                <w:iCs/>
                <w:color w:val="009889" w:themeColor="accent2"/>
                <w:sz w:val="20"/>
                <w:szCs w:val="20"/>
                <w:lang w:val="en-GB"/>
              </w:rPr>
              <w:t>A smart grid operator assigns a single administrator the ability to:</w:t>
            </w:r>
          </w:p>
          <w:p w14:paraId="74D735BC" w14:textId="77777777" w:rsidR="00954ED6" w:rsidRPr="00C462A0" w:rsidRDefault="00954ED6" w:rsidP="00954ED6">
            <w:pPr>
              <w:pStyle w:val="NormalWeb"/>
              <w:numPr>
                <w:ilvl w:val="0"/>
                <w:numId w:val="352"/>
              </w:numPr>
              <w:spacing w:before="0" w:beforeAutospacing="0" w:after="0" w:afterAutospacing="0"/>
              <w:jc w:val="both"/>
              <w:rPr>
                <w:rFonts w:asciiTheme="minorHAnsi" w:hAnsiTheme="minorHAnsi" w:cstheme="minorHAnsi"/>
                <w:bCs/>
                <w:iCs/>
                <w:color w:val="009889" w:themeColor="accent2"/>
                <w:sz w:val="20"/>
                <w:szCs w:val="20"/>
                <w:lang w:val="en-GB"/>
              </w:rPr>
            </w:pPr>
            <w:r w:rsidRPr="00C462A0">
              <w:rPr>
                <w:rFonts w:asciiTheme="minorHAnsi" w:hAnsiTheme="minorHAnsi" w:cstheme="minorHAnsi"/>
                <w:bCs/>
                <w:iCs/>
                <w:color w:val="009889" w:themeColor="accent2"/>
                <w:sz w:val="20"/>
                <w:szCs w:val="20"/>
                <w:lang w:val="en-GB"/>
              </w:rPr>
              <w:t>Modify access permissions</w:t>
            </w:r>
          </w:p>
          <w:p w14:paraId="7F355704" w14:textId="77777777" w:rsidR="00954ED6" w:rsidRPr="00C462A0" w:rsidRDefault="00954ED6" w:rsidP="00954ED6">
            <w:pPr>
              <w:pStyle w:val="NormalWeb"/>
              <w:numPr>
                <w:ilvl w:val="0"/>
                <w:numId w:val="352"/>
              </w:numPr>
              <w:spacing w:before="0" w:beforeAutospacing="0" w:after="0" w:afterAutospacing="0"/>
              <w:jc w:val="both"/>
              <w:rPr>
                <w:rFonts w:asciiTheme="minorHAnsi" w:hAnsiTheme="minorHAnsi" w:cstheme="minorHAnsi"/>
                <w:bCs/>
                <w:iCs/>
                <w:color w:val="009889" w:themeColor="accent2"/>
                <w:sz w:val="20"/>
                <w:szCs w:val="20"/>
                <w:lang w:val="en-GB"/>
              </w:rPr>
            </w:pPr>
            <w:r w:rsidRPr="00C462A0">
              <w:rPr>
                <w:rFonts w:asciiTheme="minorHAnsi" w:hAnsiTheme="minorHAnsi" w:cstheme="minorHAnsi"/>
                <w:bCs/>
                <w:iCs/>
                <w:color w:val="009889" w:themeColor="accent2"/>
                <w:sz w:val="20"/>
                <w:szCs w:val="20"/>
                <w:lang w:val="en-GB"/>
              </w:rPr>
              <w:t>Approve firmware updates</w:t>
            </w:r>
          </w:p>
          <w:p w14:paraId="5ED5CC54" w14:textId="77777777" w:rsidR="006B0DE2" w:rsidRPr="00C462A0" w:rsidRDefault="00954ED6" w:rsidP="006B0DE2">
            <w:pPr>
              <w:pStyle w:val="NormalWeb"/>
              <w:numPr>
                <w:ilvl w:val="0"/>
                <w:numId w:val="352"/>
              </w:numPr>
              <w:spacing w:before="0" w:beforeAutospacing="0" w:after="0" w:afterAutospacing="0"/>
              <w:jc w:val="both"/>
              <w:rPr>
                <w:rFonts w:asciiTheme="minorHAnsi" w:hAnsiTheme="minorHAnsi" w:cstheme="minorHAnsi"/>
                <w:bCs/>
                <w:iCs/>
                <w:color w:val="009889" w:themeColor="accent2"/>
                <w:sz w:val="20"/>
                <w:szCs w:val="20"/>
                <w:lang w:val="en-GB"/>
              </w:rPr>
            </w:pPr>
            <w:r w:rsidRPr="00C462A0">
              <w:rPr>
                <w:rFonts w:asciiTheme="minorHAnsi" w:hAnsiTheme="minorHAnsi" w:cstheme="minorHAnsi"/>
                <w:bCs/>
                <w:iCs/>
                <w:color w:val="009889" w:themeColor="accent2"/>
                <w:sz w:val="20"/>
                <w:szCs w:val="20"/>
                <w:lang w:val="en-GB"/>
              </w:rPr>
              <w:t>Validate operational logs</w:t>
            </w:r>
          </w:p>
          <w:p w14:paraId="209DCF1F" w14:textId="1AAB24E2" w:rsidR="00954ED6" w:rsidRPr="00C462A0" w:rsidRDefault="00954ED6" w:rsidP="006B0DE2">
            <w:pPr>
              <w:pStyle w:val="NormalWeb"/>
              <w:spacing w:before="0" w:beforeAutospacing="0" w:after="0" w:afterAutospacing="0"/>
              <w:ind w:left="360"/>
              <w:jc w:val="both"/>
              <w:rPr>
                <w:rFonts w:asciiTheme="minorHAnsi" w:hAnsiTheme="minorHAnsi" w:cstheme="minorHAnsi"/>
                <w:bCs/>
                <w:iCs/>
                <w:color w:val="009889" w:themeColor="accent2"/>
                <w:sz w:val="20"/>
                <w:szCs w:val="20"/>
                <w:lang w:val="en-GB"/>
              </w:rPr>
            </w:pPr>
            <w:r w:rsidRPr="00C462A0">
              <w:rPr>
                <w:rFonts w:asciiTheme="minorHAnsi" w:hAnsiTheme="minorHAnsi" w:cstheme="minorHAnsi"/>
                <w:bCs/>
                <w:iCs/>
                <w:color w:val="009889" w:themeColor="accent2"/>
                <w:sz w:val="20"/>
                <w:szCs w:val="20"/>
                <w:lang w:val="en-GB"/>
              </w:rPr>
              <w:t xml:space="preserve">Which risk is most directly introduced? </w:t>
            </w:r>
          </w:p>
          <w:p w14:paraId="611FAC08" w14:textId="77777777" w:rsidR="00954ED6" w:rsidRPr="00C462A0" w:rsidRDefault="00954ED6" w:rsidP="006B0DE2">
            <w:pPr>
              <w:pStyle w:val="NormalWeb"/>
              <w:numPr>
                <w:ilvl w:val="0"/>
                <w:numId w:val="359"/>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Reduced encryption strength</w:t>
            </w:r>
          </w:p>
          <w:p w14:paraId="17178B98" w14:textId="77777777" w:rsidR="00954ED6" w:rsidRPr="00C462A0" w:rsidRDefault="00954ED6" w:rsidP="006B0DE2">
            <w:pPr>
              <w:pStyle w:val="NormalWeb"/>
              <w:numPr>
                <w:ilvl w:val="0"/>
                <w:numId w:val="359"/>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Violation of the separation of duties and increased fraud or abuse potential</w:t>
            </w:r>
          </w:p>
          <w:p w14:paraId="7D531424" w14:textId="77777777" w:rsidR="00954ED6" w:rsidRPr="00C462A0" w:rsidRDefault="00954ED6" w:rsidP="006B0DE2">
            <w:pPr>
              <w:pStyle w:val="NormalWeb"/>
              <w:numPr>
                <w:ilvl w:val="0"/>
                <w:numId w:val="359"/>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Increased network latency</w:t>
            </w:r>
          </w:p>
          <w:p w14:paraId="7738A5AE" w14:textId="6DB5528D" w:rsidR="00954ED6" w:rsidRPr="00C462A0" w:rsidRDefault="00954ED6" w:rsidP="006B0DE2">
            <w:pPr>
              <w:pStyle w:val="NormalWeb"/>
              <w:numPr>
                <w:ilvl w:val="0"/>
                <w:numId w:val="359"/>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Automatic regulatory compliance</w:t>
            </w:r>
            <w:r w:rsidR="006B0DE2" w:rsidRPr="00C462A0">
              <w:rPr>
                <w:rFonts w:asciiTheme="minorHAnsi" w:hAnsiTheme="minorHAnsi" w:cstheme="minorHAnsi"/>
                <w:bCs/>
                <w:iCs/>
                <w:sz w:val="20"/>
                <w:szCs w:val="20"/>
                <w:lang w:val="en-GB"/>
              </w:rPr>
              <w:t>.</w:t>
            </w:r>
          </w:p>
          <w:p w14:paraId="364506DD" w14:textId="77777777" w:rsidR="006B0DE2" w:rsidRPr="00C462A0" w:rsidRDefault="006B0DE2" w:rsidP="006B0DE2">
            <w:pPr>
              <w:pStyle w:val="NormalWeb"/>
              <w:spacing w:before="0" w:beforeAutospacing="0" w:after="0" w:afterAutospacing="0"/>
              <w:ind w:left="1440"/>
              <w:jc w:val="both"/>
              <w:rPr>
                <w:rFonts w:asciiTheme="minorHAnsi" w:hAnsiTheme="minorHAnsi" w:cstheme="minorHAnsi"/>
                <w:bCs/>
                <w:iCs/>
                <w:sz w:val="20"/>
                <w:szCs w:val="20"/>
                <w:lang w:val="en-GB"/>
              </w:rPr>
            </w:pPr>
          </w:p>
          <w:p w14:paraId="5339071C" w14:textId="1553683C" w:rsidR="00954ED6" w:rsidRPr="00C462A0" w:rsidRDefault="00954ED6" w:rsidP="006B0DE2">
            <w:pPr>
              <w:pStyle w:val="NormalWeb"/>
              <w:numPr>
                <w:ilvl w:val="0"/>
                <w:numId w:val="328"/>
              </w:numPr>
              <w:spacing w:before="0" w:beforeAutospacing="0" w:after="0" w:afterAutospacing="0"/>
              <w:jc w:val="both"/>
              <w:rPr>
                <w:rFonts w:asciiTheme="minorHAnsi" w:hAnsiTheme="minorHAnsi" w:cstheme="minorHAnsi"/>
                <w:bCs/>
                <w:iCs/>
                <w:color w:val="009889" w:themeColor="accent2"/>
                <w:sz w:val="20"/>
                <w:szCs w:val="20"/>
                <w:lang w:val="en-GB"/>
              </w:rPr>
            </w:pPr>
            <w:r w:rsidRPr="00C462A0">
              <w:rPr>
                <w:rFonts w:asciiTheme="minorHAnsi" w:hAnsiTheme="minorHAnsi" w:cstheme="minorHAnsi"/>
                <w:bCs/>
                <w:iCs/>
                <w:color w:val="009889" w:themeColor="accent2"/>
                <w:sz w:val="20"/>
                <w:szCs w:val="20"/>
                <w:lang w:val="en-GB"/>
              </w:rPr>
              <w:t xml:space="preserve">An IoT gateway authenticates connected sensors using shared credentials embedded in firmware. Which risk implication is most significant? </w:t>
            </w:r>
          </w:p>
          <w:p w14:paraId="4DD2A399" w14:textId="77777777" w:rsidR="00954ED6" w:rsidRPr="00C462A0" w:rsidRDefault="00954ED6" w:rsidP="006B0DE2">
            <w:pPr>
              <w:pStyle w:val="NormalWeb"/>
              <w:numPr>
                <w:ilvl w:val="0"/>
                <w:numId w:val="360"/>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Simplified device onboarding</w:t>
            </w:r>
          </w:p>
          <w:p w14:paraId="24DB0A09" w14:textId="77777777" w:rsidR="00954ED6" w:rsidRPr="00C462A0" w:rsidRDefault="00954ED6" w:rsidP="006B0DE2">
            <w:pPr>
              <w:pStyle w:val="NormalWeb"/>
              <w:numPr>
                <w:ilvl w:val="0"/>
                <w:numId w:val="360"/>
              </w:numPr>
              <w:spacing w:after="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Inability to attribute actions to individual devices, reducing accountability</w:t>
            </w:r>
          </w:p>
          <w:p w14:paraId="021CD2DD" w14:textId="77777777" w:rsidR="00954ED6" w:rsidRPr="00C462A0" w:rsidRDefault="00954ED6" w:rsidP="006B0DE2">
            <w:pPr>
              <w:pStyle w:val="NormalWeb"/>
              <w:numPr>
                <w:ilvl w:val="0"/>
                <w:numId w:val="360"/>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Increased battery consumption</w:t>
            </w:r>
          </w:p>
          <w:p w14:paraId="26D228BA" w14:textId="77777777" w:rsidR="00954ED6" w:rsidRPr="00C462A0" w:rsidRDefault="00954ED6" w:rsidP="006B0DE2">
            <w:pPr>
              <w:pStyle w:val="NormalWeb"/>
              <w:numPr>
                <w:ilvl w:val="0"/>
                <w:numId w:val="360"/>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Automatic segmentation of the IoT network</w:t>
            </w:r>
          </w:p>
          <w:p w14:paraId="76CE1D42" w14:textId="77777777" w:rsidR="00954ED6" w:rsidRPr="00C462A0" w:rsidRDefault="00954ED6" w:rsidP="00954ED6">
            <w:pPr>
              <w:spacing w:after="160" w:line="276" w:lineRule="auto"/>
              <w:jc w:val="both"/>
              <w:rPr>
                <w:rFonts w:cstheme="minorHAnsi"/>
                <w:color w:val="009889" w:themeColor="accent2"/>
                <w:szCs w:val="20"/>
              </w:rPr>
            </w:pPr>
          </w:p>
          <w:p w14:paraId="34E70F85" w14:textId="297445A6" w:rsidR="006B0DE2" w:rsidRPr="00C462A0" w:rsidRDefault="006B0DE2" w:rsidP="00954ED6">
            <w:pPr>
              <w:spacing w:after="160" w:line="276" w:lineRule="auto"/>
              <w:jc w:val="both"/>
              <w:rPr>
                <w:rFonts w:cstheme="minorHAnsi"/>
                <w:i/>
                <w:iCs/>
                <w:color w:val="009889" w:themeColor="accent2"/>
                <w:szCs w:val="20"/>
              </w:rPr>
            </w:pPr>
            <w:r w:rsidRPr="00C462A0">
              <w:rPr>
                <w:rFonts w:cstheme="minorHAnsi"/>
                <w:i/>
                <w:iCs/>
                <w:szCs w:val="20"/>
              </w:rPr>
              <w:t>Answer key: 1. false; 2. b); 3. b).</w:t>
            </w:r>
          </w:p>
        </w:tc>
      </w:tr>
    </w:tbl>
    <w:p w14:paraId="6FC667D5" w14:textId="77777777" w:rsidR="002221F4" w:rsidRDefault="002221F4" w:rsidP="002221F4"/>
    <w:p w14:paraId="00D3A66A" w14:textId="77777777" w:rsidR="00C462A0" w:rsidRDefault="00C462A0" w:rsidP="002221F4"/>
    <w:p w14:paraId="735738C3" w14:textId="77777777" w:rsidR="00C462A0" w:rsidRDefault="00C462A0" w:rsidP="002221F4"/>
    <w:p w14:paraId="4C8AE025" w14:textId="77777777" w:rsidR="00C462A0" w:rsidRDefault="00C462A0" w:rsidP="002221F4"/>
    <w:p w14:paraId="43A1BF62" w14:textId="77777777" w:rsidR="00C462A0" w:rsidRDefault="00C462A0" w:rsidP="002221F4"/>
    <w:p w14:paraId="597470E6" w14:textId="77777777" w:rsidR="00C462A0" w:rsidRDefault="00C462A0" w:rsidP="002221F4"/>
    <w:p w14:paraId="66D78D46" w14:textId="77777777" w:rsidR="00C462A0" w:rsidRPr="00C462A0" w:rsidRDefault="00C462A0" w:rsidP="002221F4"/>
    <w:tbl>
      <w:tblPr>
        <w:tblStyle w:val="TableGrid"/>
        <w:tblW w:w="0" w:type="auto"/>
        <w:tblLook w:val="04A0" w:firstRow="1" w:lastRow="0" w:firstColumn="1" w:lastColumn="0" w:noHBand="0" w:noVBand="1"/>
      </w:tblPr>
      <w:tblGrid>
        <w:gridCol w:w="9628"/>
      </w:tblGrid>
      <w:tr w:rsidR="006B0DE2" w:rsidRPr="00C462A0" w14:paraId="67F6630B" w14:textId="77777777" w:rsidTr="00210B7E">
        <w:tc>
          <w:tcPr>
            <w:tcW w:w="9628" w:type="dxa"/>
          </w:tcPr>
          <w:p w14:paraId="03C6429E" w14:textId="60736061" w:rsidR="006B0DE2" w:rsidRPr="00C462A0" w:rsidRDefault="006B0DE2" w:rsidP="00210B7E">
            <w:pPr>
              <w:pStyle w:val="Heading2"/>
              <w:numPr>
                <w:ilvl w:val="0"/>
                <w:numId w:val="0"/>
              </w:numPr>
              <w:spacing w:before="0" w:line="276" w:lineRule="auto"/>
              <w:rPr>
                <w:rFonts w:cstheme="minorHAnsi"/>
                <w:b/>
                <w:bCs/>
                <w:szCs w:val="40"/>
              </w:rPr>
            </w:pPr>
            <w:bookmarkStart w:id="49" w:name="_Toc227623414"/>
            <w:r w:rsidRPr="00C462A0">
              <w:rPr>
                <w:rFonts w:cstheme="minorHAnsi"/>
                <w:b/>
                <w:bCs/>
                <w:szCs w:val="40"/>
              </w:rPr>
              <w:lastRenderedPageBreak/>
              <w:t>Topic 3.2: Introduction to Encryption Technologies</w:t>
            </w:r>
            <w:bookmarkEnd w:id="49"/>
          </w:p>
        </w:tc>
      </w:tr>
      <w:tr w:rsidR="006B0DE2" w:rsidRPr="00C462A0" w14:paraId="7BE6791D" w14:textId="77777777" w:rsidTr="00210B7E">
        <w:tc>
          <w:tcPr>
            <w:tcW w:w="9628" w:type="dxa"/>
            <w:shd w:val="clear" w:color="auto" w:fill="D9D9D9" w:themeFill="background1" w:themeFillShade="D9"/>
          </w:tcPr>
          <w:p w14:paraId="72427DF1" w14:textId="77777777" w:rsidR="006B0DE2" w:rsidRPr="00C462A0" w:rsidRDefault="006B0DE2" w:rsidP="00210B7E">
            <w:pPr>
              <w:spacing w:line="276" w:lineRule="auto"/>
              <w:rPr>
                <w:rFonts w:cstheme="minorHAnsi"/>
                <w:b/>
                <w:szCs w:val="20"/>
              </w:rPr>
            </w:pPr>
            <w:r w:rsidRPr="00C462A0">
              <w:rPr>
                <w:rFonts w:cstheme="minorHAnsi"/>
                <w:b/>
                <w:szCs w:val="20"/>
              </w:rPr>
              <w:t>Short introduction:</w:t>
            </w:r>
          </w:p>
        </w:tc>
      </w:tr>
      <w:tr w:rsidR="006B0DE2" w:rsidRPr="00C462A0" w14:paraId="0E0FEA3B" w14:textId="77777777" w:rsidTr="00210B7E">
        <w:tc>
          <w:tcPr>
            <w:tcW w:w="9628" w:type="dxa"/>
          </w:tcPr>
          <w:p w14:paraId="23235395" w14:textId="77777777" w:rsidR="006B0DE2" w:rsidRPr="00C462A0" w:rsidRDefault="006B0DE2" w:rsidP="006B0DE2">
            <w:pPr>
              <w:pStyle w:val="NormalWeb"/>
              <w:spacing w:before="40" w:beforeAutospacing="0" w:after="40" w:afterAutospacing="0"/>
              <w:jc w:val="both"/>
              <w:rPr>
                <w:rFonts w:asciiTheme="minorHAnsi" w:hAnsiTheme="minorHAnsi"/>
                <w:sz w:val="22"/>
                <w:szCs w:val="22"/>
                <w:lang w:val="en-GB"/>
              </w:rPr>
            </w:pPr>
            <w:r w:rsidRPr="00C462A0">
              <w:rPr>
                <w:rFonts w:asciiTheme="minorHAnsi" w:hAnsiTheme="minorHAnsi"/>
                <w:sz w:val="22"/>
                <w:szCs w:val="22"/>
                <w:lang w:val="en-GB"/>
              </w:rPr>
              <w:t>Encryption is a core technology for protecting data confidentiality, integrity, and authenticity within sustainable digital infrastructures. In settings such as smart grids, IoT ecosystems, Energy Management Systems, and ESG platforms, encryption helps secure sensitive operational and personal data against unauthorised access and potential regulatory non-compliance. This topic introduces the fundamental concepts of encryption, outlines key technologies, and explains their relevance to data protection and compliance frameworks.</w:t>
            </w:r>
          </w:p>
          <w:p w14:paraId="38436F41" w14:textId="77777777" w:rsidR="006B0DE2" w:rsidRPr="00C462A0" w:rsidRDefault="006B0DE2" w:rsidP="00210B7E">
            <w:pPr>
              <w:spacing w:line="276" w:lineRule="auto"/>
              <w:rPr>
                <w:rFonts w:cstheme="minorHAnsi"/>
                <w:szCs w:val="20"/>
              </w:rPr>
            </w:pPr>
          </w:p>
        </w:tc>
      </w:tr>
      <w:tr w:rsidR="006B0DE2" w:rsidRPr="00C462A0" w14:paraId="06240849" w14:textId="77777777" w:rsidTr="00210B7E">
        <w:tc>
          <w:tcPr>
            <w:tcW w:w="9628" w:type="dxa"/>
            <w:shd w:val="clear" w:color="auto" w:fill="D9D9D9" w:themeFill="background1" w:themeFillShade="D9"/>
          </w:tcPr>
          <w:p w14:paraId="13999634" w14:textId="77777777" w:rsidR="006B0DE2" w:rsidRPr="00C462A0" w:rsidRDefault="006B0DE2" w:rsidP="00210B7E">
            <w:pPr>
              <w:spacing w:line="276" w:lineRule="auto"/>
              <w:rPr>
                <w:rFonts w:cstheme="minorHAnsi"/>
                <w:b/>
                <w:szCs w:val="20"/>
              </w:rPr>
            </w:pPr>
            <w:r w:rsidRPr="00C462A0">
              <w:rPr>
                <w:rFonts w:cstheme="minorHAnsi"/>
                <w:b/>
                <w:szCs w:val="20"/>
              </w:rPr>
              <w:t xml:space="preserve">Theory &amp; Knowledge: </w:t>
            </w:r>
          </w:p>
        </w:tc>
      </w:tr>
      <w:tr w:rsidR="006B0DE2" w:rsidRPr="00C462A0" w14:paraId="33EFF11E" w14:textId="77777777" w:rsidTr="00210B7E">
        <w:trPr>
          <w:trHeight w:val="2142"/>
        </w:trPr>
        <w:tc>
          <w:tcPr>
            <w:tcW w:w="9628" w:type="dxa"/>
          </w:tcPr>
          <w:p w14:paraId="57B2812B" w14:textId="77777777" w:rsidR="006B0DE2" w:rsidRPr="00C462A0" w:rsidRDefault="006B0DE2" w:rsidP="006B0DE2">
            <w:pPr>
              <w:jc w:val="both"/>
              <w:rPr>
                <w:rFonts w:cstheme="minorHAnsi"/>
                <w:bCs/>
                <w:iCs/>
                <w:szCs w:val="20"/>
              </w:rPr>
            </w:pPr>
            <w:r w:rsidRPr="00C462A0">
              <w:rPr>
                <w:rFonts w:cstheme="minorHAnsi"/>
                <w:szCs w:val="20"/>
              </w:rPr>
              <w:t xml:space="preserve"> </w:t>
            </w:r>
            <w:r w:rsidRPr="00C462A0">
              <w:rPr>
                <w:rFonts w:cstheme="minorHAnsi"/>
                <w:bCs/>
                <w:iCs/>
                <w:szCs w:val="20"/>
              </w:rPr>
              <w:t>Encryption converts readable data, known as plaintext, into an unreadable form called ciphertext using cryptographic algorithms and keys. Only authorised parties who possess the correct key can decrypt and access the original information.</w:t>
            </w:r>
          </w:p>
          <w:p w14:paraId="76122B61" w14:textId="77777777" w:rsidR="006B0DE2" w:rsidRPr="00C462A0" w:rsidRDefault="006B0DE2" w:rsidP="006B0DE2">
            <w:pPr>
              <w:jc w:val="both"/>
              <w:rPr>
                <w:rFonts w:cstheme="minorHAnsi"/>
                <w:bCs/>
                <w:iCs/>
                <w:szCs w:val="20"/>
              </w:rPr>
            </w:pPr>
            <w:r w:rsidRPr="00C462A0">
              <w:rPr>
                <w:rFonts w:cstheme="minorHAnsi"/>
                <w:bCs/>
                <w:iCs/>
                <w:szCs w:val="20"/>
              </w:rPr>
              <w:t>In regulated environments, encryption goes beyond being a technical control; it is frequently required to demonstrate compliance with data protection principles such as confidentiality, integrity, and security of processing.</w:t>
            </w:r>
          </w:p>
          <w:p w14:paraId="3217237F" w14:textId="77777777" w:rsidR="006B0DE2" w:rsidRPr="00C462A0" w:rsidRDefault="006B0DE2" w:rsidP="006B0DE2">
            <w:pPr>
              <w:jc w:val="both"/>
              <w:rPr>
                <w:rFonts w:cstheme="minorHAnsi"/>
                <w:bCs/>
                <w:iCs/>
                <w:szCs w:val="20"/>
              </w:rPr>
            </w:pPr>
            <w:r w:rsidRPr="00C462A0">
              <w:rPr>
                <w:rFonts w:cstheme="minorHAnsi"/>
                <w:bCs/>
                <w:iCs/>
                <w:szCs w:val="20"/>
              </w:rPr>
              <w:t>The NIST publishes internationally recognised guidance on cryptographic standards and recommended best practices.</w:t>
            </w:r>
          </w:p>
          <w:p w14:paraId="36094DAF" w14:textId="0CEC9542" w:rsidR="006B0DE2" w:rsidRPr="00C462A0" w:rsidRDefault="006B0DE2" w:rsidP="006B0DE2">
            <w:pPr>
              <w:pStyle w:val="ListParagraph"/>
              <w:numPr>
                <w:ilvl w:val="0"/>
                <w:numId w:val="374"/>
              </w:numPr>
              <w:jc w:val="both"/>
              <w:rPr>
                <w:rFonts w:cstheme="minorHAnsi"/>
                <w:b/>
                <w:bCs/>
                <w:iCs/>
                <w:color w:val="009889" w:themeColor="accent2"/>
                <w:szCs w:val="20"/>
              </w:rPr>
            </w:pPr>
            <w:r w:rsidRPr="00C462A0">
              <w:rPr>
                <w:rFonts w:cstheme="minorHAnsi"/>
                <w:b/>
                <w:bCs/>
                <w:iCs/>
                <w:color w:val="009889" w:themeColor="accent2"/>
                <w:szCs w:val="20"/>
              </w:rPr>
              <w:t>Core Cryptographic Concepts</w:t>
            </w:r>
          </w:p>
          <w:p w14:paraId="1DF60A51" w14:textId="77777777" w:rsidR="006B0DE2" w:rsidRPr="00C462A0" w:rsidRDefault="006B0DE2" w:rsidP="006B0DE2">
            <w:pPr>
              <w:jc w:val="both"/>
              <w:rPr>
                <w:rFonts w:cstheme="minorHAnsi"/>
                <w:bCs/>
                <w:iCs/>
                <w:szCs w:val="20"/>
              </w:rPr>
            </w:pPr>
            <w:r w:rsidRPr="00C462A0">
              <w:rPr>
                <w:rFonts w:cstheme="minorHAnsi"/>
                <w:bCs/>
                <w:iCs/>
                <w:szCs w:val="20"/>
              </w:rPr>
              <w:t>Encryption technologies rely on several fundamental elements:</w:t>
            </w:r>
          </w:p>
          <w:p w14:paraId="02F693CE" w14:textId="77777777" w:rsidR="006B0DE2" w:rsidRPr="00C462A0" w:rsidRDefault="006B0DE2" w:rsidP="006B0DE2">
            <w:pPr>
              <w:pStyle w:val="ListParagraph"/>
              <w:numPr>
                <w:ilvl w:val="0"/>
                <w:numId w:val="362"/>
              </w:numPr>
              <w:jc w:val="both"/>
              <w:rPr>
                <w:rFonts w:cstheme="minorHAnsi"/>
                <w:bCs/>
                <w:iCs/>
                <w:szCs w:val="20"/>
              </w:rPr>
            </w:pPr>
            <w:r w:rsidRPr="00C462A0">
              <w:rPr>
                <w:rFonts w:cstheme="minorHAnsi"/>
                <w:b/>
                <w:bCs/>
                <w:iCs/>
                <w:szCs w:val="20"/>
              </w:rPr>
              <w:t>Plaintext</w:t>
            </w:r>
            <w:r w:rsidRPr="00C462A0">
              <w:rPr>
                <w:rFonts w:cstheme="minorHAnsi"/>
                <w:bCs/>
                <w:iCs/>
                <w:szCs w:val="20"/>
              </w:rPr>
              <w:t xml:space="preserve"> – The original readable data.</w:t>
            </w:r>
          </w:p>
          <w:p w14:paraId="4890F929" w14:textId="77777777" w:rsidR="006B0DE2" w:rsidRPr="00C462A0" w:rsidRDefault="006B0DE2" w:rsidP="006B0DE2">
            <w:pPr>
              <w:pStyle w:val="ListParagraph"/>
              <w:numPr>
                <w:ilvl w:val="0"/>
                <w:numId w:val="362"/>
              </w:numPr>
              <w:jc w:val="both"/>
              <w:rPr>
                <w:rFonts w:cstheme="minorHAnsi"/>
                <w:bCs/>
                <w:iCs/>
                <w:szCs w:val="20"/>
              </w:rPr>
            </w:pPr>
            <w:r w:rsidRPr="00C462A0">
              <w:rPr>
                <w:rFonts w:cstheme="minorHAnsi"/>
                <w:b/>
                <w:bCs/>
                <w:iCs/>
                <w:szCs w:val="20"/>
              </w:rPr>
              <w:t>Ciphertext</w:t>
            </w:r>
            <w:r w:rsidRPr="00C462A0">
              <w:rPr>
                <w:rFonts w:cstheme="minorHAnsi"/>
                <w:bCs/>
                <w:iCs/>
                <w:szCs w:val="20"/>
              </w:rPr>
              <w:t xml:space="preserve"> – The encrypted output.</w:t>
            </w:r>
          </w:p>
          <w:p w14:paraId="7CB383FE" w14:textId="77777777" w:rsidR="006B0DE2" w:rsidRPr="00C462A0" w:rsidRDefault="006B0DE2" w:rsidP="006B0DE2">
            <w:pPr>
              <w:pStyle w:val="ListParagraph"/>
              <w:numPr>
                <w:ilvl w:val="0"/>
                <w:numId w:val="362"/>
              </w:numPr>
              <w:jc w:val="both"/>
              <w:rPr>
                <w:rFonts w:cstheme="minorHAnsi"/>
                <w:bCs/>
                <w:iCs/>
                <w:szCs w:val="20"/>
              </w:rPr>
            </w:pPr>
            <w:r w:rsidRPr="00C462A0">
              <w:rPr>
                <w:rFonts w:cstheme="minorHAnsi"/>
                <w:b/>
                <w:bCs/>
                <w:iCs/>
                <w:szCs w:val="20"/>
              </w:rPr>
              <w:t>Encryption algorithm</w:t>
            </w:r>
            <w:r w:rsidRPr="00C462A0">
              <w:rPr>
                <w:rFonts w:cstheme="minorHAnsi"/>
                <w:bCs/>
                <w:iCs/>
                <w:szCs w:val="20"/>
              </w:rPr>
              <w:t xml:space="preserve"> – The mathematical function used to transform the data.</w:t>
            </w:r>
          </w:p>
          <w:p w14:paraId="0DDB9FE9" w14:textId="77777777" w:rsidR="006B0DE2" w:rsidRPr="00C462A0" w:rsidRDefault="006B0DE2" w:rsidP="006B0DE2">
            <w:pPr>
              <w:pStyle w:val="ListParagraph"/>
              <w:numPr>
                <w:ilvl w:val="0"/>
                <w:numId w:val="362"/>
              </w:numPr>
              <w:jc w:val="both"/>
              <w:rPr>
                <w:rFonts w:cstheme="minorHAnsi"/>
                <w:bCs/>
                <w:iCs/>
                <w:szCs w:val="20"/>
              </w:rPr>
            </w:pPr>
            <w:commentRangeStart w:id="50"/>
            <w:commentRangeStart w:id="51"/>
            <w:r w:rsidRPr="00C462A0">
              <w:rPr>
                <w:rFonts w:cstheme="minorHAnsi"/>
                <w:b/>
                <w:bCs/>
                <w:iCs/>
                <w:szCs w:val="20"/>
              </w:rPr>
              <w:t>Cryptographic key</w:t>
            </w:r>
            <w:commentRangeEnd w:id="50"/>
            <w:r w:rsidRPr="00C462A0">
              <w:rPr>
                <w:rStyle w:val="CommentReference"/>
                <w:rFonts w:cstheme="minorHAnsi"/>
                <w:bCs/>
                <w:iCs/>
                <w:sz w:val="20"/>
                <w:szCs w:val="20"/>
              </w:rPr>
              <w:commentReference w:id="50"/>
            </w:r>
            <w:commentRangeEnd w:id="51"/>
            <w:r w:rsidRPr="00C462A0">
              <w:rPr>
                <w:rStyle w:val="CommentReference"/>
                <w:rFonts w:cstheme="minorHAnsi"/>
                <w:bCs/>
                <w:iCs/>
                <w:sz w:val="20"/>
                <w:szCs w:val="20"/>
              </w:rPr>
              <w:commentReference w:id="51"/>
            </w:r>
            <w:r w:rsidRPr="00C462A0">
              <w:rPr>
                <w:rFonts w:cstheme="minorHAnsi"/>
                <w:bCs/>
                <w:iCs/>
                <w:szCs w:val="20"/>
              </w:rPr>
              <w:t xml:space="preserve"> – The secret value that controls encryption and decryption.</w:t>
            </w:r>
          </w:p>
          <w:p w14:paraId="3D927234" w14:textId="77777777" w:rsidR="006B0DE2" w:rsidRPr="00C462A0" w:rsidRDefault="006B0DE2" w:rsidP="006B0DE2">
            <w:pPr>
              <w:jc w:val="both"/>
              <w:rPr>
                <w:rFonts w:cstheme="minorHAnsi"/>
                <w:bCs/>
                <w:iCs/>
                <w:szCs w:val="20"/>
              </w:rPr>
            </w:pPr>
            <w:r w:rsidRPr="00C462A0">
              <w:rPr>
                <w:rFonts w:cstheme="minorHAnsi"/>
                <w:bCs/>
                <w:iCs/>
                <w:szCs w:val="20"/>
              </w:rPr>
              <w:t>The overall level of security depends not only on the strength of the algorithm but also on effective, secure key management.</w:t>
            </w:r>
          </w:p>
          <w:p w14:paraId="54186705" w14:textId="77777777" w:rsidR="00C462A0" w:rsidRDefault="00C462A0" w:rsidP="00C462A0">
            <w:pPr>
              <w:keepNext/>
              <w:jc w:val="center"/>
              <w:rPr>
                <w:rFonts w:cstheme="minorHAnsi"/>
                <w:noProof/>
                <w:szCs w:val="20"/>
              </w:rPr>
            </w:pPr>
          </w:p>
          <w:p w14:paraId="36341673" w14:textId="7189F211" w:rsidR="006B0DE2" w:rsidRPr="00C462A0" w:rsidRDefault="006B0DE2" w:rsidP="00C462A0">
            <w:pPr>
              <w:keepNext/>
              <w:jc w:val="center"/>
              <w:rPr>
                <w:rFonts w:cstheme="minorHAnsi"/>
                <w:szCs w:val="20"/>
              </w:rPr>
            </w:pPr>
            <w:r w:rsidRPr="00C462A0">
              <w:rPr>
                <w:rFonts w:cstheme="minorHAnsi"/>
                <w:noProof/>
                <w:szCs w:val="20"/>
              </w:rPr>
              <w:drawing>
                <wp:inline distT="0" distB="0" distL="0" distR="0" wp14:anchorId="484D700E" wp14:editId="40D924E9">
                  <wp:extent cx="4986275" cy="2658534"/>
                  <wp:effectExtent l="0" t="0" r="5080" b="8890"/>
                  <wp:docPr id="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pic:cNvPicPr>
                        </pic:nvPicPr>
                        <pic:blipFill rotWithShape="1">
                          <a:blip r:embed="rId91"/>
                          <a:srcRect t="20008"/>
                          <a:stretch>
                            <a:fillRect/>
                          </a:stretch>
                        </pic:blipFill>
                        <pic:spPr bwMode="auto">
                          <a:xfrm>
                            <a:off x="0" y="0"/>
                            <a:ext cx="5043277" cy="2688926"/>
                          </a:xfrm>
                          <a:prstGeom prst="rect">
                            <a:avLst/>
                          </a:prstGeom>
                          <a:noFill/>
                          <a:ln>
                            <a:noFill/>
                          </a:ln>
                          <a:extLst>
                            <a:ext uri="{53640926-AAD7-44D8-BBD7-CCE9431645EC}">
                              <a14:shadowObscured xmlns:a14="http://schemas.microsoft.com/office/drawing/2010/main"/>
                            </a:ext>
                          </a:extLst>
                        </pic:spPr>
                      </pic:pic>
                    </a:graphicData>
                  </a:graphic>
                </wp:inline>
              </w:drawing>
            </w:r>
          </w:p>
          <w:p w14:paraId="566DC76F" w14:textId="6569E3F2" w:rsidR="006B0DE2" w:rsidRDefault="006B0DE2" w:rsidP="00C462A0">
            <w:pPr>
              <w:pStyle w:val="Caption"/>
              <w:jc w:val="center"/>
              <w:rPr>
                <w:rFonts w:cstheme="minorHAnsi"/>
                <w:b w:val="0"/>
                <w:bCs w:val="0"/>
                <w:sz w:val="18"/>
                <w:szCs w:val="18"/>
              </w:rPr>
            </w:pPr>
            <w:bookmarkStart w:id="52" w:name="_Toc227623460"/>
            <w:r w:rsidRPr="00C462A0">
              <w:rPr>
                <w:rFonts w:cstheme="minorHAnsi"/>
                <w:b w:val="0"/>
                <w:bCs w:val="0"/>
                <w:sz w:val="18"/>
                <w:szCs w:val="18"/>
              </w:rPr>
              <w:t xml:space="preserve">Figure </w:t>
            </w:r>
            <w:r w:rsidRPr="00C462A0">
              <w:rPr>
                <w:rFonts w:cstheme="minorHAnsi"/>
                <w:b w:val="0"/>
                <w:bCs w:val="0"/>
                <w:sz w:val="18"/>
                <w:szCs w:val="18"/>
              </w:rPr>
              <w:fldChar w:fldCharType="begin"/>
            </w:r>
            <w:r w:rsidRPr="00C462A0">
              <w:rPr>
                <w:rFonts w:cstheme="minorHAnsi"/>
                <w:b w:val="0"/>
                <w:bCs w:val="0"/>
                <w:sz w:val="18"/>
                <w:szCs w:val="18"/>
              </w:rPr>
              <w:instrText xml:space="preserve"> SEQ Figure \* ARABIC </w:instrText>
            </w:r>
            <w:r w:rsidRPr="00C462A0">
              <w:rPr>
                <w:rFonts w:cstheme="minorHAnsi"/>
                <w:b w:val="0"/>
                <w:bCs w:val="0"/>
                <w:sz w:val="18"/>
                <w:szCs w:val="18"/>
              </w:rPr>
              <w:fldChar w:fldCharType="separate"/>
            </w:r>
            <w:r w:rsidRPr="00C462A0">
              <w:rPr>
                <w:rFonts w:cstheme="minorHAnsi"/>
                <w:b w:val="0"/>
                <w:bCs w:val="0"/>
                <w:sz w:val="18"/>
                <w:szCs w:val="18"/>
              </w:rPr>
              <w:t>23</w:t>
            </w:r>
            <w:r w:rsidRPr="00C462A0">
              <w:rPr>
                <w:rFonts w:cstheme="minorHAnsi"/>
                <w:b w:val="0"/>
                <w:bCs w:val="0"/>
                <w:sz w:val="18"/>
                <w:szCs w:val="18"/>
              </w:rPr>
              <w:fldChar w:fldCharType="end"/>
            </w:r>
            <w:r w:rsidR="005F7F46" w:rsidRPr="00C462A0">
              <w:rPr>
                <w:rFonts w:cstheme="minorHAnsi"/>
                <w:b w:val="0"/>
                <w:bCs w:val="0"/>
                <w:sz w:val="18"/>
                <w:szCs w:val="18"/>
              </w:rPr>
              <w:t>.</w:t>
            </w:r>
            <w:r w:rsidRPr="00C462A0">
              <w:rPr>
                <w:rFonts w:cstheme="minorHAnsi"/>
                <w:b w:val="0"/>
                <w:bCs w:val="0"/>
                <w:sz w:val="18"/>
                <w:szCs w:val="18"/>
              </w:rPr>
              <w:t xml:space="preserve"> Basic encryption process. The encryption and decryption keys may be identical in symmetric cryptography or different in asymmetric cryptography (public and private key pairs)</w:t>
            </w:r>
            <w:r w:rsidR="005F7F46" w:rsidRPr="00C462A0">
              <w:rPr>
                <w:rFonts w:cstheme="minorHAnsi"/>
                <w:b w:val="0"/>
                <w:bCs w:val="0"/>
                <w:sz w:val="18"/>
                <w:szCs w:val="18"/>
              </w:rPr>
              <w:t xml:space="preserve"> (source: Author)</w:t>
            </w:r>
            <w:bookmarkEnd w:id="52"/>
            <w:r w:rsidR="005F7F46" w:rsidRPr="00C462A0">
              <w:rPr>
                <w:rFonts w:cstheme="minorHAnsi"/>
                <w:b w:val="0"/>
                <w:bCs w:val="0"/>
                <w:sz w:val="18"/>
                <w:szCs w:val="18"/>
              </w:rPr>
              <w:t xml:space="preserve"> </w:t>
            </w:r>
          </w:p>
          <w:p w14:paraId="1190F533" w14:textId="7DB28666" w:rsidR="0031451E" w:rsidRPr="0031451E" w:rsidRDefault="0031451E" w:rsidP="0031451E">
            <w:pPr>
              <w:jc w:val="both"/>
              <w:rPr>
                <w:i/>
                <w:iCs/>
                <w:sz w:val="18"/>
                <w:szCs w:val="20"/>
              </w:rPr>
            </w:pPr>
            <w:r w:rsidRPr="0031451E">
              <w:rPr>
                <w:i/>
                <w:iCs/>
                <w:sz w:val="18"/>
                <w:szCs w:val="20"/>
              </w:rPr>
              <w:lastRenderedPageBreak/>
              <w:t>The image</w:t>
            </w:r>
            <w:r>
              <w:rPr>
                <w:i/>
                <w:iCs/>
                <w:sz w:val="18"/>
                <w:szCs w:val="20"/>
              </w:rPr>
              <w:t xml:space="preserve"> above</w:t>
            </w:r>
            <w:r w:rsidRPr="0031451E">
              <w:rPr>
                <w:i/>
                <w:iCs/>
                <w:sz w:val="18"/>
                <w:szCs w:val="20"/>
              </w:rPr>
              <w:t xml:space="preserve"> illustrates the fundamental process of Symmetric Encryption, where the same secret key is used for both securing and unlocking data.</w:t>
            </w:r>
            <w:r>
              <w:rPr>
                <w:i/>
                <w:iCs/>
                <w:sz w:val="18"/>
                <w:szCs w:val="20"/>
              </w:rPr>
              <w:t xml:space="preserve">  </w:t>
            </w:r>
            <w:r w:rsidRPr="0031451E">
              <w:rPr>
                <w:i/>
                <w:iCs/>
                <w:sz w:val="18"/>
                <w:szCs w:val="20"/>
              </w:rPr>
              <w:t>1. Plaintext (Input)</w:t>
            </w:r>
            <w:r>
              <w:rPr>
                <w:i/>
                <w:iCs/>
                <w:sz w:val="18"/>
                <w:szCs w:val="20"/>
              </w:rPr>
              <w:t xml:space="preserve"> - </w:t>
            </w:r>
            <w:r w:rsidRPr="0031451E">
              <w:rPr>
                <w:i/>
                <w:iCs/>
                <w:sz w:val="18"/>
                <w:szCs w:val="20"/>
              </w:rPr>
              <w:t>The process begins with Plaintext, which is the original, readable data (e.g., "Hello").</w:t>
            </w:r>
            <w:r>
              <w:rPr>
                <w:i/>
                <w:iCs/>
                <w:sz w:val="18"/>
                <w:szCs w:val="20"/>
              </w:rPr>
              <w:t xml:space="preserve"> </w:t>
            </w:r>
            <w:r w:rsidRPr="0031451E">
              <w:rPr>
                <w:i/>
                <w:iCs/>
                <w:sz w:val="18"/>
                <w:szCs w:val="20"/>
              </w:rPr>
              <w:t>2. Encryption</w:t>
            </w:r>
            <w:r>
              <w:rPr>
                <w:i/>
                <w:iCs/>
                <w:sz w:val="18"/>
                <w:szCs w:val="20"/>
              </w:rPr>
              <w:t xml:space="preserve"> - </w:t>
            </w:r>
            <w:r w:rsidRPr="0031451E">
              <w:rPr>
                <w:i/>
                <w:iCs/>
                <w:sz w:val="18"/>
                <w:szCs w:val="20"/>
              </w:rPr>
              <w:t>An Encryption Algorithm (like AES) uses a specific Encryption Key to scramble the plaintext. This transforms the readable data into Ciphertext, which appears as a random string of characters (e.g., "A3f$9#x1@").</w:t>
            </w:r>
            <w:r>
              <w:rPr>
                <w:i/>
                <w:iCs/>
                <w:sz w:val="18"/>
                <w:szCs w:val="20"/>
              </w:rPr>
              <w:t xml:space="preserve"> </w:t>
            </w:r>
            <w:r w:rsidRPr="0031451E">
              <w:rPr>
                <w:i/>
                <w:iCs/>
                <w:sz w:val="18"/>
                <w:szCs w:val="20"/>
              </w:rPr>
              <w:t>3. Decryption</w:t>
            </w:r>
            <w:r>
              <w:rPr>
                <w:i/>
                <w:iCs/>
                <w:sz w:val="18"/>
                <w:szCs w:val="20"/>
              </w:rPr>
              <w:t xml:space="preserve"> - </w:t>
            </w:r>
            <w:r w:rsidRPr="0031451E">
              <w:rPr>
                <w:i/>
                <w:iCs/>
                <w:sz w:val="18"/>
                <w:szCs w:val="20"/>
              </w:rPr>
              <w:t>To make the data readable again, the Decryption Algorithm uses the corresponding Decryption Key (which, in symmetric encryption, is the same as the encryption key) to reverse the process.</w:t>
            </w:r>
            <w:r>
              <w:rPr>
                <w:i/>
                <w:iCs/>
                <w:sz w:val="18"/>
                <w:szCs w:val="20"/>
              </w:rPr>
              <w:t xml:space="preserve"> </w:t>
            </w:r>
            <w:r w:rsidRPr="0031451E">
              <w:rPr>
                <w:i/>
                <w:iCs/>
                <w:sz w:val="18"/>
                <w:szCs w:val="20"/>
              </w:rPr>
              <w:t>4. Plaintext (Output)</w:t>
            </w:r>
            <w:r>
              <w:rPr>
                <w:i/>
                <w:iCs/>
                <w:sz w:val="18"/>
                <w:szCs w:val="20"/>
              </w:rPr>
              <w:t xml:space="preserve"> - </w:t>
            </w:r>
            <w:r w:rsidRPr="0031451E">
              <w:rPr>
                <w:i/>
                <w:iCs/>
                <w:sz w:val="18"/>
                <w:szCs w:val="20"/>
              </w:rPr>
              <w:t>Once decrypted, the data is restored to its original format, allowing the recipient to read the "Hello" message exactly as it was sent.</w:t>
            </w:r>
            <w:r>
              <w:rPr>
                <w:i/>
                <w:iCs/>
                <w:sz w:val="18"/>
                <w:szCs w:val="20"/>
              </w:rPr>
              <w:t xml:space="preserve"> </w:t>
            </w:r>
            <w:r w:rsidRPr="0031451E">
              <w:rPr>
                <w:i/>
                <w:iCs/>
                <w:sz w:val="18"/>
                <w:szCs w:val="20"/>
              </w:rPr>
              <w:t>Key takeaway: Without the correct secret key, the ciphertext remains unreadable, ensuring the data's confidentiality during transmission or storage.</w:t>
            </w:r>
          </w:p>
          <w:p w14:paraId="150C40AE" w14:textId="77777777" w:rsidR="0031451E" w:rsidRPr="0031451E" w:rsidRDefault="0031451E" w:rsidP="0031451E"/>
          <w:p w14:paraId="4C88E223" w14:textId="1AB5DFE1" w:rsidR="006B0DE2" w:rsidRPr="00C462A0" w:rsidRDefault="006B0DE2" w:rsidP="005F7F46">
            <w:pPr>
              <w:pStyle w:val="ListParagraph"/>
              <w:numPr>
                <w:ilvl w:val="0"/>
                <w:numId w:val="374"/>
              </w:numPr>
              <w:jc w:val="both"/>
              <w:rPr>
                <w:rFonts w:cstheme="minorHAnsi"/>
                <w:b/>
                <w:bCs/>
                <w:iCs/>
                <w:color w:val="009889" w:themeColor="accent2"/>
                <w:szCs w:val="20"/>
              </w:rPr>
            </w:pPr>
            <w:r w:rsidRPr="00C462A0">
              <w:rPr>
                <w:rFonts w:cstheme="minorHAnsi"/>
                <w:b/>
                <w:bCs/>
                <w:iCs/>
                <w:color w:val="009889" w:themeColor="accent2"/>
                <w:szCs w:val="20"/>
              </w:rPr>
              <w:t>Symmetric and Asymmetric Encryption</w:t>
            </w:r>
          </w:p>
          <w:p w14:paraId="3A58395F" w14:textId="77777777" w:rsidR="006B0DE2" w:rsidRPr="00C462A0" w:rsidRDefault="006B0DE2" w:rsidP="006B0DE2">
            <w:pPr>
              <w:jc w:val="both"/>
              <w:rPr>
                <w:rFonts w:cstheme="minorHAnsi"/>
                <w:bCs/>
                <w:iCs/>
                <w:szCs w:val="20"/>
              </w:rPr>
            </w:pPr>
            <w:r w:rsidRPr="00C462A0">
              <w:rPr>
                <w:rFonts w:cstheme="minorHAnsi"/>
                <w:bCs/>
                <w:iCs/>
                <w:szCs w:val="20"/>
              </w:rPr>
              <w:t>Two main encryption models are commonly used:</w:t>
            </w:r>
          </w:p>
          <w:p w14:paraId="659DD77D" w14:textId="77777777" w:rsidR="006B0DE2" w:rsidRPr="00C462A0" w:rsidRDefault="006B0DE2" w:rsidP="006B0DE2">
            <w:pPr>
              <w:pStyle w:val="ListParagraph"/>
              <w:numPr>
                <w:ilvl w:val="0"/>
                <w:numId w:val="363"/>
              </w:numPr>
              <w:jc w:val="both"/>
              <w:rPr>
                <w:rFonts w:cstheme="minorHAnsi"/>
                <w:bCs/>
                <w:iCs/>
                <w:szCs w:val="20"/>
              </w:rPr>
            </w:pPr>
            <w:r w:rsidRPr="00C462A0">
              <w:rPr>
                <w:rFonts w:cstheme="minorHAnsi"/>
                <w:b/>
                <w:bCs/>
                <w:iCs/>
                <w:szCs w:val="20"/>
              </w:rPr>
              <w:t xml:space="preserve">Symmetric Encryption: </w:t>
            </w:r>
            <w:r w:rsidRPr="00C462A0">
              <w:rPr>
                <w:rFonts w:cstheme="minorHAnsi"/>
                <w:bCs/>
                <w:iCs/>
                <w:szCs w:val="20"/>
              </w:rPr>
              <w:t>Uses a single shared secret key for both encryption and decryption. Efficient and well-suited for handling large volumes of data. Requires secure distribution and protection of the shared key.</w:t>
            </w:r>
          </w:p>
          <w:p w14:paraId="7360B86A" w14:textId="77777777" w:rsidR="006B0DE2" w:rsidRPr="00C462A0" w:rsidRDefault="006B0DE2" w:rsidP="006B0DE2">
            <w:pPr>
              <w:pStyle w:val="ListParagraph"/>
              <w:numPr>
                <w:ilvl w:val="0"/>
                <w:numId w:val="363"/>
              </w:numPr>
              <w:jc w:val="both"/>
              <w:rPr>
                <w:rFonts w:cstheme="minorHAnsi"/>
                <w:bCs/>
                <w:iCs/>
                <w:szCs w:val="20"/>
              </w:rPr>
            </w:pPr>
            <w:r w:rsidRPr="00C462A0">
              <w:rPr>
                <w:rFonts w:cstheme="minorHAnsi"/>
                <w:b/>
                <w:bCs/>
                <w:iCs/>
                <w:szCs w:val="20"/>
              </w:rPr>
              <w:t xml:space="preserve">Asymmetric Encryption: </w:t>
            </w:r>
            <w:r w:rsidRPr="00C462A0">
              <w:rPr>
                <w:rFonts w:cstheme="minorHAnsi"/>
                <w:bCs/>
                <w:iCs/>
                <w:szCs w:val="20"/>
              </w:rPr>
              <w:t>Uses a pair of keys, a public key and a private key. Enables secure key exchange and digital signature mechanisms. It is computationally more resource-intensive. In practice, modern secure communication protocols combine both approaches. Asymmetric cryptography is typically used to establish a shared secret key through key exchange mechanisms such as Diffie–Hellman key exchange, while symmetric encryption is then used to efficiently encrypt the actual data transmitted between parties.</w:t>
            </w:r>
          </w:p>
          <w:p w14:paraId="608FAAD3" w14:textId="77777777" w:rsidR="006B0DE2" w:rsidRPr="00C462A0" w:rsidRDefault="006B0DE2" w:rsidP="006B0DE2">
            <w:pPr>
              <w:jc w:val="both"/>
              <w:rPr>
                <w:rFonts w:cstheme="minorHAnsi"/>
                <w:bCs/>
                <w:iCs/>
                <w:szCs w:val="20"/>
              </w:rPr>
            </w:pPr>
          </w:p>
          <w:p w14:paraId="02994549" w14:textId="40A87C02" w:rsidR="006B0DE2" w:rsidRPr="00C462A0" w:rsidRDefault="006B0DE2" w:rsidP="005F7F46">
            <w:pPr>
              <w:pStyle w:val="ListParagraph"/>
              <w:numPr>
                <w:ilvl w:val="0"/>
                <w:numId w:val="374"/>
              </w:numPr>
              <w:jc w:val="both"/>
              <w:rPr>
                <w:rFonts w:cstheme="minorHAnsi"/>
                <w:bCs/>
                <w:iCs/>
                <w:color w:val="009889" w:themeColor="accent2"/>
                <w:szCs w:val="20"/>
              </w:rPr>
            </w:pPr>
            <w:r w:rsidRPr="00C462A0">
              <w:rPr>
                <w:rFonts w:cstheme="minorHAnsi"/>
                <w:b/>
                <w:iCs/>
                <w:color w:val="009889" w:themeColor="accent2"/>
                <w:szCs w:val="20"/>
              </w:rPr>
              <w:t>Encryption in Sustainable Systems</w:t>
            </w:r>
          </w:p>
          <w:p w14:paraId="4D03B2D2" w14:textId="77777777" w:rsidR="006B0DE2" w:rsidRPr="00C462A0" w:rsidRDefault="006B0DE2" w:rsidP="006B0DE2">
            <w:pPr>
              <w:jc w:val="both"/>
              <w:rPr>
                <w:rFonts w:cstheme="minorHAnsi"/>
                <w:bCs/>
                <w:iCs/>
                <w:szCs w:val="20"/>
              </w:rPr>
            </w:pPr>
            <w:r w:rsidRPr="00C462A0">
              <w:rPr>
                <w:rFonts w:cstheme="minorHAnsi"/>
                <w:bCs/>
                <w:iCs/>
                <w:szCs w:val="20"/>
              </w:rPr>
              <w:t>Encryption is applied at multiple layers within sustainable infrastructures:</w:t>
            </w:r>
          </w:p>
          <w:p w14:paraId="21F01010" w14:textId="77777777" w:rsidR="006B0DE2" w:rsidRPr="00C462A0" w:rsidRDefault="006B0DE2" w:rsidP="006B0DE2">
            <w:pPr>
              <w:pStyle w:val="ListParagraph"/>
              <w:numPr>
                <w:ilvl w:val="0"/>
                <w:numId w:val="365"/>
              </w:numPr>
              <w:jc w:val="both"/>
              <w:rPr>
                <w:rFonts w:cstheme="minorHAnsi"/>
                <w:bCs/>
                <w:iCs/>
                <w:szCs w:val="20"/>
              </w:rPr>
            </w:pPr>
            <w:r w:rsidRPr="00C462A0">
              <w:rPr>
                <w:rFonts w:cstheme="minorHAnsi"/>
                <w:bCs/>
                <w:iCs/>
                <w:szCs w:val="20"/>
              </w:rPr>
              <w:t>Data in transit: Securing communication between IoT sensors, gateways, and cloud platforms, for example, through TLS-based encryption.</w:t>
            </w:r>
          </w:p>
          <w:p w14:paraId="11A50444" w14:textId="77777777" w:rsidR="006B0DE2" w:rsidRPr="00C462A0" w:rsidRDefault="006B0DE2" w:rsidP="006B0DE2">
            <w:pPr>
              <w:pStyle w:val="ListParagraph"/>
              <w:numPr>
                <w:ilvl w:val="0"/>
                <w:numId w:val="364"/>
              </w:numPr>
              <w:jc w:val="both"/>
              <w:rPr>
                <w:rFonts w:cstheme="minorHAnsi"/>
                <w:bCs/>
                <w:iCs/>
                <w:szCs w:val="20"/>
              </w:rPr>
            </w:pPr>
            <w:r w:rsidRPr="00C462A0">
              <w:rPr>
                <w:rFonts w:cstheme="minorHAnsi"/>
                <w:bCs/>
                <w:iCs/>
                <w:szCs w:val="20"/>
              </w:rPr>
              <w:t>Data at rest: Encrypting databases that store ESG metrics or operational logs.</w:t>
            </w:r>
          </w:p>
          <w:p w14:paraId="02A15F00" w14:textId="77777777" w:rsidR="006B0DE2" w:rsidRPr="00C462A0" w:rsidRDefault="006B0DE2" w:rsidP="006B0DE2">
            <w:pPr>
              <w:pStyle w:val="ListParagraph"/>
              <w:numPr>
                <w:ilvl w:val="0"/>
                <w:numId w:val="364"/>
              </w:numPr>
              <w:jc w:val="both"/>
              <w:rPr>
                <w:rFonts w:cstheme="minorHAnsi"/>
                <w:bCs/>
                <w:iCs/>
                <w:szCs w:val="20"/>
              </w:rPr>
            </w:pPr>
            <w:r w:rsidRPr="00C462A0">
              <w:rPr>
                <w:rFonts w:cstheme="minorHAnsi"/>
                <w:bCs/>
                <w:iCs/>
                <w:szCs w:val="20"/>
              </w:rPr>
              <w:t>Device-level encryption: Protecting firmware and embedded credentials within IoT devices.</w:t>
            </w:r>
          </w:p>
          <w:p w14:paraId="1701DF39" w14:textId="77777777" w:rsidR="006B0DE2" w:rsidRPr="00C462A0" w:rsidRDefault="006B0DE2" w:rsidP="006B0DE2">
            <w:pPr>
              <w:pStyle w:val="ListParagraph"/>
              <w:numPr>
                <w:ilvl w:val="0"/>
                <w:numId w:val="364"/>
              </w:numPr>
              <w:jc w:val="both"/>
              <w:rPr>
                <w:rFonts w:cstheme="minorHAnsi"/>
                <w:bCs/>
                <w:iCs/>
                <w:szCs w:val="20"/>
              </w:rPr>
            </w:pPr>
            <w:r w:rsidRPr="00C462A0">
              <w:rPr>
                <w:rFonts w:cstheme="minorHAnsi"/>
                <w:bCs/>
                <w:iCs/>
                <w:szCs w:val="20"/>
              </w:rPr>
              <w:t>End-to-end encryption: Securing communication across distributed smart grid components.</w:t>
            </w:r>
          </w:p>
          <w:p w14:paraId="3DDD4095" w14:textId="77777777" w:rsidR="006B0DE2" w:rsidRPr="00C462A0" w:rsidRDefault="006B0DE2" w:rsidP="006B0DE2">
            <w:pPr>
              <w:jc w:val="both"/>
              <w:rPr>
                <w:rFonts w:cstheme="minorHAnsi"/>
                <w:bCs/>
                <w:iCs/>
                <w:szCs w:val="20"/>
              </w:rPr>
            </w:pPr>
            <w:r w:rsidRPr="00C462A0">
              <w:rPr>
                <w:rFonts w:cstheme="minorHAnsi"/>
                <w:bCs/>
                <w:iCs/>
                <w:szCs w:val="20"/>
              </w:rPr>
              <w:t>The International Organisation for Standardisation ISO/IEC 27001 identifies encryption as a key control within information security management systems.</w:t>
            </w:r>
          </w:p>
          <w:p w14:paraId="6C037AC7" w14:textId="77777777" w:rsidR="006B0DE2" w:rsidRPr="00C462A0" w:rsidRDefault="006B0DE2" w:rsidP="006B0DE2">
            <w:pPr>
              <w:jc w:val="both"/>
              <w:rPr>
                <w:rFonts w:cstheme="minorHAnsi"/>
                <w:bCs/>
                <w:iCs/>
                <w:szCs w:val="20"/>
              </w:rPr>
            </w:pPr>
          </w:p>
          <w:p w14:paraId="5C8A1EA6" w14:textId="3FB6A5D6" w:rsidR="006B0DE2" w:rsidRPr="00C462A0" w:rsidRDefault="006B0DE2" w:rsidP="005F7F46">
            <w:pPr>
              <w:pStyle w:val="ListParagraph"/>
              <w:numPr>
                <w:ilvl w:val="0"/>
                <w:numId w:val="374"/>
              </w:numPr>
              <w:jc w:val="both"/>
              <w:rPr>
                <w:rFonts w:cstheme="minorHAnsi"/>
                <w:b/>
                <w:bCs/>
                <w:iCs/>
                <w:color w:val="009889" w:themeColor="accent2"/>
                <w:szCs w:val="20"/>
              </w:rPr>
            </w:pPr>
            <w:r w:rsidRPr="00C462A0">
              <w:rPr>
                <w:rFonts w:cstheme="minorHAnsi"/>
                <w:b/>
                <w:bCs/>
                <w:iCs/>
                <w:color w:val="009889" w:themeColor="accent2"/>
                <w:szCs w:val="20"/>
              </w:rPr>
              <w:t>Encryption and Data Protection Compliance</w:t>
            </w:r>
          </w:p>
          <w:p w14:paraId="39C6B7F9" w14:textId="77777777" w:rsidR="006B0DE2" w:rsidRPr="00C462A0" w:rsidRDefault="006B0DE2" w:rsidP="006B0DE2">
            <w:pPr>
              <w:jc w:val="both"/>
              <w:rPr>
                <w:rFonts w:cstheme="minorHAnsi"/>
                <w:bCs/>
                <w:iCs/>
                <w:szCs w:val="20"/>
              </w:rPr>
            </w:pPr>
            <w:r w:rsidRPr="00C462A0">
              <w:rPr>
                <w:rFonts w:cstheme="minorHAnsi"/>
                <w:bCs/>
                <w:iCs/>
                <w:szCs w:val="20"/>
              </w:rPr>
              <w:t>Encryption contributes to compliance by:</w:t>
            </w:r>
          </w:p>
          <w:p w14:paraId="178C93FE" w14:textId="77777777" w:rsidR="006B0DE2" w:rsidRPr="00C462A0" w:rsidRDefault="006B0DE2" w:rsidP="006B0DE2">
            <w:pPr>
              <w:pStyle w:val="ListParagraph"/>
              <w:numPr>
                <w:ilvl w:val="0"/>
                <w:numId w:val="366"/>
              </w:numPr>
              <w:jc w:val="both"/>
              <w:rPr>
                <w:rFonts w:cstheme="minorHAnsi"/>
                <w:iCs/>
                <w:szCs w:val="20"/>
              </w:rPr>
            </w:pPr>
            <w:r w:rsidRPr="00C462A0">
              <w:rPr>
                <w:rFonts w:cstheme="minorHAnsi"/>
                <w:iCs/>
                <w:szCs w:val="20"/>
              </w:rPr>
              <w:t>Reducing the impact of data breaches.</w:t>
            </w:r>
          </w:p>
          <w:p w14:paraId="07162429" w14:textId="77777777" w:rsidR="006B0DE2" w:rsidRPr="00C462A0" w:rsidRDefault="006B0DE2" w:rsidP="006B0DE2">
            <w:pPr>
              <w:pStyle w:val="ListParagraph"/>
              <w:numPr>
                <w:ilvl w:val="0"/>
                <w:numId w:val="366"/>
              </w:numPr>
              <w:jc w:val="both"/>
              <w:rPr>
                <w:rFonts w:cstheme="minorHAnsi"/>
                <w:iCs/>
                <w:szCs w:val="20"/>
              </w:rPr>
            </w:pPr>
            <w:r w:rsidRPr="00C462A0">
              <w:rPr>
                <w:rFonts w:cstheme="minorHAnsi"/>
                <w:iCs/>
                <w:szCs w:val="20"/>
              </w:rPr>
              <w:t>Protecting personal and sensitive operational data.</w:t>
            </w:r>
          </w:p>
          <w:p w14:paraId="7775E4CD" w14:textId="77777777" w:rsidR="006B0DE2" w:rsidRPr="00C462A0" w:rsidRDefault="006B0DE2" w:rsidP="006B0DE2">
            <w:pPr>
              <w:pStyle w:val="ListParagraph"/>
              <w:numPr>
                <w:ilvl w:val="0"/>
                <w:numId w:val="366"/>
              </w:numPr>
              <w:jc w:val="both"/>
              <w:rPr>
                <w:rFonts w:cstheme="minorHAnsi"/>
                <w:iCs/>
                <w:szCs w:val="20"/>
              </w:rPr>
            </w:pPr>
            <w:r w:rsidRPr="00C462A0">
              <w:rPr>
                <w:rFonts w:cstheme="minorHAnsi"/>
                <w:iCs/>
                <w:szCs w:val="20"/>
              </w:rPr>
              <w:t>Demonstrating the implementation of appropriate technical safeguards.</w:t>
            </w:r>
          </w:p>
          <w:p w14:paraId="00D77740" w14:textId="77777777" w:rsidR="006B0DE2" w:rsidRPr="00C462A0" w:rsidRDefault="006B0DE2" w:rsidP="006B0DE2">
            <w:pPr>
              <w:pStyle w:val="ListParagraph"/>
              <w:numPr>
                <w:ilvl w:val="0"/>
                <w:numId w:val="366"/>
              </w:numPr>
              <w:jc w:val="both"/>
              <w:rPr>
                <w:rFonts w:cstheme="minorHAnsi"/>
                <w:bCs/>
                <w:iCs/>
                <w:szCs w:val="20"/>
              </w:rPr>
            </w:pPr>
            <w:r w:rsidRPr="00C462A0">
              <w:rPr>
                <w:rFonts w:cstheme="minorHAnsi"/>
                <w:iCs/>
                <w:szCs w:val="20"/>
              </w:rPr>
              <w:t>Supporting secure cross-border data transfer mechanisms.</w:t>
            </w:r>
          </w:p>
          <w:p w14:paraId="65067F94" w14:textId="77777777" w:rsidR="006B0DE2" w:rsidRPr="00C462A0" w:rsidRDefault="006B0DE2" w:rsidP="006B0DE2">
            <w:pPr>
              <w:jc w:val="both"/>
              <w:rPr>
                <w:rFonts w:cstheme="minorHAnsi"/>
                <w:bCs/>
                <w:iCs/>
                <w:szCs w:val="20"/>
              </w:rPr>
            </w:pPr>
            <w:r w:rsidRPr="00C462A0">
              <w:rPr>
                <w:rFonts w:cstheme="minorHAnsi"/>
                <w:bCs/>
                <w:iCs/>
                <w:szCs w:val="20"/>
              </w:rPr>
              <w:t>However, encryption by itself does not guarantee compliance. Weak key management practices, misconfigured certificates, or inadequate access controls can significantly reduce its effectiveness.</w:t>
            </w:r>
          </w:p>
          <w:p w14:paraId="45594CD9" w14:textId="77777777" w:rsidR="006B0DE2" w:rsidRPr="00C462A0" w:rsidRDefault="006B0DE2" w:rsidP="006B0DE2">
            <w:pPr>
              <w:jc w:val="both"/>
              <w:rPr>
                <w:rFonts w:cstheme="minorHAnsi"/>
                <w:bCs/>
                <w:iCs/>
                <w:szCs w:val="20"/>
              </w:rPr>
            </w:pPr>
            <w:r w:rsidRPr="00C462A0">
              <w:rPr>
                <w:rFonts w:cstheme="minorHAnsi"/>
                <w:bCs/>
                <w:iCs/>
                <w:szCs w:val="20"/>
              </w:rPr>
              <w:t>ENISA highlights the importance of robust cryptographic governance across digital transformation initiatives and critical infrastructure protection.</w:t>
            </w:r>
          </w:p>
          <w:p w14:paraId="0DE5FE59" w14:textId="77777777" w:rsidR="006B0DE2" w:rsidRPr="00C462A0" w:rsidRDefault="006B0DE2" w:rsidP="006B0DE2">
            <w:pPr>
              <w:jc w:val="both"/>
              <w:rPr>
                <w:rFonts w:cstheme="minorHAnsi"/>
                <w:bCs/>
                <w:iCs/>
                <w:szCs w:val="20"/>
              </w:rPr>
            </w:pPr>
          </w:p>
          <w:p w14:paraId="4B5B43D2" w14:textId="77777777" w:rsidR="006B0DE2" w:rsidRPr="00C462A0" w:rsidRDefault="006B0DE2" w:rsidP="006B0DE2">
            <w:pPr>
              <w:keepNext/>
              <w:jc w:val="both"/>
              <w:rPr>
                <w:rFonts w:cstheme="minorHAnsi"/>
                <w:szCs w:val="20"/>
              </w:rPr>
            </w:pPr>
            <w:r w:rsidRPr="00C462A0">
              <w:rPr>
                <w:rFonts w:cstheme="minorHAnsi"/>
                <w:noProof/>
                <w:szCs w:val="20"/>
              </w:rPr>
              <w:lastRenderedPageBreak/>
              <w:drawing>
                <wp:inline distT="0" distB="0" distL="0" distR="0" wp14:anchorId="2894096F" wp14:editId="5242CE71">
                  <wp:extent cx="5842000" cy="3893855"/>
                  <wp:effectExtent l="0" t="0" r="635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pic:cNvPicPr>
                        </pic:nvPicPr>
                        <pic:blipFill>
                          <a:blip r:embed="rId92"/>
                          <a:stretch/>
                        </pic:blipFill>
                        <pic:spPr bwMode="auto">
                          <a:xfrm>
                            <a:off x="0" y="0"/>
                            <a:ext cx="5849028" cy="3898539"/>
                          </a:xfrm>
                          <a:prstGeom prst="rect">
                            <a:avLst/>
                          </a:prstGeom>
                          <a:noFill/>
                          <a:ln>
                            <a:noFill/>
                          </a:ln>
                        </pic:spPr>
                      </pic:pic>
                    </a:graphicData>
                  </a:graphic>
                </wp:inline>
              </w:drawing>
            </w:r>
          </w:p>
          <w:p w14:paraId="14E0DAE6" w14:textId="2A5AAAEF" w:rsidR="006B0DE2" w:rsidRDefault="006B0DE2" w:rsidP="00C462A0">
            <w:pPr>
              <w:pStyle w:val="Caption"/>
              <w:jc w:val="center"/>
              <w:rPr>
                <w:rFonts w:cstheme="minorHAnsi"/>
                <w:b w:val="0"/>
                <w:bCs w:val="0"/>
                <w:sz w:val="18"/>
                <w:szCs w:val="18"/>
              </w:rPr>
            </w:pPr>
            <w:bookmarkStart w:id="53" w:name="_Toc227623461"/>
            <w:r w:rsidRPr="00C462A0">
              <w:rPr>
                <w:rFonts w:cstheme="minorHAnsi"/>
                <w:b w:val="0"/>
                <w:bCs w:val="0"/>
                <w:sz w:val="18"/>
                <w:szCs w:val="18"/>
              </w:rPr>
              <w:t xml:space="preserve">Figure </w:t>
            </w:r>
            <w:r w:rsidRPr="00C462A0">
              <w:rPr>
                <w:rFonts w:cstheme="minorHAnsi"/>
                <w:b w:val="0"/>
                <w:bCs w:val="0"/>
                <w:sz w:val="18"/>
                <w:szCs w:val="18"/>
              </w:rPr>
              <w:fldChar w:fldCharType="begin"/>
            </w:r>
            <w:r w:rsidRPr="00C462A0">
              <w:rPr>
                <w:rFonts w:cstheme="minorHAnsi"/>
                <w:b w:val="0"/>
                <w:bCs w:val="0"/>
                <w:sz w:val="18"/>
                <w:szCs w:val="18"/>
              </w:rPr>
              <w:instrText xml:space="preserve"> SEQ Figure \* ARABIC </w:instrText>
            </w:r>
            <w:r w:rsidRPr="00C462A0">
              <w:rPr>
                <w:rFonts w:cstheme="minorHAnsi"/>
                <w:b w:val="0"/>
                <w:bCs w:val="0"/>
                <w:sz w:val="18"/>
                <w:szCs w:val="18"/>
              </w:rPr>
              <w:fldChar w:fldCharType="separate"/>
            </w:r>
            <w:r w:rsidRPr="00C462A0">
              <w:rPr>
                <w:rFonts w:cstheme="minorHAnsi"/>
                <w:b w:val="0"/>
                <w:bCs w:val="0"/>
                <w:sz w:val="18"/>
                <w:szCs w:val="18"/>
              </w:rPr>
              <w:t>24</w:t>
            </w:r>
            <w:r w:rsidRPr="00C462A0">
              <w:rPr>
                <w:rFonts w:cstheme="minorHAnsi"/>
                <w:b w:val="0"/>
                <w:bCs w:val="0"/>
                <w:sz w:val="18"/>
                <w:szCs w:val="18"/>
              </w:rPr>
              <w:fldChar w:fldCharType="end"/>
            </w:r>
            <w:r w:rsidR="005F7F46" w:rsidRPr="00C462A0">
              <w:rPr>
                <w:rFonts w:cstheme="minorHAnsi"/>
                <w:b w:val="0"/>
                <w:bCs w:val="0"/>
                <w:sz w:val="18"/>
                <w:szCs w:val="18"/>
              </w:rPr>
              <w:t xml:space="preserve">. </w:t>
            </w:r>
            <w:r w:rsidRPr="00C462A0">
              <w:rPr>
                <w:rFonts w:cstheme="minorHAnsi"/>
                <w:b w:val="0"/>
                <w:bCs w:val="0"/>
                <w:sz w:val="18"/>
                <w:szCs w:val="18"/>
              </w:rPr>
              <w:t xml:space="preserve"> End-to-end encryption across IoT, network, and cloud layers, protecting data in transit and at rest through TLS channels and AES-256 encryption</w:t>
            </w:r>
            <w:r w:rsidR="005F7F46" w:rsidRPr="00C462A0">
              <w:rPr>
                <w:rFonts w:cstheme="minorHAnsi"/>
                <w:sz w:val="18"/>
                <w:szCs w:val="18"/>
              </w:rPr>
              <w:t xml:space="preserve"> </w:t>
            </w:r>
            <w:r w:rsidR="005F7F46" w:rsidRPr="00C462A0">
              <w:rPr>
                <w:rFonts w:cstheme="minorHAnsi"/>
                <w:b w:val="0"/>
                <w:bCs w:val="0"/>
                <w:sz w:val="18"/>
                <w:szCs w:val="18"/>
              </w:rPr>
              <w:t>(source: Author)</w:t>
            </w:r>
            <w:bookmarkEnd w:id="53"/>
          </w:p>
          <w:p w14:paraId="392F450C" w14:textId="77777777" w:rsidR="00C462A0" w:rsidRDefault="00C462A0" w:rsidP="00C462A0"/>
          <w:p w14:paraId="60BD4C5B" w14:textId="1CAEF8CD" w:rsidR="00C462A0" w:rsidRPr="0031451E" w:rsidRDefault="0031451E" w:rsidP="0031451E">
            <w:pPr>
              <w:jc w:val="both"/>
              <w:rPr>
                <w:i/>
                <w:iCs/>
                <w:sz w:val="18"/>
                <w:szCs w:val="20"/>
              </w:rPr>
            </w:pPr>
            <w:r w:rsidRPr="0031451E">
              <w:rPr>
                <w:i/>
                <w:iCs/>
                <w:sz w:val="18"/>
                <w:szCs w:val="20"/>
              </w:rPr>
              <w:t>Th</w:t>
            </w:r>
            <w:r>
              <w:rPr>
                <w:i/>
                <w:iCs/>
                <w:sz w:val="18"/>
                <w:szCs w:val="20"/>
              </w:rPr>
              <w:t>e</w:t>
            </w:r>
            <w:r w:rsidRPr="0031451E">
              <w:rPr>
                <w:i/>
                <w:iCs/>
                <w:sz w:val="18"/>
                <w:szCs w:val="20"/>
              </w:rPr>
              <w:t xml:space="preserve"> diagram</w:t>
            </w:r>
            <w:r>
              <w:rPr>
                <w:i/>
                <w:iCs/>
                <w:sz w:val="18"/>
                <w:szCs w:val="20"/>
              </w:rPr>
              <w:t xml:space="preserve"> above</w:t>
            </w:r>
            <w:r w:rsidRPr="0031451E">
              <w:rPr>
                <w:i/>
                <w:iCs/>
                <w:sz w:val="18"/>
                <w:szCs w:val="20"/>
              </w:rPr>
              <w:t xml:space="preserve"> illustrates a secure end-to-end architecture for protecting Internet of Things (IoT) data as it travels from devices through a network to cloud storage.</w:t>
            </w:r>
            <w:r>
              <w:rPr>
                <w:i/>
                <w:iCs/>
                <w:sz w:val="18"/>
                <w:szCs w:val="20"/>
              </w:rPr>
              <w:t xml:space="preserve"> </w:t>
            </w:r>
            <w:r w:rsidRPr="0031451E">
              <w:rPr>
                <w:i/>
                <w:iCs/>
                <w:sz w:val="18"/>
                <w:szCs w:val="20"/>
              </w:rPr>
              <w:t xml:space="preserve">IoT Device Layer: Data is encrypted directly on devices (like sensors, smart meters, and cameras) using AES-256 and protected by secure hardware. Network Communication Layer: Data is transmitted securely across the internet using TLS 1.3 to ensure an encrypted channel, authentication, and integrity. Cloud Storage Layer: Data is stored in a secure cloud server and encrypted database using AES-256, with key management for access control. </w:t>
            </w:r>
            <w:r>
              <w:rPr>
                <w:i/>
                <w:iCs/>
                <w:sz w:val="18"/>
                <w:szCs w:val="20"/>
              </w:rPr>
              <w:t xml:space="preserve"> </w:t>
            </w:r>
            <w:r w:rsidRPr="0031451E">
              <w:rPr>
                <w:i/>
                <w:iCs/>
                <w:sz w:val="18"/>
                <w:szCs w:val="20"/>
              </w:rPr>
              <w:t>Data Flow: The process ensures comprehensive protection from the initial data generation to final storage.</w:t>
            </w:r>
          </w:p>
          <w:p w14:paraId="2D938C81" w14:textId="77777777" w:rsidR="0031451E" w:rsidRPr="00C462A0" w:rsidRDefault="0031451E" w:rsidP="0031451E"/>
          <w:p w14:paraId="113A6234" w14:textId="1DFB8D3A" w:rsidR="006B0DE2" w:rsidRPr="00C462A0" w:rsidRDefault="006B0DE2" w:rsidP="005F7F46">
            <w:pPr>
              <w:pStyle w:val="ListParagraph"/>
              <w:numPr>
                <w:ilvl w:val="0"/>
                <w:numId w:val="374"/>
              </w:numPr>
              <w:jc w:val="both"/>
              <w:rPr>
                <w:rFonts w:cstheme="minorHAnsi"/>
                <w:b/>
                <w:bCs/>
                <w:iCs/>
                <w:color w:val="009889" w:themeColor="accent2"/>
                <w:szCs w:val="20"/>
              </w:rPr>
            </w:pPr>
            <w:r w:rsidRPr="00C462A0">
              <w:rPr>
                <w:rFonts w:cstheme="minorHAnsi"/>
                <w:b/>
                <w:bCs/>
                <w:iCs/>
                <w:color w:val="009889" w:themeColor="accent2"/>
                <w:szCs w:val="20"/>
              </w:rPr>
              <w:t>Risks and Limitations of Encryption</w:t>
            </w:r>
          </w:p>
          <w:p w14:paraId="07D624A9" w14:textId="77777777" w:rsidR="006B0DE2" w:rsidRPr="00C462A0" w:rsidRDefault="006B0DE2" w:rsidP="006B0DE2">
            <w:pPr>
              <w:jc w:val="both"/>
              <w:rPr>
                <w:rFonts w:cstheme="minorHAnsi"/>
                <w:bCs/>
                <w:iCs/>
                <w:szCs w:val="20"/>
              </w:rPr>
            </w:pPr>
            <w:r w:rsidRPr="00C462A0">
              <w:rPr>
                <w:rFonts w:cstheme="minorHAnsi"/>
                <w:bCs/>
                <w:iCs/>
                <w:szCs w:val="20"/>
              </w:rPr>
              <w:t>Encryption can fail if:</w:t>
            </w:r>
          </w:p>
          <w:p w14:paraId="3D490A9C" w14:textId="77777777" w:rsidR="006B0DE2" w:rsidRPr="00C462A0" w:rsidRDefault="006B0DE2" w:rsidP="006B0DE2">
            <w:pPr>
              <w:pStyle w:val="ListParagraph"/>
              <w:numPr>
                <w:ilvl w:val="0"/>
                <w:numId w:val="367"/>
              </w:numPr>
              <w:jc w:val="both"/>
              <w:rPr>
                <w:rFonts w:cstheme="minorHAnsi"/>
                <w:iCs/>
                <w:szCs w:val="20"/>
              </w:rPr>
            </w:pPr>
            <w:r w:rsidRPr="00C462A0">
              <w:rPr>
                <w:rFonts w:cstheme="minorHAnsi"/>
                <w:iCs/>
                <w:szCs w:val="20"/>
              </w:rPr>
              <w:t>Cryptographic keys are inadequately protected.</w:t>
            </w:r>
          </w:p>
          <w:p w14:paraId="3628EAC0" w14:textId="77777777" w:rsidR="006B0DE2" w:rsidRPr="00C462A0" w:rsidRDefault="006B0DE2" w:rsidP="006B0DE2">
            <w:pPr>
              <w:pStyle w:val="ListParagraph"/>
              <w:numPr>
                <w:ilvl w:val="0"/>
                <w:numId w:val="367"/>
              </w:numPr>
              <w:jc w:val="both"/>
              <w:rPr>
                <w:rFonts w:cstheme="minorHAnsi"/>
                <w:iCs/>
                <w:szCs w:val="20"/>
              </w:rPr>
            </w:pPr>
            <w:r w:rsidRPr="00C462A0">
              <w:rPr>
                <w:rFonts w:cstheme="minorHAnsi"/>
                <w:iCs/>
                <w:szCs w:val="20"/>
              </w:rPr>
              <w:t>Outdated or weak algorithms are used.</w:t>
            </w:r>
          </w:p>
          <w:p w14:paraId="5AC286B0" w14:textId="77777777" w:rsidR="006B0DE2" w:rsidRPr="00C462A0" w:rsidRDefault="006B0DE2" w:rsidP="006B0DE2">
            <w:pPr>
              <w:pStyle w:val="ListParagraph"/>
              <w:numPr>
                <w:ilvl w:val="0"/>
                <w:numId w:val="367"/>
              </w:numPr>
              <w:jc w:val="both"/>
              <w:rPr>
                <w:rFonts w:cstheme="minorHAnsi"/>
                <w:iCs/>
                <w:szCs w:val="20"/>
              </w:rPr>
            </w:pPr>
            <w:r w:rsidRPr="00C462A0">
              <w:rPr>
                <w:rFonts w:cstheme="minorHAnsi"/>
                <w:iCs/>
                <w:szCs w:val="20"/>
              </w:rPr>
              <w:t>Certificates are incorrectly configured.</w:t>
            </w:r>
          </w:p>
          <w:p w14:paraId="73B5FDF4" w14:textId="44DAF323" w:rsidR="006B0DE2" w:rsidRPr="00C462A0" w:rsidRDefault="006B0DE2" w:rsidP="006B0DE2">
            <w:pPr>
              <w:pStyle w:val="ListParagraph"/>
              <w:numPr>
                <w:ilvl w:val="0"/>
                <w:numId w:val="367"/>
              </w:numPr>
              <w:jc w:val="both"/>
              <w:rPr>
                <w:rFonts w:cstheme="minorHAnsi"/>
                <w:iCs/>
                <w:szCs w:val="20"/>
              </w:rPr>
            </w:pPr>
            <w:r w:rsidRPr="00C462A0">
              <w:rPr>
                <w:rFonts w:cstheme="minorHAnsi"/>
                <w:iCs/>
                <w:szCs w:val="20"/>
              </w:rPr>
              <w:t>Key lengths are insufficient for modern security requirements.</w:t>
            </w:r>
            <w:r w:rsidR="0031451E">
              <w:rPr>
                <w:rFonts w:cstheme="minorHAnsi"/>
                <w:iCs/>
                <w:szCs w:val="20"/>
              </w:rPr>
              <w:t xml:space="preserve"> </w:t>
            </w:r>
            <w:commentRangeStart w:id="54"/>
            <w:r w:rsidRPr="00C462A0">
              <w:rPr>
                <w:rFonts w:cstheme="minorHAnsi"/>
                <w:iCs/>
                <w:szCs w:val="20"/>
              </w:rPr>
              <w:t>Encryption is implemented without proper integrity verification.</w:t>
            </w:r>
            <w:commentRangeEnd w:id="54"/>
            <w:r w:rsidRPr="00C462A0">
              <w:rPr>
                <w:rStyle w:val="CommentReference"/>
                <w:rFonts w:cstheme="minorHAnsi"/>
                <w:iCs/>
                <w:sz w:val="20"/>
                <w:szCs w:val="20"/>
              </w:rPr>
              <w:commentReference w:id="54"/>
            </w:r>
          </w:p>
          <w:p w14:paraId="27DC68B0" w14:textId="77777777" w:rsidR="006B0DE2" w:rsidRPr="00C462A0" w:rsidRDefault="006B0DE2" w:rsidP="006B0DE2">
            <w:pPr>
              <w:jc w:val="both"/>
              <w:rPr>
                <w:rFonts w:cstheme="minorHAnsi"/>
                <w:bCs/>
                <w:iCs/>
                <w:szCs w:val="20"/>
              </w:rPr>
            </w:pPr>
            <w:r w:rsidRPr="00C462A0">
              <w:rPr>
                <w:rFonts w:cstheme="minorHAnsi"/>
                <w:bCs/>
                <w:iCs/>
                <w:szCs w:val="20"/>
              </w:rPr>
              <w:t>For this reason, encryption must be embedded within broader governance frameworks that include strong access control, continuous monitoring, and well-defined incident response processes.</w:t>
            </w:r>
          </w:p>
          <w:p w14:paraId="6315B63F" w14:textId="77777777" w:rsidR="006B0DE2" w:rsidRPr="00C462A0" w:rsidRDefault="006B0DE2" w:rsidP="006B0DE2">
            <w:pPr>
              <w:jc w:val="both"/>
              <w:rPr>
                <w:rFonts w:cstheme="minorHAnsi"/>
                <w:bCs/>
                <w:iCs/>
                <w:szCs w:val="20"/>
                <w:u w:val="single"/>
              </w:rPr>
            </w:pPr>
          </w:p>
          <w:p w14:paraId="52FD722A" w14:textId="77777777" w:rsidR="006B0DE2" w:rsidRPr="00C462A0" w:rsidRDefault="006B0DE2" w:rsidP="006B0DE2">
            <w:pPr>
              <w:pStyle w:val="NormalWeb"/>
              <w:spacing w:before="0" w:beforeAutospacing="0" w:after="0" w:afterAutospacing="0"/>
              <w:jc w:val="both"/>
              <w:rPr>
                <w:rFonts w:asciiTheme="minorHAnsi" w:hAnsiTheme="minorHAnsi" w:cstheme="minorHAnsi"/>
                <w:b/>
                <w:color w:val="00AC4E" w:themeColor="accent1"/>
                <w:sz w:val="20"/>
                <w:szCs w:val="20"/>
                <w:u w:val="single"/>
                <w:lang w:val="en-GB"/>
              </w:rPr>
            </w:pPr>
            <w:r w:rsidRPr="00C462A0">
              <w:rPr>
                <w:rFonts w:asciiTheme="minorHAnsi" w:hAnsiTheme="minorHAnsi" w:cstheme="minorHAnsi"/>
                <w:b/>
                <w:bCs/>
                <w:color w:val="00AC4E" w:themeColor="accent1"/>
                <w:sz w:val="20"/>
                <w:szCs w:val="20"/>
                <w:u w:val="single"/>
                <w:lang w:val="en-GB"/>
              </w:rPr>
              <w:t>Micro-activity</w:t>
            </w:r>
            <w:r w:rsidRPr="00C462A0">
              <w:rPr>
                <w:rFonts w:asciiTheme="minorHAnsi" w:hAnsiTheme="minorHAnsi" w:cstheme="minorHAnsi"/>
                <w:b/>
                <w:color w:val="00AC4E" w:themeColor="accent1"/>
                <w:sz w:val="20"/>
                <w:szCs w:val="20"/>
                <w:u w:val="single"/>
                <w:lang w:val="en-GB"/>
              </w:rPr>
              <w:t>:</w:t>
            </w:r>
          </w:p>
          <w:p w14:paraId="6011A8F2" w14:textId="77777777" w:rsidR="006B0DE2" w:rsidRDefault="006B0DE2" w:rsidP="006B0DE2">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Consider a cloud-based ESG platform connected to IoT energy sensors and smart grid control systems.</w:t>
            </w:r>
          </w:p>
          <w:p w14:paraId="2A6B03BF" w14:textId="77777777" w:rsidR="0031451E" w:rsidRPr="00C462A0" w:rsidRDefault="0031451E" w:rsidP="006B0DE2">
            <w:pPr>
              <w:pStyle w:val="NormalWeb"/>
              <w:spacing w:before="0" w:beforeAutospacing="0" w:after="0" w:afterAutospacing="0"/>
              <w:jc w:val="both"/>
              <w:rPr>
                <w:rFonts w:asciiTheme="minorHAnsi" w:hAnsiTheme="minorHAnsi" w:cstheme="minorHAnsi"/>
                <w:bCs/>
                <w:iCs/>
                <w:sz w:val="20"/>
                <w:szCs w:val="20"/>
                <w:lang w:val="en-GB"/>
              </w:rPr>
            </w:pPr>
          </w:p>
          <w:p w14:paraId="208B3724" w14:textId="238DC161" w:rsidR="006B0DE2" w:rsidRPr="00C462A0" w:rsidRDefault="005F7F46" w:rsidP="006B0DE2">
            <w:pPr>
              <w:pStyle w:val="NormalWeb"/>
              <w:spacing w:before="0" w:beforeAutospacing="0" w:after="0" w:afterAutospacing="0"/>
              <w:jc w:val="both"/>
              <w:rPr>
                <w:rFonts w:asciiTheme="minorHAnsi" w:hAnsiTheme="minorHAnsi" w:cstheme="minorHAnsi"/>
                <w:b/>
                <w:iCs/>
                <w:sz w:val="20"/>
                <w:szCs w:val="20"/>
                <w:lang w:val="en-GB"/>
              </w:rPr>
            </w:pPr>
            <w:r w:rsidRPr="00C462A0">
              <w:rPr>
                <w:rFonts w:asciiTheme="minorHAnsi" w:hAnsiTheme="minorHAnsi" w:cstheme="minorHAnsi"/>
                <w:b/>
                <w:iCs/>
                <w:sz w:val="20"/>
                <w:szCs w:val="20"/>
                <w:lang w:val="en-GB"/>
              </w:rPr>
              <w:lastRenderedPageBreak/>
              <w:t>Learner t</w:t>
            </w:r>
            <w:r w:rsidR="006B0DE2" w:rsidRPr="00C462A0">
              <w:rPr>
                <w:rFonts w:asciiTheme="minorHAnsi" w:hAnsiTheme="minorHAnsi" w:cstheme="minorHAnsi"/>
                <w:b/>
                <w:iCs/>
                <w:sz w:val="20"/>
                <w:szCs w:val="20"/>
                <w:lang w:val="en-GB"/>
              </w:rPr>
              <w:t>ask:</w:t>
            </w:r>
          </w:p>
          <w:p w14:paraId="17CF10C9" w14:textId="77777777" w:rsidR="006B0DE2" w:rsidRPr="00C462A0" w:rsidRDefault="006B0DE2" w:rsidP="006B0DE2">
            <w:pPr>
              <w:pStyle w:val="NormalWeb"/>
              <w:numPr>
                <w:ilvl w:val="0"/>
                <w:numId w:val="368"/>
              </w:numPr>
              <w:spacing w:before="40" w:beforeAutospacing="0" w:after="4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Identify one scenario requiring encryption of data in transit.</w:t>
            </w:r>
          </w:p>
          <w:p w14:paraId="7DC3A50A" w14:textId="77777777" w:rsidR="006B0DE2" w:rsidRPr="00C462A0" w:rsidRDefault="006B0DE2" w:rsidP="006B0DE2">
            <w:pPr>
              <w:pStyle w:val="NormalWeb"/>
              <w:numPr>
                <w:ilvl w:val="0"/>
                <w:numId w:val="368"/>
              </w:numPr>
              <w:spacing w:before="40" w:after="4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Identify one scenario requiring encryption of data at rest.</w:t>
            </w:r>
          </w:p>
          <w:p w14:paraId="559F6F69" w14:textId="77777777" w:rsidR="006B0DE2" w:rsidRPr="00C462A0" w:rsidRDefault="006B0DE2" w:rsidP="006B0DE2">
            <w:pPr>
              <w:pStyle w:val="NormalWeb"/>
              <w:numPr>
                <w:ilvl w:val="0"/>
                <w:numId w:val="368"/>
              </w:numPr>
              <w:spacing w:before="40" w:after="4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Explain one key management risk.</w:t>
            </w:r>
          </w:p>
          <w:p w14:paraId="6081F5DF" w14:textId="77777777" w:rsidR="006B0DE2" w:rsidRPr="00C462A0" w:rsidRDefault="006B0DE2" w:rsidP="006B0DE2">
            <w:pPr>
              <w:pStyle w:val="NormalWeb"/>
              <w:numPr>
                <w:ilvl w:val="0"/>
                <w:numId w:val="368"/>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Propose one governance measure to strengthen cryptographic oversight.</w:t>
            </w:r>
          </w:p>
          <w:p w14:paraId="74C246F9" w14:textId="77777777" w:rsidR="006B0DE2" w:rsidRPr="00C462A0" w:rsidRDefault="006B0DE2" w:rsidP="006B0DE2">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Respond in 8–10 structured sentences.</w:t>
            </w:r>
          </w:p>
          <w:p w14:paraId="5C29ABED" w14:textId="77777777" w:rsidR="006B0DE2" w:rsidRPr="00C462A0" w:rsidRDefault="006B0DE2" w:rsidP="006B0DE2">
            <w:pPr>
              <w:pStyle w:val="NormalWeb"/>
              <w:spacing w:before="0" w:beforeAutospacing="0" w:after="0" w:afterAutospacing="0"/>
              <w:jc w:val="both"/>
              <w:rPr>
                <w:rFonts w:asciiTheme="minorHAnsi" w:hAnsiTheme="minorHAnsi" w:cstheme="minorHAnsi"/>
                <w:bCs/>
                <w:iCs/>
                <w:sz w:val="20"/>
                <w:szCs w:val="20"/>
                <w:lang w:val="en-GB"/>
              </w:rPr>
            </w:pPr>
          </w:p>
          <w:p w14:paraId="45B58B79" w14:textId="77777777" w:rsidR="006B0DE2" w:rsidRPr="00C462A0" w:rsidRDefault="006B0DE2" w:rsidP="006B0DE2">
            <w:pPr>
              <w:jc w:val="both"/>
              <w:rPr>
                <w:rFonts w:cstheme="minorHAnsi"/>
                <w:b/>
                <w:color w:val="00AC4E" w:themeColor="accent1"/>
                <w:szCs w:val="20"/>
              </w:rPr>
            </w:pPr>
            <w:r w:rsidRPr="00C462A0">
              <w:rPr>
                <w:rFonts w:cstheme="minorHAnsi"/>
                <w:b/>
                <w:color w:val="00AC4E" w:themeColor="accent1"/>
                <w:szCs w:val="20"/>
              </w:rPr>
              <w:t xml:space="preserve">Additional reading: </w:t>
            </w:r>
          </w:p>
          <w:p w14:paraId="60B47BC5" w14:textId="2C623847" w:rsidR="006B0DE2" w:rsidRPr="00C462A0" w:rsidRDefault="006B0DE2" w:rsidP="006B0DE2">
            <w:pPr>
              <w:pStyle w:val="ListParagraph"/>
              <w:numPr>
                <w:ilvl w:val="0"/>
                <w:numId w:val="361"/>
              </w:numPr>
              <w:spacing w:before="40" w:after="40"/>
              <w:jc w:val="both"/>
              <w:rPr>
                <w:rFonts w:cstheme="minorHAnsi"/>
                <w:bCs/>
                <w:iCs/>
                <w:color w:val="00AC4E" w:themeColor="accent1"/>
                <w:szCs w:val="20"/>
              </w:rPr>
            </w:pPr>
            <w:hyperlink r:id="rId93" w:history="1">
              <w:r w:rsidRPr="00C462A0">
                <w:rPr>
                  <w:rStyle w:val="Hyperlink"/>
                  <w:rFonts w:cstheme="minorHAnsi"/>
                  <w:color w:val="00AC4E" w:themeColor="accent1"/>
                  <w:szCs w:val="20"/>
                </w:rPr>
                <w:t>Cryptographic Standards and Guidelines</w:t>
              </w:r>
            </w:hyperlink>
            <w:r w:rsidR="005F7F46" w:rsidRPr="00C462A0">
              <w:rPr>
                <w:rFonts w:cstheme="minorHAnsi"/>
                <w:color w:val="00AC4E" w:themeColor="accent1"/>
                <w:szCs w:val="20"/>
              </w:rPr>
              <w:t xml:space="preserve"> </w:t>
            </w:r>
            <w:r w:rsidRPr="00C462A0">
              <w:rPr>
                <w:rFonts w:cstheme="minorHAnsi"/>
                <w:bCs/>
                <w:iCs/>
                <w:color w:val="00AC4E" w:themeColor="accent1"/>
                <w:szCs w:val="20"/>
              </w:rPr>
              <w:t xml:space="preserve"> </w:t>
            </w:r>
          </w:p>
          <w:p w14:paraId="06FD141B" w14:textId="033737C8" w:rsidR="006B0DE2" w:rsidRPr="00C462A0" w:rsidRDefault="006B0DE2" w:rsidP="006B0DE2">
            <w:pPr>
              <w:pStyle w:val="ListParagraph"/>
              <w:numPr>
                <w:ilvl w:val="0"/>
                <w:numId w:val="361"/>
              </w:numPr>
              <w:spacing w:before="40" w:after="40"/>
              <w:jc w:val="both"/>
              <w:rPr>
                <w:rFonts w:cstheme="minorHAnsi"/>
                <w:bCs/>
                <w:iCs/>
                <w:color w:val="00AC4E" w:themeColor="accent1"/>
                <w:szCs w:val="20"/>
              </w:rPr>
            </w:pPr>
            <w:hyperlink r:id="rId94" w:history="1">
              <w:r w:rsidRPr="00C462A0">
                <w:rPr>
                  <w:rStyle w:val="Hyperlink"/>
                  <w:rFonts w:cstheme="minorHAnsi"/>
                  <w:bCs/>
                  <w:iCs/>
                  <w:color w:val="00AC4E" w:themeColor="accent1"/>
                  <w:szCs w:val="20"/>
                </w:rPr>
                <w:t>ENISA Cryptographic Guidance</w:t>
              </w:r>
            </w:hyperlink>
            <w:r w:rsidR="005F7F46" w:rsidRPr="00C462A0">
              <w:rPr>
                <w:rFonts w:cstheme="minorHAnsi"/>
                <w:bCs/>
                <w:iCs/>
                <w:color w:val="00AC4E" w:themeColor="accent1"/>
                <w:szCs w:val="20"/>
              </w:rPr>
              <w:t xml:space="preserve"> </w:t>
            </w:r>
            <w:r w:rsidRPr="00C462A0">
              <w:rPr>
                <w:rFonts w:cstheme="minorHAnsi"/>
                <w:bCs/>
                <w:iCs/>
                <w:color w:val="00AC4E" w:themeColor="accent1"/>
                <w:szCs w:val="20"/>
              </w:rPr>
              <w:t xml:space="preserve"> </w:t>
            </w:r>
          </w:p>
          <w:p w14:paraId="35F8F3A0" w14:textId="64380406" w:rsidR="006B0DE2" w:rsidRPr="00C462A0" w:rsidRDefault="006B0DE2" w:rsidP="006B0DE2">
            <w:pPr>
              <w:pStyle w:val="ListParagraph"/>
              <w:numPr>
                <w:ilvl w:val="0"/>
                <w:numId w:val="361"/>
              </w:numPr>
              <w:spacing w:before="40" w:after="40"/>
              <w:jc w:val="both"/>
              <w:rPr>
                <w:rFonts w:cstheme="minorHAnsi"/>
                <w:bCs/>
                <w:iCs/>
                <w:color w:val="00AC4E" w:themeColor="accent1"/>
                <w:szCs w:val="20"/>
              </w:rPr>
            </w:pPr>
            <w:hyperlink r:id="rId95" w:anchor="implementing-act-for-eucc" w:history="1">
              <w:r w:rsidRPr="00C462A0">
                <w:rPr>
                  <w:rStyle w:val="Hyperlink"/>
                  <w:rFonts w:cstheme="minorHAnsi"/>
                  <w:bCs/>
                  <w:iCs/>
                  <w:color w:val="00AC4E" w:themeColor="accent1"/>
                  <w:szCs w:val="20"/>
                </w:rPr>
                <w:t>EUCC Certification Scheme</w:t>
              </w:r>
            </w:hyperlink>
            <w:r w:rsidR="005F7F46" w:rsidRPr="00C462A0">
              <w:rPr>
                <w:rFonts w:cstheme="minorHAnsi"/>
                <w:bCs/>
                <w:iCs/>
                <w:color w:val="00AC4E" w:themeColor="accent1"/>
                <w:szCs w:val="20"/>
              </w:rPr>
              <w:t xml:space="preserve"> </w:t>
            </w:r>
            <w:r w:rsidRPr="00C462A0">
              <w:rPr>
                <w:rFonts w:cstheme="minorHAnsi"/>
                <w:bCs/>
                <w:iCs/>
                <w:color w:val="00AC4E" w:themeColor="accent1"/>
                <w:szCs w:val="20"/>
              </w:rPr>
              <w:t xml:space="preserve"> </w:t>
            </w:r>
          </w:p>
          <w:p w14:paraId="0A9AC9A5" w14:textId="77777777" w:rsidR="005F7F46" w:rsidRPr="00C462A0" w:rsidRDefault="006B0DE2" w:rsidP="006B0DE2">
            <w:pPr>
              <w:pStyle w:val="ListParagraph"/>
              <w:numPr>
                <w:ilvl w:val="0"/>
                <w:numId w:val="361"/>
              </w:numPr>
              <w:spacing w:before="40" w:after="40"/>
              <w:jc w:val="both"/>
              <w:rPr>
                <w:rFonts w:cstheme="minorHAnsi"/>
                <w:bCs/>
                <w:iCs/>
                <w:color w:val="00AC4E" w:themeColor="accent1"/>
                <w:szCs w:val="20"/>
              </w:rPr>
            </w:pPr>
            <w:hyperlink r:id="rId96" w:history="1">
              <w:r w:rsidRPr="00C462A0">
                <w:rPr>
                  <w:rStyle w:val="Hyperlink"/>
                  <w:rFonts w:cstheme="minorHAnsi"/>
                  <w:bCs/>
                  <w:iCs/>
                  <w:color w:val="00AC4E" w:themeColor="accent1"/>
                  <w:szCs w:val="20"/>
                </w:rPr>
                <w:t>OWASP – Cryptographic Storage Cheat Sheet</w:t>
              </w:r>
            </w:hyperlink>
            <w:r w:rsidR="005F7F46" w:rsidRPr="00C462A0">
              <w:rPr>
                <w:rFonts w:cstheme="minorHAnsi"/>
                <w:bCs/>
                <w:iCs/>
                <w:color w:val="00AC4E" w:themeColor="accent1"/>
                <w:szCs w:val="20"/>
              </w:rPr>
              <w:t>.</w:t>
            </w:r>
          </w:p>
          <w:p w14:paraId="66BF930A" w14:textId="77777777" w:rsidR="006B0DE2" w:rsidRPr="00C462A0" w:rsidRDefault="006B0DE2" w:rsidP="00EA6D77">
            <w:pPr>
              <w:spacing w:before="40" w:after="40"/>
              <w:jc w:val="both"/>
              <w:rPr>
                <w:rFonts w:cstheme="minorHAnsi"/>
                <w:bCs/>
                <w:iCs/>
                <w:szCs w:val="20"/>
              </w:rPr>
            </w:pPr>
          </w:p>
          <w:p w14:paraId="5E78D9A5" w14:textId="478D3CA4" w:rsidR="006B0DE2" w:rsidRPr="00C462A0" w:rsidRDefault="006B0DE2" w:rsidP="006B0DE2">
            <w:pPr>
              <w:jc w:val="both"/>
              <w:rPr>
                <w:rFonts w:cstheme="minorHAnsi"/>
                <w:szCs w:val="20"/>
              </w:rPr>
            </w:pPr>
            <w:r w:rsidRPr="00C462A0">
              <w:rPr>
                <w:rFonts w:cstheme="minorHAnsi"/>
                <w:b/>
                <w:color w:val="00AC4E" w:themeColor="accent1"/>
                <w:szCs w:val="20"/>
              </w:rPr>
              <w:t>Key Takeaways</w:t>
            </w:r>
            <w:r w:rsidRPr="00C462A0">
              <w:rPr>
                <w:rFonts w:cstheme="minorHAnsi"/>
                <w:szCs w:val="20"/>
              </w:rPr>
              <w:t>:</w:t>
            </w:r>
          </w:p>
          <w:p w14:paraId="5D42882D" w14:textId="77777777" w:rsidR="006B0DE2" w:rsidRPr="00C462A0" w:rsidRDefault="006B0DE2" w:rsidP="006B0DE2">
            <w:pPr>
              <w:pStyle w:val="ListParagraph"/>
              <w:numPr>
                <w:ilvl w:val="0"/>
                <w:numId w:val="369"/>
              </w:numPr>
              <w:spacing w:before="40" w:after="40"/>
              <w:jc w:val="both"/>
              <w:rPr>
                <w:rFonts w:cstheme="minorHAnsi"/>
                <w:bCs/>
                <w:iCs/>
                <w:szCs w:val="20"/>
              </w:rPr>
            </w:pPr>
            <w:r w:rsidRPr="00C462A0">
              <w:rPr>
                <w:rFonts w:cstheme="minorHAnsi"/>
                <w:bCs/>
                <w:iCs/>
                <w:szCs w:val="20"/>
              </w:rPr>
              <w:t>Encryption protects confidentiality and supports data integrity and authenticity.</w:t>
            </w:r>
          </w:p>
          <w:p w14:paraId="5C6EFC24" w14:textId="77777777" w:rsidR="006B0DE2" w:rsidRPr="00C462A0" w:rsidRDefault="006B0DE2" w:rsidP="006B0DE2">
            <w:pPr>
              <w:pStyle w:val="ListParagraph"/>
              <w:numPr>
                <w:ilvl w:val="0"/>
                <w:numId w:val="369"/>
              </w:numPr>
              <w:spacing w:before="40" w:after="40"/>
              <w:jc w:val="both"/>
              <w:rPr>
                <w:rFonts w:cstheme="minorHAnsi"/>
                <w:bCs/>
                <w:iCs/>
                <w:szCs w:val="20"/>
              </w:rPr>
            </w:pPr>
            <w:r w:rsidRPr="00C462A0">
              <w:rPr>
                <w:rFonts w:cstheme="minorHAnsi"/>
                <w:bCs/>
                <w:iCs/>
                <w:szCs w:val="20"/>
              </w:rPr>
              <w:t>Symmetric and asymmetric encryption serve complementary purposes.</w:t>
            </w:r>
          </w:p>
          <w:p w14:paraId="28CBCA18" w14:textId="77777777" w:rsidR="006B0DE2" w:rsidRPr="00C462A0" w:rsidRDefault="006B0DE2" w:rsidP="006B0DE2">
            <w:pPr>
              <w:pStyle w:val="NormalWeb"/>
              <w:numPr>
                <w:ilvl w:val="0"/>
                <w:numId w:val="369"/>
              </w:numPr>
              <w:spacing w:before="40" w:after="4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Encryption must be applied to data in transit, at rest, and across distributed systems.</w:t>
            </w:r>
          </w:p>
          <w:p w14:paraId="2D14CC78" w14:textId="77777777" w:rsidR="006B0DE2" w:rsidRPr="00C462A0" w:rsidRDefault="006B0DE2" w:rsidP="006B0DE2">
            <w:pPr>
              <w:pStyle w:val="NormalWeb"/>
              <w:numPr>
                <w:ilvl w:val="0"/>
                <w:numId w:val="369"/>
              </w:numPr>
              <w:spacing w:before="40" w:after="4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Strong key management is critical to maintaining cryptographic security.</w:t>
            </w:r>
          </w:p>
          <w:p w14:paraId="11F4D197" w14:textId="77777777" w:rsidR="006B0DE2" w:rsidRPr="00C462A0" w:rsidRDefault="006B0DE2" w:rsidP="006B0DE2">
            <w:pPr>
              <w:pStyle w:val="NormalWeb"/>
              <w:numPr>
                <w:ilvl w:val="0"/>
                <w:numId w:val="369"/>
              </w:numPr>
              <w:spacing w:before="40" w:beforeAutospacing="0" w:after="4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Encryption supports regulatory compliance but must be integrated within broader governance structures.</w:t>
            </w:r>
          </w:p>
          <w:p w14:paraId="781957F5" w14:textId="77777777" w:rsidR="006B0DE2" w:rsidRPr="00C462A0" w:rsidRDefault="006B0DE2" w:rsidP="006B0DE2">
            <w:pPr>
              <w:jc w:val="both"/>
              <w:rPr>
                <w:rFonts w:cstheme="minorHAnsi"/>
                <w:b/>
                <w:color w:val="00AC4E" w:themeColor="accent1"/>
                <w:szCs w:val="20"/>
              </w:rPr>
            </w:pPr>
            <w:r w:rsidRPr="00C462A0">
              <w:rPr>
                <w:rFonts w:cstheme="minorHAnsi"/>
                <w:b/>
                <w:color w:val="00AC4E" w:themeColor="accent1"/>
                <w:szCs w:val="20"/>
              </w:rPr>
              <w:t xml:space="preserve">Quick Check: </w:t>
            </w:r>
          </w:p>
          <w:p w14:paraId="45608498" w14:textId="3D77C5C7" w:rsidR="006B0DE2" w:rsidRPr="00C462A0" w:rsidRDefault="006B0DE2" w:rsidP="00EA6D77">
            <w:pPr>
              <w:pStyle w:val="ListParagraph"/>
              <w:numPr>
                <w:ilvl w:val="3"/>
                <w:numId w:val="368"/>
              </w:numPr>
              <w:ind w:left="360"/>
              <w:jc w:val="both"/>
              <w:rPr>
                <w:rFonts w:cstheme="minorHAnsi"/>
                <w:b/>
                <w:bCs/>
                <w:color w:val="009889" w:themeColor="accent2"/>
                <w:szCs w:val="20"/>
              </w:rPr>
            </w:pPr>
            <w:r w:rsidRPr="00C462A0">
              <w:rPr>
                <w:rFonts w:cstheme="minorHAnsi"/>
                <w:color w:val="009889" w:themeColor="accent2"/>
                <w:szCs w:val="20"/>
              </w:rPr>
              <w:t>True or False:</w:t>
            </w:r>
            <w:r w:rsidR="00EA6D77" w:rsidRPr="00C462A0">
              <w:rPr>
                <w:rFonts w:cstheme="minorHAnsi"/>
                <w:b/>
                <w:bCs/>
                <w:color w:val="009889" w:themeColor="accent2"/>
                <w:szCs w:val="20"/>
              </w:rPr>
              <w:t xml:space="preserve"> </w:t>
            </w:r>
            <w:r w:rsidRPr="00C462A0">
              <w:rPr>
                <w:rFonts w:cstheme="minorHAnsi"/>
                <w:color w:val="009889" w:themeColor="accent2"/>
                <w:szCs w:val="20"/>
              </w:rPr>
              <w:t xml:space="preserve">If an organisation encrypts ESG data both in transit and at rest but fails to implement secure key rotation and access restrictions to cryptographic keys, the confidentiality risk may remain significantly elevated. </w:t>
            </w:r>
          </w:p>
          <w:p w14:paraId="53A5BF9B" w14:textId="77777777" w:rsidR="00EA6D77" w:rsidRPr="00C462A0" w:rsidRDefault="00EA6D77" w:rsidP="00EA6D77">
            <w:pPr>
              <w:pStyle w:val="ListParagraph"/>
              <w:ind w:left="360"/>
              <w:jc w:val="both"/>
              <w:rPr>
                <w:rFonts w:cstheme="minorHAnsi"/>
                <w:b/>
                <w:bCs/>
                <w:color w:val="009889" w:themeColor="accent2"/>
                <w:szCs w:val="20"/>
              </w:rPr>
            </w:pPr>
          </w:p>
          <w:p w14:paraId="751CC966" w14:textId="5529BE56" w:rsidR="006B0DE2" w:rsidRPr="00C462A0" w:rsidRDefault="006B0DE2" w:rsidP="00EA6D77">
            <w:pPr>
              <w:pStyle w:val="ListParagraph"/>
              <w:numPr>
                <w:ilvl w:val="3"/>
                <w:numId w:val="368"/>
              </w:numPr>
              <w:ind w:left="360"/>
              <w:jc w:val="both"/>
              <w:rPr>
                <w:rFonts w:cstheme="minorHAnsi"/>
                <w:color w:val="009889" w:themeColor="accent2"/>
                <w:szCs w:val="20"/>
              </w:rPr>
            </w:pPr>
            <w:r w:rsidRPr="00C462A0">
              <w:rPr>
                <w:rFonts w:cstheme="minorHAnsi"/>
                <w:color w:val="009889" w:themeColor="accent2"/>
                <w:szCs w:val="20"/>
              </w:rPr>
              <w:t xml:space="preserve">A smart grid operator uses strong symmetric encryption to protect communication between substations. However, the shared secret key is hardcoded in device firmware and identical across all installations. Which risk is most critical? </w:t>
            </w:r>
          </w:p>
          <w:p w14:paraId="6C673454" w14:textId="77777777" w:rsidR="006B0DE2" w:rsidRPr="00C462A0" w:rsidRDefault="006B0DE2" w:rsidP="00EA6D77">
            <w:pPr>
              <w:pStyle w:val="ListParagraph"/>
              <w:numPr>
                <w:ilvl w:val="0"/>
                <w:numId w:val="375"/>
              </w:numPr>
              <w:jc w:val="both"/>
              <w:rPr>
                <w:rFonts w:cstheme="minorHAnsi"/>
                <w:szCs w:val="20"/>
              </w:rPr>
            </w:pPr>
            <w:r w:rsidRPr="00C462A0">
              <w:rPr>
                <w:rFonts w:cstheme="minorHAnsi"/>
                <w:szCs w:val="20"/>
              </w:rPr>
              <w:t>Increased encryption latency</w:t>
            </w:r>
          </w:p>
          <w:p w14:paraId="4E4F7878" w14:textId="77777777" w:rsidR="006B0DE2" w:rsidRPr="00C462A0" w:rsidRDefault="006B0DE2" w:rsidP="00EA6D77">
            <w:pPr>
              <w:pStyle w:val="ListParagraph"/>
              <w:numPr>
                <w:ilvl w:val="0"/>
                <w:numId w:val="375"/>
              </w:numPr>
              <w:jc w:val="both"/>
              <w:rPr>
                <w:rFonts w:cstheme="minorHAnsi"/>
                <w:szCs w:val="20"/>
              </w:rPr>
            </w:pPr>
            <w:r w:rsidRPr="00C462A0">
              <w:rPr>
                <w:rFonts w:cstheme="minorHAnsi"/>
                <w:szCs w:val="20"/>
              </w:rPr>
              <w:t>Single-point compromise enabling large-scale decryption</w:t>
            </w:r>
          </w:p>
          <w:p w14:paraId="59CD7A78" w14:textId="77777777" w:rsidR="006B0DE2" w:rsidRPr="00C462A0" w:rsidRDefault="006B0DE2" w:rsidP="00EA6D77">
            <w:pPr>
              <w:pStyle w:val="ListParagraph"/>
              <w:numPr>
                <w:ilvl w:val="0"/>
                <w:numId w:val="375"/>
              </w:numPr>
              <w:jc w:val="both"/>
              <w:rPr>
                <w:rFonts w:cstheme="minorHAnsi"/>
                <w:szCs w:val="20"/>
              </w:rPr>
            </w:pPr>
            <w:r w:rsidRPr="00C462A0">
              <w:rPr>
                <w:rFonts w:cstheme="minorHAnsi"/>
                <w:szCs w:val="20"/>
              </w:rPr>
              <w:t>Reduced interoperability between devices</w:t>
            </w:r>
          </w:p>
          <w:p w14:paraId="3AE0367E" w14:textId="18B488D5" w:rsidR="006B0DE2" w:rsidRPr="00C462A0" w:rsidRDefault="006B0DE2" w:rsidP="00EA6D77">
            <w:pPr>
              <w:pStyle w:val="ListParagraph"/>
              <w:numPr>
                <w:ilvl w:val="0"/>
                <w:numId w:val="375"/>
              </w:numPr>
              <w:jc w:val="both"/>
              <w:rPr>
                <w:rFonts w:cstheme="minorHAnsi"/>
                <w:szCs w:val="20"/>
              </w:rPr>
            </w:pPr>
            <w:r w:rsidRPr="00C462A0">
              <w:rPr>
                <w:rFonts w:cstheme="minorHAnsi"/>
                <w:szCs w:val="20"/>
              </w:rPr>
              <w:t>Improved key distribution efficiency</w:t>
            </w:r>
            <w:r w:rsidR="00EA6D77" w:rsidRPr="00C462A0">
              <w:rPr>
                <w:rFonts w:cstheme="minorHAnsi"/>
                <w:szCs w:val="20"/>
              </w:rPr>
              <w:t>.</w:t>
            </w:r>
          </w:p>
          <w:p w14:paraId="43C0C5E8" w14:textId="77777777" w:rsidR="00EA6D77" w:rsidRPr="00C462A0" w:rsidRDefault="00EA6D77" w:rsidP="00EA6D77">
            <w:pPr>
              <w:pStyle w:val="ListParagraph"/>
              <w:jc w:val="both"/>
              <w:rPr>
                <w:rFonts w:cstheme="minorHAnsi"/>
                <w:szCs w:val="20"/>
              </w:rPr>
            </w:pPr>
          </w:p>
          <w:p w14:paraId="46976500" w14:textId="4B19780F" w:rsidR="006B0DE2" w:rsidRPr="00C462A0" w:rsidRDefault="006B0DE2" w:rsidP="00EA6D77">
            <w:pPr>
              <w:pStyle w:val="ListParagraph"/>
              <w:numPr>
                <w:ilvl w:val="3"/>
                <w:numId w:val="368"/>
              </w:numPr>
              <w:ind w:left="360"/>
              <w:jc w:val="both"/>
              <w:rPr>
                <w:rFonts w:cstheme="minorHAnsi"/>
                <w:color w:val="009889" w:themeColor="accent2"/>
                <w:szCs w:val="20"/>
              </w:rPr>
            </w:pPr>
            <w:r w:rsidRPr="00C462A0">
              <w:rPr>
                <w:rFonts w:cstheme="minorHAnsi"/>
                <w:color w:val="009889" w:themeColor="accent2"/>
                <w:szCs w:val="20"/>
              </w:rPr>
              <w:t xml:space="preserve">An ESG platform uses asymmetric encryption to exchange session keys and symmetric encryption for data transfer. However, certificate validation is not properly implemented. Which threat becomes most plausible? </w:t>
            </w:r>
          </w:p>
          <w:p w14:paraId="390A9A0D" w14:textId="77777777" w:rsidR="006B0DE2" w:rsidRPr="00C462A0" w:rsidRDefault="006B0DE2" w:rsidP="00EA6D77">
            <w:pPr>
              <w:pStyle w:val="ListParagraph"/>
              <w:numPr>
                <w:ilvl w:val="0"/>
                <w:numId w:val="376"/>
              </w:numPr>
              <w:jc w:val="both"/>
              <w:rPr>
                <w:rFonts w:cstheme="minorHAnsi"/>
                <w:szCs w:val="20"/>
              </w:rPr>
            </w:pPr>
            <w:r w:rsidRPr="00C462A0">
              <w:rPr>
                <w:rFonts w:cstheme="minorHAnsi"/>
                <w:szCs w:val="20"/>
              </w:rPr>
              <w:t>Data compression failure</w:t>
            </w:r>
          </w:p>
          <w:p w14:paraId="66C4B186" w14:textId="77777777" w:rsidR="006B0DE2" w:rsidRPr="00C462A0" w:rsidRDefault="006B0DE2" w:rsidP="00EA6D77">
            <w:pPr>
              <w:pStyle w:val="ListParagraph"/>
              <w:numPr>
                <w:ilvl w:val="0"/>
                <w:numId w:val="376"/>
              </w:numPr>
              <w:jc w:val="both"/>
              <w:rPr>
                <w:rFonts w:cstheme="minorHAnsi"/>
                <w:szCs w:val="20"/>
              </w:rPr>
            </w:pPr>
            <w:r w:rsidRPr="00C462A0">
              <w:rPr>
                <w:rFonts w:cstheme="minorHAnsi"/>
                <w:szCs w:val="20"/>
              </w:rPr>
              <w:t>Man-in-the-middle attack during key exchange</w:t>
            </w:r>
          </w:p>
          <w:p w14:paraId="22DB427D" w14:textId="77777777" w:rsidR="006B0DE2" w:rsidRPr="00C462A0" w:rsidRDefault="006B0DE2" w:rsidP="00EA6D77">
            <w:pPr>
              <w:pStyle w:val="ListParagraph"/>
              <w:numPr>
                <w:ilvl w:val="0"/>
                <w:numId w:val="376"/>
              </w:numPr>
              <w:jc w:val="both"/>
              <w:rPr>
                <w:rFonts w:cstheme="minorHAnsi"/>
                <w:szCs w:val="20"/>
              </w:rPr>
            </w:pPr>
            <w:r w:rsidRPr="00C462A0">
              <w:rPr>
                <w:rFonts w:cstheme="minorHAnsi"/>
                <w:szCs w:val="20"/>
              </w:rPr>
              <w:t>Reduced database performance</w:t>
            </w:r>
          </w:p>
          <w:p w14:paraId="509282F6" w14:textId="55752F32" w:rsidR="006B0DE2" w:rsidRPr="00C462A0" w:rsidRDefault="006B0DE2" w:rsidP="00EA6D77">
            <w:pPr>
              <w:pStyle w:val="ListParagraph"/>
              <w:numPr>
                <w:ilvl w:val="0"/>
                <w:numId w:val="376"/>
              </w:numPr>
              <w:jc w:val="both"/>
              <w:rPr>
                <w:rFonts w:cstheme="minorHAnsi"/>
                <w:szCs w:val="20"/>
              </w:rPr>
            </w:pPr>
            <w:r w:rsidRPr="00C462A0">
              <w:rPr>
                <w:rFonts w:cstheme="minorHAnsi"/>
                <w:szCs w:val="20"/>
              </w:rPr>
              <w:t>Automatic compliance certification</w:t>
            </w:r>
            <w:r w:rsidR="00EA6D77" w:rsidRPr="00C462A0">
              <w:rPr>
                <w:rFonts w:cstheme="minorHAnsi"/>
                <w:szCs w:val="20"/>
              </w:rPr>
              <w:t>.</w:t>
            </w:r>
          </w:p>
          <w:p w14:paraId="5885BE41" w14:textId="77777777" w:rsidR="00EA6D77" w:rsidRPr="00C462A0" w:rsidRDefault="00EA6D77" w:rsidP="00EA6D77">
            <w:pPr>
              <w:pStyle w:val="ListParagraph"/>
              <w:jc w:val="both"/>
              <w:rPr>
                <w:rFonts w:cstheme="minorHAnsi"/>
                <w:szCs w:val="20"/>
              </w:rPr>
            </w:pPr>
          </w:p>
          <w:p w14:paraId="5C6F467C" w14:textId="385A8B14" w:rsidR="006B0DE2" w:rsidRPr="00C462A0" w:rsidRDefault="00EA6D77" w:rsidP="005F7628">
            <w:pPr>
              <w:jc w:val="both"/>
              <w:rPr>
                <w:rFonts w:cstheme="minorHAnsi"/>
                <w:i/>
                <w:iCs/>
                <w:szCs w:val="20"/>
              </w:rPr>
            </w:pPr>
            <w:r w:rsidRPr="00C462A0">
              <w:rPr>
                <w:rFonts w:cstheme="minorHAnsi"/>
                <w:i/>
                <w:iCs/>
                <w:szCs w:val="20"/>
              </w:rPr>
              <w:t xml:space="preserve">Answer key: 1. true; 2. b); 3. b). </w:t>
            </w:r>
          </w:p>
        </w:tc>
      </w:tr>
    </w:tbl>
    <w:p w14:paraId="5DAF0F6D" w14:textId="77777777" w:rsidR="00C462A0" w:rsidRPr="00C462A0" w:rsidRDefault="00C462A0" w:rsidP="00C462A0"/>
    <w:tbl>
      <w:tblPr>
        <w:tblStyle w:val="TableGrid"/>
        <w:tblW w:w="0" w:type="auto"/>
        <w:tblLook w:val="04A0" w:firstRow="1" w:lastRow="0" w:firstColumn="1" w:lastColumn="0" w:noHBand="0" w:noVBand="1"/>
      </w:tblPr>
      <w:tblGrid>
        <w:gridCol w:w="9628"/>
      </w:tblGrid>
      <w:tr w:rsidR="005F7628" w:rsidRPr="00C462A0" w14:paraId="0256F9B6" w14:textId="77777777" w:rsidTr="00210B7E">
        <w:tc>
          <w:tcPr>
            <w:tcW w:w="9628" w:type="dxa"/>
          </w:tcPr>
          <w:p w14:paraId="57B97F56" w14:textId="0C5CCDD1" w:rsidR="005F7628" w:rsidRPr="00C462A0" w:rsidRDefault="005F7628" w:rsidP="00210B7E">
            <w:pPr>
              <w:pStyle w:val="Heading2"/>
              <w:numPr>
                <w:ilvl w:val="0"/>
                <w:numId w:val="0"/>
              </w:numPr>
              <w:spacing w:before="0" w:line="276" w:lineRule="auto"/>
              <w:rPr>
                <w:rFonts w:cstheme="minorHAnsi"/>
                <w:b/>
                <w:bCs/>
                <w:szCs w:val="40"/>
              </w:rPr>
            </w:pPr>
            <w:bookmarkStart w:id="55" w:name="_Toc227623415"/>
            <w:r w:rsidRPr="00C462A0">
              <w:rPr>
                <w:rFonts w:cstheme="minorHAnsi"/>
                <w:b/>
                <w:bCs/>
                <w:szCs w:val="40"/>
              </w:rPr>
              <w:lastRenderedPageBreak/>
              <w:t>Topic 3.3: Introduction to GDPR alignment and its evolution</w:t>
            </w:r>
            <w:bookmarkEnd w:id="55"/>
          </w:p>
        </w:tc>
      </w:tr>
      <w:tr w:rsidR="005F7628" w:rsidRPr="00C462A0" w14:paraId="3A3674F9" w14:textId="77777777" w:rsidTr="00210B7E">
        <w:tc>
          <w:tcPr>
            <w:tcW w:w="9628" w:type="dxa"/>
            <w:shd w:val="clear" w:color="auto" w:fill="D9D9D9" w:themeFill="background1" w:themeFillShade="D9"/>
          </w:tcPr>
          <w:p w14:paraId="5DB66B12" w14:textId="77777777" w:rsidR="005F7628" w:rsidRPr="00C462A0" w:rsidRDefault="005F7628" w:rsidP="00210B7E">
            <w:pPr>
              <w:spacing w:line="276" w:lineRule="auto"/>
              <w:rPr>
                <w:rFonts w:cstheme="minorHAnsi"/>
                <w:b/>
                <w:szCs w:val="20"/>
              </w:rPr>
            </w:pPr>
            <w:r w:rsidRPr="00C462A0">
              <w:rPr>
                <w:rFonts w:cstheme="minorHAnsi"/>
                <w:b/>
                <w:szCs w:val="20"/>
              </w:rPr>
              <w:t>Short introduction:</w:t>
            </w:r>
          </w:p>
        </w:tc>
      </w:tr>
      <w:tr w:rsidR="005F7628" w:rsidRPr="00C462A0" w14:paraId="6EAD32E1" w14:textId="77777777" w:rsidTr="00210B7E">
        <w:tc>
          <w:tcPr>
            <w:tcW w:w="9628" w:type="dxa"/>
          </w:tcPr>
          <w:p w14:paraId="60DBE356" w14:textId="64B157C5" w:rsidR="005F7628" w:rsidRPr="00C462A0" w:rsidRDefault="005F7628" w:rsidP="005F7628">
            <w:pPr>
              <w:pStyle w:val="NormalWeb"/>
              <w:spacing w:before="40" w:beforeAutospacing="0" w:after="40" w:afterAutospacing="0"/>
              <w:jc w:val="both"/>
              <w:rPr>
                <w:rFonts w:asciiTheme="minorHAnsi" w:hAnsiTheme="minorHAnsi"/>
                <w:sz w:val="22"/>
                <w:szCs w:val="22"/>
                <w:lang w:val="en-GB"/>
              </w:rPr>
            </w:pPr>
            <w:r w:rsidRPr="00C462A0">
              <w:rPr>
                <w:rFonts w:asciiTheme="minorHAnsi" w:hAnsiTheme="minorHAnsi"/>
                <w:sz w:val="22"/>
                <w:szCs w:val="22"/>
                <w:lang w:val="en-GB"/>
              </w:rPr>
              <w:t>The General Data Protection Regulation (GDPR) is one of the most comprehensive data protection frameworks in the world. It sets out clear legal obligations for organisations that process personal data and introduces strong principles of accountability, transparency, and risk-based compliance. Within sustainable digital infrastructures, such as smart grids, IoT ecosystems, and ESG platforms, alignment with GDPR is essential to ensure lawful data processing, safeguard individuals’ rights, and reduce regulatory risk. This topic outlines the core principles of GDPR, traces its development, and explains its relevance to security in sustainable systems.</w:t>
            </w:r>
          </w:p>
        </w:tc>
      </w:tr>
      <w:tr w:rsidR="005F7628" w:rsidRPr="00C462A0" w14:paraId="7B8A5442" w14:textId="77777777" w:rsidTr="00210B7E">
        <w:tc>
          <w:tcPr>
            <w:tcW w:w="9628" w:type="dxa"/>
            <w:shd w:val="clear" w:color="auto" w:fill="D9D9D9" w:themeFill="background1" w:themeFillShade="D9"/>
          </w:tcPr>
          <w:p w14:paraId="0585DD60" w14:textId="77777777" w:rsidR="005F7628" w:rsidRPr="00C462A0" w:rsidRDefault="005F7628" w:rsidP="00210B7E">
            <w:pPr>
              <w:spacing w:line="276" w:lineRule="auto"/>
              <w:rPr>
                <w:rFonts w:cstheme="minorHAnsi"/>
                <w:b/>
                <w:szCs w:val="20"/>
              </w:rPr>
            </w:pPr>
            <w:r w:rsidRPr="00C462A0">
              <w:rPr>
                <w:rFonts w:cstheme="minorHAnsi"/>
                <w:b/>
                <w:szCs w:val="20"/>
              </w:rPr>
              <w:t xml:space="preserve">Theory &amp; Knowledge: </w:t>
            </w:r>
          </w:p>
        </w:tc>
      </w:tr>
      <w:tr w:rsidR="005F7628" w:rsidRPr="00C462A0" w14:paraId="415EA861" w14:textId="77777777" w:rsidTr="00210B7E">
        <w:trPr>
          <w:trHeight w:val="2142"/>
        </w:trPr>
        <w:tc>
          <w:tcPr>
            <w:tcW w:w="9628" w:type="dxa"/>
          </w:tcPr>
          <w:p w14:paraId="0646F3F6" w14:textId="3036F796" w:rsidR="005F7628" w:rsidRPr="00C462A0" w:rsidRDefault="005F7628" w:rsidP="005F7628">
            <w:pPr>
              <w:jc w:val="both"/>
              <w:rPr>
                <w:rFonts w:cstheme="minorHAnsi"/>
                <w:bCs/>
                <w:iCs/>
                <w:szCs w:val="20"/>
              </w:rPr>
            </w:pPr>
            <w:r w:rsidRPr="00C462A0">
              <w:rPr>
                <w:rFonts w:cstheme="minorHAnsi"/>
                <w:bCs/>
                <w:iCs/>
                <w:szCs w:val="20"/>
              </w:rPr>
              <w:t>The European Union General Data Protection Regulation (GDPR) (Regulation (EU) 2016/679) entered into force in May 2018. It replaced the Data Protection Directive 95/46/EC and introduced a harmonised, risk-based regulatory framework applicable across all EU Member States.</w:t>
            </w:r>
          </w:p>
          <w:p w14:paraId="6B09D3B8" w14:textId="77777777" w:rsidR="005F7628" w:rsidRPr="00C462A0" w:rsidRDefault="005F7628" w:rsidP="005F7628">
            <w:pPr>
              <w:pStyle w:val="NormalWeb"/>
              <w:spacing w:before="40" w:beforeAutospacing="0" w:after="4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GDPR applies to organisations that process the personal data of individuals located within the European Union, regardless of where the organisation itself is established. Its extraterritorial reach significantly expanded global compliance responsibilities.</w:t>
            </w:r>
          </w:p>
          <w:p w14:paraId="730C3240" w14:textId="1B6E0574" w:rsidR="005F7628" w:rsidRPr="00C462A0" w:rsidRDefault="005F7628" w:rsidP="005F7628">
            <w:pPr>
              <w:pStyle w:val="NormalWeb"/>
              <w:numPr>
                <w:ilvl w:val="0"/>
                <w:numId w:val="390"/>
              </w:numPr>
              <w:spacing w:before="0" w:beforeAutospacing="0" w:after="0" w:afterAutospacing="0"/>
              <w:jc w:val="both"/>
              <w:rPr>
                <w:rFonts w:asciiTheme="minorHAnsi" w:hAnsiTheme="minorHAnsi" w:cstheme="minorHAnsi"/>
                <w:b/>
                <w:bCs/>
                <w:iCs/>
                <w:color w:val="009889" w:themeColor="accent2"/>
                <w:sz w:val="20"/>
                <w:szCs w:val="20"/>
                <w:lang w:val="en-GB"/>
              </w:rPr>
            </w:pPr>
            <w:r w:rsidRPr="00C462A0">
              <w:rPr>
                <w:rFonts w:asciiTheme="minorHAnsi" w:hAnsiTheme="minorHAnsi" w:cstheme="minorHAnsi"/>
                <w:b/>
                <w:bCs/>
                <w:iCs/>
                <w:color w:val="009889" w:themeColor="accent2"/>
                <w:sz w:val="20"/>
                <w:szCs w:val="20"/>
                <w:lang w:val="en-GB"/>
              </w:rPr>
              <w:t xml:space="preserve"> Core GDPR Principles</w:t>
            </w:r>
          </w:p>
          <w:p w14:paraId="35F0BD8F" w14:textId="77777777" w:rsidR="005F7628" w:rsidRPr="00C462A0" w:rsidRDefault="005F7628" w:rsidP="005F7628">
            <w:pPr>
              <w:spacing w:before="40" w:after="40"/>
              <w:jc w:val="both"/>
              <w:rPr>
                <w:rFonts w:cstheme="minorHAnsi"/>
                <w:bCs/>
                <w:iCs/>
                <w:szCs w:val="20"/>
              </w:rPr>
            </w:pPr>
            <w:r w:rsidRPr="00C462A0">
              <w:rPr>
                <w:rFonts w:cstheme="minorHAnsi"/>
                <w:bCs/>
                <w:iCs/>
                <w:szCs w:val="20"/>
              </w:rPr>
              <w:t>GDPR is built around a set of fundamental data protection principles:</w:t>
            </w:r>
          </w:p>
          <w:p w14:paraId="6FA4D79C" w14:textId="77777777" w:rsidR="005F7628" w:rsidRPr="00C462A0" w:rsidRDefault="005F7628" w:rsidP="005F7628">
            <w:pPr>
              <w:pStyle w:val="ListParagraph"/>
              <w:numPr>
                <w:ilvl w:val="0"/>
                <w:numId w:val="377"/>
              </w:numPr>
              <w:spacing w:before="40" w:after="40"/>
              <w:jc w:val="both"/>
              <w:rPr>
                <w:rFonts w:cstheme="minorHAnsi"/>
                <w:bCs/>
                <w:iCs/>
                <w:szCs w:val="20"/>
              </w:rPr>
            </w:pPr>
            <w:r w:rsidRPr="00C462A0">
              <w:rPr>
                <w:rFonts w:cstheme="minorHAnsi"/>
                <w:bCs/>
                <w:iCs/>
                <w:szCs w:val="20"/>
              </w:rPr>
              <w:t>Lawfulness, fairness, and transparency.</w:t>
            </w:r>
          </w:p>
          <w:p w14:paraId="21F07283" w14:textId="77777777" w:rsidR="005F7628" w:rsidRPr="00C462A0" w:rsidRDefault="005F7628" w:rsidP="005F7628">
            <w:pPr>
              <w:pStyle w:val="NormalWeb"/>
              <w:numPr>
                <w:ilvl w:val="0"/>
                <w:numId w:val="377"/>
              </w:numPr>
              <w:spacing w:before="40" w:after="4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Purpose limitation.</w:t>
            </w:r>
          </w:p>
          <w:p w14:paraId="2065C25D" w14:textId="77777777" w:rsidR="005F7628" w:rsidRPr="00C462A0" w:rsidRDefault="005F7628" w:rsidP="005F7628">
            <w:pPr>
              <w:pStyle w:val="NormalWeb"/>
              <w:numPr>
                <w:ilvl w:val="0"/>
                <w:numId w:val="377"/>
              </w:numPr>
              <w:spacing w:before="40" w:after="4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Data minimisation.</w:t>
            </w:r>
          </w:p>
          <w:p w14:paraId="7ADE3B27" w14:textId="77777777" w:rsidR="005F7628" w:rsidRPr="00C462A0" w:rsidRDefault="005F7628" w:rsidP="005F7628">
            <w:pPr>
              <w:pStyle w:val="NormalWeb"/>
              <w:numPr>
                <w:ilvl w:val="0"/>
                <w:numId w:val="377"/>
              </w:numPr>
              <w:spacing w:before="40" w:after="4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Accuracy.</w:t>
            </w:r>
          </w:p>
          <w:p w14:paraId="3A905169" w14:textId="77777777" w:rsidR="005F7628" w:rsidRPr="00C462A0" w:rsidRDefault="005F7628" w:rsidP="005F7628">
            <w:pPr>
              <w:pStyle w:val="NormalWeb"/>
              <w:numPr>
                <w:ilvl w:val="0"/>
                <w:numId w:val="377"/>
              </w:numPr>
              <w:spacing w:before="40" w:after="4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Storage limitation.</w:t>
            </w:r>
          </w:p>
          <w:p w14:paraId="4D9007EE" w14:textId="77777777" w:rsidR="005F7628" w:rsidRPr="00C462A0" w:rsidRDefault="005F7628" w:rsidP="005F7628">
            <w:pPr>
              <w:pStyle w:val="NormalWeb"/>
              <w:numPr>
                <w:ilvl w:val="0"/>
                <w:numId w:val="377"/>
              </w:numPr>
              <w:spacing w:before="40" w:after="4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Integrity and confidentiality.</w:t>
            </w:r>
          </w:p>
          <w:p w14:paraId="298D06AF" w14:textId="77777777" w:rsidR="005F7628" w:rsidRPr="00C462A0" w:rsidRDefault="005F7628" w:rsidP="005F7628">
            <w:pPr>
              <w:pStyle w:val="NormalWeb"/>
              <w:numPr>
                <w:ilvl w:val="0"/>
                <w:numId w:val="377"/>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Accountability.</w:t>
            </w:r>
          </w:p>
          <w:p w14:paraId="22463D85" w14:textId="77777777" w:rsidR="005F7628" w:rsidRPr="00C462A0" w:rsidRDefault="005F7628" w:rsidP="005F7628">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These principles require organisations to implement appropriate technical and organisational measures to protect personal data effectively.</w:t>
            </w:r>
          </w:p>
          <w:p w14:paraId="1711A8CA" w14:textId="3BF596A0" w:rsidR="005F7628" w:rsidRPr="00C462A0" w:rsidRDefault="005F7628" w:rsidP="005F7628">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The European Data Protection Board issues interpretative guidance to support the consistent application of GDPR principles across Member States.</w:t>
            </w:r>
          </w:p>
          <w:p w14:paraId="1B850834" w14:textId="77777777" w:rsidR="005F7628" w:rsidRDefault="005F7628" w:rsidP="005F7628">
            <w:pPr>
              <w:pStyle w:val="NormalWeb"/>
              <w:keepNext/>
              <w:spacing w:before="0" w:beforeAutospacing="0" w:after="0" w:afterAutospacing="0"/>
              <w:jc w:val="center"/>
              <w:rPr>
                <w:rFonts w:asciiTheme="minorHAnsi" w:hAnsiTheme="minorHAnsi" w:cstheme="minorHAnsi"/>
                <w:sz w:val="20"/>
                <w:szCs w:val="20"/>
                <w:lang w:val="en-GB"/>
              </w:rPr>
            </w:pPr>
            <w:r w:rsidRPr="00C462A0">
              <w:rPr>
                <w:rFonts w:asciiTheme="minorHAnsi" w:hAnsiTheme="minorHAnsi" w:cstheme="minorHAnsi"/>
                <w:noProof/>
                <w:sz w:val="20"/>
                <w:szCs w:val="20"/>
                <w:lang w:val="en-GB"/>
              </w:rPr>
              <w:lastRenderedPageBreak/>
              <mc:AlternateContent>
                <mc:Choice Requires="wps">
                  <w:drawing>
                    <wp:inline distT="0" distB="0" distL="0" distR="0" wp14:anchorId="792CE08B" wp14:editId="49AF3705">
                      <wp:extent cx="306070" cy="306070"/>
                      <wp:effectExtent l="0" t="0" r="0" b="0"/>
                      <wp:docPr id="28" name="Rectangle 8" descr="GDPR Compliance Checklist: A Detailed Walkthrough - Analytics Platform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306070" cy="306070"/>
                              </a:xfrm>
                              <a:prstGeom prst="rect">
                                <a:avLst/>
                              </a:prstGeom>
                              <a:noFill/>
                              <a:ln>
                                <a:noFill/>
                              </a:ln>
                            </wps:spPr>
                            <wps:bodyPr rot="0">
                              <a:prstTxWarp prst="textNoShape">
                                <a:avLst/>
                              </a:prstTxWarp>
                              <a:noAutofit/>
                            </wps:bodyPr>
                          </wps:wsp>
                        </a:graphicData>
                      </a:graphic>
                    </wp:inline>
                  </w:drawing>
                </mc:Choice>
                <mc:Fallback>
                  <w:pict>
                    <v:rect w14:anchorId="2A713BF9" id="Rectangle 8" o:spid="_x0000_s1026" alt="GDPR Compliance Checklist: A Detailed Walkthrough - Analytics Platform ..." style="width:24.1pt;height:2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" filled="f" stroked="f">
                      <o:lock v:ext="edit" aspectratio="t"/>
                      <w10:anchorlock/>
                    </v:rect>
                  </w:pict>
                </mc:Fallback>
              </mc:AlternateContent>
            </w:r>
            <w:r w:rsidRPr="00C462A0">
              <w:rPr>
                <w:rFonts w:asciiTheme="minorHAnsi" w:hAnsiTheme="minorHAnsi" w:cstheme="minorHAnsi"/>
                <w:bCs/>
                <w:iCs/>
                <w:noProof/>
                <w:sz w:val="20"/>
                <w:szCs w:val="20"/>
                <w:lang w:val="en-GB"/>
              </w:rPr>
              <w:drawing>
                <wp:inline distT="0" distB="0" distL="0" distR="0" wp14:anchorId="61DEA4D7" wp14:editId="1411DCF7">
                  <wp:extent cx="3694632" cy="3344403"/>
                  <wp:effectExtent l="0" t="0" r="1270" b="8890"/>
                  <wp:docPr id="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97"/>
                          <a:srcRect l="18409" r="19989"/>
                          <a:stretch/>
                        </pic:blipFill>
                        <pic:spPr bwMode="auto">
                          <a:xfrm>
                            <a:off x="0" y="0"/>
                            <a:ext cx="3698687" cy="3348074"/>
                          </a:xfrm>
                          <a:prstGeom prst="rect">
                            <a:avLst/>
                          </a:prstGeom>
                          <a:noFill/>
                          <a:ln>
                            <a:noFill/>
                          </a:ln>
                        </pic:spPr>
                      </pic:pic>
                    </a:graphicData>
                  </a:graphic>
                </wp:inline>
              </w:drawing>
            </w:r>
          </w:p>
          <w:p w14:paraId="2C16E13A" w14:textId="77777777" w:rsidR="0031451E" w:rsidRPr="00C462A0" w:rsidRDefault="0031451E" w:rsidP="005F7628">
            <w:pPr>
              <w:pStyle w:val="NormalWeb"/>
              <w:keepNext/>
              <w:spacing w:before="0" w:beforeAutospacing="0" w:after="0" w:afterAutospacing="0"/>
              <w:jc w:val="center"/>
              <w:rPr>
                <w:rFonts w:asciiTheme="minorHAnsi" w:hAnsiTheme="minorHAnsi" w:cstheme="minorHAnsi"/>
                <w:sz w:val="20"/>
                <w:szCs w:val="20"/>
                <w:lang w:val="en-GB"/>
              </w:rPr>
            </w:pPr>
          </w:p>
          <w:p w14:paraId="59987CEB" w14:textId="5077FC27" w:rsidR="005F7628" w:rsidRDefault="005F7628" w:rsidP="005F7628">
            <w:pPr>
              <w:pStyle w:val="Caption"/>
              <w:jc w:val="center"/>
              <w:rPr>
                <w:rFonts w:cstheme="minorHAnsi"/>
                <w:b w:val="0"/>
                <w:bCs w:val="0"/>
                <w:sz w:val="18"/>
                <w:szCs w:val="18"/>
              </w:rPr>
            </w:pPr>
            <w:bookmarkStart w:id="56" w:name="_Toc227623462"/>
            <w:r w:rsidRPr="00C462A0">
              <w:rPr>
                <w:rFonts w:cstheme="minorHAnsi"/>
                <w:b w:val="0"/>
                <w:bCs w:val="0"/>
                <w:sz w:val="18"/>
                <w:szCs w:val="18"/>
              </w:rPr>
              <w:t xml:space="preserve">Figure </w:t>
            </w:r>
            <w:r w:rsidRPr="00C462A0">
              <w:rPr>
                <w:rFonts w:cstheme="minorHAnsi"/>
                <w:b w:val="0"/>
                <w:bCs w:val="0"/>
                <w:sz w:val="18"/>
                <w:szCs w:val="18"/>
              </w:rPr>
              <w:fldChar w:fldCharType="begin"/>
            </w:r>
            <w:r w:rsidRPr="00C462A0">
              <w:rPr>
                <w:rFonts w:cstheme="minorHAnsi"/>
                <w:b w:val="0"/>
                <w:bCs w:val="0"/>
                <w:sz w:val="18"/>
                <w:szCs w:val="18"/>
              </w:rPr>
              <w:instrText xml:space="preserve"> SEQ Figure \* ARABIC </w:instrText>
            </w:r>
            <w:r w:rsidRPr="00C462A0">
              <w:rPr>
                <w:rFonts w:cstheme="minorHAnsi"/>
                <w:b w:val="0"/>
                <w:bCs w:val="0"/>
                <w:sz w:val="18"/>
                <w:szCs w:val="18"/>
              </w:rPr>
              <w:fldChar w:fldCharType="separate"/>
            </w:r>
            <w:r w:rsidRPr="00C462A0">
              <w:rPr>
                <w:rFonts w:cstheme="minorHAnsi"/>
                <w:b w:val="0"/>
                <w:bCs w:val="0"/>
                <w:sz w:val="18"/>
                <w:szCs w:val="18"/>
              </w:rPr>
              <w:t>25</w:t>
            </w:r>
            <w:r w:rsidRPr="00C462A0">
              <w:rPr>
                <w:rFonts w:cstheme="minorHAnsi"/>
                <w:b w:val="0"/>
                <w:bCs w:val="0"/>
                <w:sz w:val="18"/>
                <w:szCs w:val="18"/>
              </w:rPr>
              <w:fldChar w:fldCharType="end"/>
            </w:r>
            <w:r w:rsidRPr="00C462A0">
              <w:rPr>
                <w:rFonts w:cstheme="minorHAnsi"/>
                <w:b w:val="0"/>
                <w:bCs w:val="0"/>
                <w:sz w:val="18"/>
                <w:szCs w:val="18"/>
              </w:rPr>
              <w:t>. The seven core principles of GDPR governing lawful, transparent, and secure processing of personal data</w:t>
            </w:r>
            <w:r w:rsidR="006F6B6E" w:rsidRPr="00C462A0">
              <w:rPr>
                <w:rFonts w:cstheme="minorHAnsi"/>
                <w:b w:val="0"/>
                <w:bCs w:val="0"/>
                <w:sz w:val="18"/>
                <w:szCs w:val="18"/>
              </w:rPr>
              <w:t xml:space="preserve"> (Source: </w:t>
            </w:r>
            <w:hyperlink r:id="rId98" w:history="1">
              <w:r w:rsidR="0031451E" w:rsidRPr="00482865">
                <w:rPr>
                  <w:rStyle w:val="Hyperlink"/>
                  <w:rFonts w:cstheme="minorHAnsi"/>
                  <w:b w:val="0"/>
                  <w:bCs w:val="0"/>
                  <w:sz w:val="18"/>
                  <w:szCs w:val="18"/>
                </w:rPr>
                <w:t>https://matomo.org/</w:t>
              </w:r>
            </w:hyperlink>
            <w:r w:rsidR="006F6B6E" w:rsidRPr="00C462A0">
              <w:rPr>
                <w:rFonts w:cstheme="minorHAnsi"/>
                <w:b w:val="0"/>
                <w:bCs w:val="0"/>
                <w:sz w:val="18"/>
                <w:szCs w:val="18"/>
              </w:rPr>
              <w:t>)</w:t>
            </w:r>
            <w:bookmarkEnd w:id="56"/>
          </w:p>
          <w:p w14:paraId="51546F93" w14:textId="77777777" w:rsidR="0031451E" w:rsidRPr="0031451E" w:rsidRDefault="0031451E" w:rsidP="0031451E"/>
          <w:p w14:paraId="53D3E543" w14:textId="1FFB5821" w:rsidR="0031451E" w:rsidRPr="0031451E" w:rsidRDefault="0031451E" w:rsidP="0031451E">
            <w:pPr>
              <w:jc w:val="both"/>
              <w:rPr>
                <w:i/>
                <w:iCs/>
                <w:sz w:val="18"/>
                <w:szCs w:val="20"/>
              </w:rPr>
            </w:pPr>
            <w:r w:rsidRPr="0031451E">
              <w:rPr>
                <w:i/>
                <w:iCs/>
                <w:sz w:val="18"/>
                <w:szCs w:val="20"/>
              </w:rPr>
              <w:t>Th</w:t>
            </w:r>
            <w:r>
              <w:rPr>
                <w:i/>
                <w:iCs/>
                <w:sz w:val="18"/>
                <w:szCs w:val="20"/>
              </w:rPr>
              <w:t xml:space="preserve">e </w:t>
            </w:r>
            <w:r w:rsidRPr="0031451E">
              <w:rPr>
                <w:i/>
                <w:iCs/>
                <w:sz w:val="18"/>
                <w:szCs w:val="20"/>
              </w:rPr>
              <w:t xml:space="preserve">image </w:t>
            </w:r>
            <w:r>
              <w:rPr>
                <w:i/>
                <w:iCs/>
                <w:sz w:val="18"/>
                <w:szCs w:val="20"/>
              </w:rPr>
              <w:t xml:space="preserve">above </w:t>
            </w:r>
            <w:r w:rsidRPr="0031451E">
              <w:rPr>
                <w:i/>
                <w:iCs/>
                <w:sz w:val="18"/>
                <w:szCs w:val="20"/>
              </w:rPr>
              <w:t xml:space="preserve">outlines the 7 core principles of the General Data Protection Regulation (GDPR), which is an EU law governing data protection and privacy. These principles dictate how organizations must handle personal data. </w:t>
            </w:r>
            <w:r>
              <w:rPr>
                <w:i/>
                <w:iCs/>
                <w:sz w:val="18"/>
                <w:szCs w:val="20"/>
              </w:rPr>
              <w:t xml:space="preserve"> </w:t>
            </w:r>
            <w:r w:rsidRPr="0031451E">
              <w:rPr>
                <w:i/>
                <w:iCs/>
                <w:sz w:val="18"/>
                <w:szCs w:val="20"/>
              </w:rPr>
              <w:t xml:space="preserve">Lawfulness, fairness, and transparency: Data must be processed legally, fairly, and openly. Purpose limitation: Data should only be collected for specific, legitimate purposes and not used for other reasons. </w:t>
            </w:r>
            <w:r>
              <w:rPr>
                <w:i/>
                <w:iCs/>
                <w:sz w:val="18"/>
                <w:szCs w:val="20"/>
              </w:rPr>
              <w:t xml:space="preserve"> </w:t>
            </w:r>
            <w:r w:rsidRPr="0031451E">
              <w:rPr>
                <w:i/>
                <w:iCs/>
                <w:sz w:val="18"/>
                <w:szCs w:val="20"/>
              </w:rPr>
              <w:t xml:space="preserve">Data minimisation: Organizations must only collect the minimum amount of data necessary for their purpose. Accuracy: Personal data must be kept accurate and </w:t>
            </w:r>
            <w:r w:rsidRPr="0031451E">
              <w:rPr>
                <w:i/>
                <w:iCs/>
                <w:sz w:val="18"/>
                <w:szCs w:val="20"/>
              </w:rPr>
              <w:t>up to date</w:t>
            </w:r>
            <w:r w:rsidRPr="0031451E">
              <w:rPr>
                <w:i/>
                <w:iCs/>
                <w:sz w:val="18"/>
                <w:szCs w:val="20"/>
              </w:rPr>
              <w:t xml:space="preserve">. </w:t>
            </w:r>
          </w:p>
          <w:p w14:paraId="49FD2EE5" w14:textId="6396DB0E" w:rsidR="005F7628" w:rsidRPr="0031451E" w:rsidRDefault="0031451E" w:rsidP="0031451E">
            <w:pPr>
              <w:jc w:val="both"/>
              <w:rPr>
                <w:i/>
                <w:iCs/>
                <w:sz w:val="18"/>
                <w:szCs w:val="20"/>
              </w:rPr>
            </w:pPr>
            <w:r w:rsidRPr="0031451E">
              <w:rPr>
                <w:i/>
                <w:iCs/>
                <w:sz w:val="18"/>
                <w:szCs w:val="20"/>
              </w:rPr>
              <w:t>Storage limitation: Data should only be stored for as long as necessary. Integrity and confidentiality: Data must be kept secure using appropriate technical or organizational measures. Accountability: Organizations are responsible for complying with all these principles and must be able to demonstrate their compliance.</w:t>
            </w:r>
          </w:p>
          <w:p w14:paraId="7F1429DB" w14:textId="77777777" w:rsidR="0031451E" w:rsidRDefault="0031451E" w:rsidP="0031451E">
            <w:pPr>
              <w:pStyle w:val="NormalWeb"/>
              <w:spacing w:before="0" w:beforeAutospacing="0" w:after="0" w:afterAutospacing="0"/>
              <w:jc w:val="both"/>
              <w:rPr>
                <w:rFonts w:asciiTheme="minorHAnsi" w:hAnsiTheme="minorHAnsi" w:cstheme="minorHAnsi"/>
                <w:bCs/>
                <w:iCs/>
                <w:sz w:val="20"/>
                <w:szCs w:val="20"/>
                <w:lang w:val="en-GB"/>
              </w:rPr>
            </w:pPr>
          </w:p>
          <w:p w14:paraId="081C2685" w14:textId="77777777" w:rsidR="0031451E" w:rsidRPr="00C462A0" w:rsidRDefault="0031451E" w:rsidP="0031451E">
            <w:pPr>
              <w:pStyle w:val="NormalWeb"/>
              <w:spacing w:before="0" w:beforeAutospacing="0" w:after="0" w:afterAutospacing="0"/>
              <w:jc w:val="both"/>
              <w:rPr>
                <w:rFonts w:asciiTheme="minorHAnsi" w:hAnsiTheme="minorHAnsi" w:cstheme="minorHAnsi"/>
                <w:bCs/>
                <w:iCs/>
                <w:sz w:val="20"/>
                <w:szCs w:val="20"/>
                <w:lang w:val="en-GB"/>
              </w:rPr>
            </w:pPr>
          </w:p>
          <w:p w14:paraId="10FCD3C5" w14:textId="09FA8930" w:rsidR="005F7628" w:rsidRPr="00C462A0" w:rsidRDefault="005F7628" w:rsidP="005F7628">
            <w:pPr>
              <w:pStyle w:val="NormalWeb"/>
              <w:numPr>
                <w:ilvl w:val="0"/>
                <w:numId w:val="358"/>
              </w:numPr>
              <w:spacing w:before="0" w:beforeAutospacing="0" w:after="0" w:afterAutospacing="0"/>
              <w:jc w:val="both"/>
              <w:rPr>
                <w:rFonts w:asciiTheme="minorHAnsi" w:hAnsiTheme="minorHAnsi" w:cstheme="minorHAnsi"/>
                <w:b/>
                <w:bCs/>
                <w:iCs/>
                <w:color w:val="009889" w:themeColor="accent2"/>
                <w:sz w:val="20"/>
                <w:szCs w:val="20"/>
                <w:lang w:val="en-GB"/>
              </w:rPr>
            </w:pPr>
            <w:r w:rsidRPr="00C462A0">
              <w:rPr>
                <w:rFonts w:asciiTheme="minorHAnsi" w:hAnsiTheme="minorHAnsi" w:cstheme="minorHAnsi"/>
                <w:b/>
                <w:bCs/>
                <w:iCs/>
                <w:color w:val="009889" w:themeColor="accent2"/>
                <w:sz w:val="20"/>
                <w:szCs w:val="20"/>
                <w:lang w:val="en-GB"/>
              </w:rPr>
              <w:t>Risk-Based Approach and Accountability</w:t>
            </w:r>
          </w:p>
          <w:p w14:paraId="4E54F878" w14:textId="77777777" w:rsidR="005F7628" w:rsidRPr="00C462A0" w:rsidRDefault="005F7628" w:rsidP="005F7628">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One of the key developments introduced by GDPR is the move from purely prescriptive compliance toward a risk-based approach. Organisations are required to assess the risks associated with their data processing activities and implement controls that are proportionate to the likelihood and severity of potential harm to individuals.</w:t>
            </w:r>
          </w:p>
          <w:p w14:paraId="2CCCED82" w14:textId="77777777" w:rsidR="005F7628" w:rsidRPr="00C462A0" w:rsidRDefault="005F7628" w:rsidP="005F7628">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Core accountability mechanisms include:</w:t>
            </w:r>
          </w:p>
          <w:p w14:paraId="4CC06CDE" w14:textId="77777777" w:rsidR="005F7628" w:rsidRPr="00C462A0" w:rsidRDefault="005F7628" w:rsidP="005F7628">
            <w:pPr>
              <w:pStyle w:val="NormalWeb"/>
              <w:numPr>
                <w:ilvl w:val="0"/>
                <w:numId w:val="378"/>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Data Protection Impact Assessments (DPIAs).</w:t>
            </w:r>
          </w:p>
          <w:p w14:paraId="0D1D55EC" w14:textId="77777777" w:rsidR="005F7628" w:rsidRPr="00C462A0" w:rsidRDefault="005F7628" w:rsidP="005F7628">
            <w:pPr>
              <w:pStyle w:val="NormalWeb"/>
              <w:numPr>
                <w:ilvl w:val="0"/>
                <w:numId w:val="378"/>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Records of processing activities.</w:t>
            </w:r>
          </w:p>
          <w:p w14:paraId="3975E6F9" w14:textId="77777777" w:rsidR="005F7628" w:rsidRPr="00C462A0" w:rsidRDefault="005F7628" w:rsidP="005F7628">
            <w:pPr>
              <w:pStyle w:val="NormalWeb"/>
              <w:numPr>
                <w:ilvl w:val="0"/>
                <w:numId w:val="378"/>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Appointment of a Data Protection Officer, where required.</w:t>
            </w:r>
          </w:p>
          <w:p w14:paraId="7B2AA6AF" w14:textId="77777777" w:rsidR="005F7628" w:rsidRPr="00C462A0" w:rsidRDefault="005F7628" w:rsidP="005F7628">
            <w:pPr>
              <w:pStyle w:val="NormalWeb"/>
              <w:numPr>
                <w:ilvl w:val="0"/>
                <w:numId w:val="378"/>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iCs/>
                <w:sz w:val="20"/>
                <w:szCs w:val="20"/>
                <w:lang w:val="en-GB"/>
              </w:rPr>
              <w:t>Demonstrable implementation of technical safeguards</w:t>
            </w:r>
            <w:r w:rsidRPr="00C462A0">
              <w:rPr>
                <w:rFonts w:asciiTheme="minorHAnsi" w:hAnsiTheme="minorHAnsi" w:cstheme="minorHAnsi"/>
                <w:bCs/>
                <w:iCs/>
                <w:sz w:val="20"/>
                <w:szCs w:val="20"/>
                <w:lang w:val="en-GB"/>
              </w:rPr>
              <w:t>, such as encryption and access control.</w:t>
            </w:r>
          </w:p>
          <w:p w14:paraId="2E498BAD" w14:textId="77777777" w:rsidR="005F7628" w:rsidRPr="00C462A0" w:rsidRDefault="005F7628" w:rsidP="005F7628">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The ENISA highlights the importance of aligning cybersecurity measures with data protection compliance in digital transformation environments.</w:t>
            </w:r>
          </w:p>
          <w:p w14:paraId="56802850" w14:textId="77777777" w:rsidR="005F7628" w:rsidRPr="00C462A0" w:rsidRDefault="005F7628" w:rsidP="005F7628">
            <w:pPr>
              <w:pStyle w:val="NormalWeb"/>
              <w:spacing w:before="0" w:beforeAutospacing="0" w:after="0" w:afterAutospacing="0"/>
              <w:jc w:val="both"/>
              <w:rPr>
                <w:rFonts w:asciiTheme="minorHAnsi" w:hAnsiTheme="minorHAnsi" w:cstheme="minorHAnsi"/>
                <w:bCs/>
                <w:iCs/>
                <w:sz w:val="20"/>
                <w:szCs w:val="20"/>
                <w:lang w:val="en-GB"/>
              </w:rPr>
            </w:pPr>
          </w:p>
          <w:p w14:paraId="0D97754F" w14:textId="291D19F8" w:rsidR="005F7628" w:rsidRPr="00C462A0" w:rsidRDefault="005F7628" w:rsidP="005F7628">
            <w:pPr>
              <w:pStyle w:val="NormalWeb"/>
              <w:numPr>
                <w:ilvl w:val="0"/>
                <w:numId w:val="358"/>
              </w:numPr>
              <w:spacing w:before="0" w:beforeAutospacing="0" w:after="0" w:afterAutospacing="0"/>
              <w:jc w:val="both"/>
              <w:rPr>
                <w:rFonts w:asciiTheme="minorHAnsi" w:hAnsiTheme="minorHAnsi" w:cstheme="minorHAnsi"/>
                <w:b/>
                <w:bCs/>
                <w:iCs/>
                <w:color w:val="009889" w:themeColor="accent2"/>
                <w:sz w:val="20"/>
                <w:szCs w:val="20"/>
                <w:lang w:val="en-GB"/>
              </w:rPr>
            </w:pPr>
            <w:r w:rsidRPr="00C462A0">
              <w:rPr>
                <w:rFonts w:asciiTheme="minorHAnsi" w:hAnsiTheme="minorHAnsi" w:cstheme="minorHAnsi"/>
                <w:b/>
                <w:bCs/>
                <w:iCs/>
                <w:color w:val="009889" w:themeColor="accent2"/>
                <w:sz w:val="20"/>
                <w:szCs w:val="20"/>
                <w:lang w:val="en-GB"/>
              </w:rPr>
              <w:lastRenderedPageBreak/>
              <w:t>GDPR in Sustainable Digital Infrastructures</w:t>
            </w:r>
          </w:p>
          <w:p w14:paraId="067C0EED" w14:textId="77777777" w:rsidR="005F7628" w:rsidRPr="00C462A0" w:rsidRDefault="005F7628" w:rsidP="005F7628">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Sustainable infrastructures frequently process personal data, including:</w:t>
            </w:r>
          </w:p>
          <w:p w14:paraId="6055488D" w14:textId="77777777" w:rsidR="005F7628" w:rsidRPr="00C462A0" w:rsidRDefault="005F7628" w:rsidP="005F7628">
            <w:pPr>
              <w:pStyle w:val="NormalWeb"/>
              <w:numPr>
                <w:ilvl w:val="0"/>
                <w:numId w:val="379"/>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Smart meter consumption data linked to individuals.</w:t>
            </w:r>
          </w:p>
          <w:p w14:paraId="42CD3ABD" w14:textId="77777777" w:rsidR="005F7628" w:rsidRPr="00C462A0" w:rsidRDefault="005F7628" w:rsidP="005F7628">
            <w:pPr>
              <w:pStyle w:val="NormalWeb"/>
              <w:numPr>
                <w:ilvl w:val="0"/>
                <w:numId w:val="379"/>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Employee monitoring data within energy facilities.</w:t>
            </w:r>
          </w:p>
          <w:p w14:paraId="5653459E" w14:textId="77777777" w:rsidR="005F7628" w:rsidRPr="00C462A0" w:rsidRDefault="005F7628" w:rsidP="005F7628">
            <w:pPr>
              <w:pStyle w:val="NormalWeb"/>
              <w:numPr>
                <w:ilvl w:val="0"/>
                <w:numId w:val="379"/>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ESG platform data related to workforce diversity and governance.</w:t>
            </w:r>
          </w:p>
          <w:p w14:paraId="53A299E3" w14:textId="77777777" w:rsidR="005F7628" w:rsidRPr="00C462A0" w:rsidRDefault="005F7628" w:rsidP="005F7628">
            <w:pPr>
              <w:pStyle w:val="NormalWeb"/>
              <w:numPr>
                <w:ilvl w:val="0"/>
                <w:numId w:val="379"/>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IoT sensor data that may be associated with identifiable persons.</w:t>
            </w:r>
          </w:p>
          <w:p w14:paraId="1FF66AFD" w14:textId="77777777" w:rsidR="005F7628" w:rsidRPr="00C462A0" w:rsidRDefault="005F7628" w:rsidP="005F7628">
            <w:pPr>
              <w:pStyle w:val="NormalWeb"/>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Risks can emerge when:</w:t>
            </w:r>
          </w:p>
          <w:p w14:paraId="4B73375D" w14:textId="77777777" w:rsidR="005F7628" w:rsidRPr="00C462A0" w:rsidRDefault="005F7628" w:rsidP="005F7628">
            <w:pPr>
              <w:pStyle w:val="NormalWeb"/>
              <w:numPr>
                <w:ilvl w:val="0"/>
                <w:numId w:val="379"/>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iCs/>
                <w:sz w:val="20"/>
                <w:szCs w:val="20"/>
                <w:lang w:val="en-GB"/>
              </w:rPr>
              <w:t>Data is collected excessively, in</w:t>
            </w:r>
            <w:r w:rsidRPr="00C462A0">
              <w:rPr>
                <w:rFonts w:asciiTheme="minorHAnsi" w:hAnsiTheme="minorHAnsi" w:cstheme="minorHAnsi"/>
                <w:bCs/>
                <w:iCs/>
                <w:sz w:val="20"/>
                <w:szCs w:val="20"/>
                <w:lang w:val="en-GB"/>
              </w:rPr>
              <w:t xml:space="preserve"> breach of minimisation principles.</w:t>
            </w:r>
          </w:p>
          <w:p w14:paraId="1E1FC141" w14:textId="77777777" w:rsidR="005F7628" w:rsidRPr="00C462A0" w:rsidRDefault="005F7628" w:rsidP="005F7628">
            <w:pPr>
              <w:pStyle w:val="NormalWeb"/>
              <w:numPr>
                <w:ilvl w:val="0"/>
                <w:numId w:val="379"/>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Data is processed for purposes beyond its original disclosure.</w:t>
            </w:r>
          </w:p>
          <w:p w14:paraId="4345A59E" w14:textId="77777777" w:rsidR="005F7628" w:rsidRPr="00C462A0" w:rsidRDefault="005F7628" w:rsidP="005F7628">
            <w:pPr>
              <w:pStyle w:val="NormalWeb"/>
              <w:numPr>
                <w:ilvl w:val="0"/>
                <w:numId w:val="379"/>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Access controls are inadequate.</w:t>
            </w:r>
          </w:p>
          <w:p w14:paraId="61EF716B" w14:textId="77777777" w:rsidR="005F7628" w:rsidRPr="00C462A0" w:rsidRDefault="005F7628" w:rsidP="005F7628">
            <w:pPr>
              <w:pStyle w:val="NormalWeb"/>
              <w:numPr>
                <w:ilvl w:val="0"/>
                <w:numId w:val="379"/>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Encryption and integrity mechanisms are insufficient.</w:t>
            </w:r>
          </w:p>
          <w:p w14:paraId="39DEF99A" w14:textId="77777777" w:rsidR="005F7628" w:rsidRPr="00C462A0" w:rsidRDefault="005F7628" w:rsidP="005F7628">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For this reason, GDPR alignment must be embedded within broader cybersecurity governance and risk assessment processes.</w:t>
            </w:r>
          </w:p>
          <w:p w14:paraId="3A1A59B8" w14:textId="77777777" w:rsidR="005F7628" w:rsidRPr="00C462A0" w:rsidRDefault="005F7628" w:rsidP="006F6B6E">
            <w:pPr>
              <w:pStyle w:val="NormalWeb"/>
              <w:keepNext/>
              <w:spacing w:before="0" w:beforeAutospacing="0" w:after="0" w:afterAutospacing="0"/>
              <w:jc w:val="center"/>
              <w:rPr>
                <w:rFonts w:asciiTheme="minorHAnsi" w:hAnsiTheme="minorHAnsi" w:cstheme="minorHAnsi"/>
                <w:sz w:val="18"/>
                <w:szCs w:val="18"/>
                <w:lang w:val="en-GB"/>
              </w:rPr>
            </w:pPr>
            <w:r w:rsidRPr="00C462A0">
              <w:rPr>
                <w:rFonts w:asciiTheme="minorHAnsi" w:hAnsiTheme="minorHAnsi" w:cstheme="minorHAnsi"/>
                <w:noProof/>
                <w:sz w:val="18"/>
                <w:szCs w:val="18"/>
                <w:lang w:val="en-GB"/>
              </w:rPr>
              <w:drawing>
                <wp:inline distT="0" distB="0" distL="0" distR="0" wp14:anchorId="3E18A52A" wp14:editId="6BB23BE4">
                  <wp:extent cx="5867400" cy="3178426"/>
                  <wp:effectExtent l="0" t="0" r="0" b="3175"/>
                  <wp:docPr id="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pic:cNvPicPr>
                        </pic:nvPicPr>
                        <pic:blipFill>
                          <a:blip r:embed="rId99"/>
                          <a:srcRect b="18727"/>
                          <a:stretch/>
                        </pic:blipFill>
                        <pic:spPr bwMode="auto">
                          <a:xfrm>
                            <a:off x="0" y="0"/>
                            <a:ext cx="5888389" cy="3189796"/>
                          </a:xfrm>
                          <a:prstGeom prst="rect">
                            <a:avLst/>
                          </a:prstGeom>
                          <a:noFill/>
                          <a:ln>
                            <a:noFill/>
                          </a:ln>
                        </pic:spPr>
                      </pic:pic>
                    </a:graphicData>
                  </a:graphic>
                </wp:inline>
              </w:drawing>
            </w:r>
          </w:p>
          <w:p w14:paraId="1FF0BA58" w14:textId="6080E7E0" w:rsidR="005F7628" w:rsidRPr="0031451E" w:rsidRDefault="005F7628" w:rsidP="0031451E">
            <w:pPr>
              <w:jc w:val="center"/>
              <w:rPr>
                <w:color w:val="009889" w:themeColor="accent2"/>
                <w:sz w:val="18"/>
                <w:szCs w:val="20"/>
              </w:rPr>
            </w:pPr>
            <w:bookmarkStart w:id="57" w:name="_Toc227623463"/>
            <w:r w:rsidRPr="0031451E">
              <w:rPr>
                <w:color w:val="009889" w:themeColor="accent2"/>
                <w:sz w:val="18"/>
                <w:szCs w:val="20"/>
              </w:rPr>
              <w:t xml:space="preserve">Figure </w:t>
            </w:r>
            <w:r w:rsidRPr="0031451E">
              <w:rPr>
                <w:b/>
                <w:bCs/>
                <w:color w:val="009889" w:themeColor="accent2"/>
                <w:sz w:val="18"/>
                <w:szCs w:val="20"/>
              </w:rPr>
              <w:fldChar w:fldCharType="begin"/>
            </w:r>
            <w:r w:rsidRPr="0031451E">
              <w:rPr>
                <w:color w:val="009889" w:themeColor="accent2"/>
                <w:sz w:val="18"/>
                <w:szCs w:val="20"/>
              </w:rPr>
              <w:instrText xml:space="preserve"> SEQ Figure \* ARABIC </w:instrText>
            </w:r>
            <w:r w:rsidRPr="0031451E">
              <w:rPr>
                <w:b/>
                <w:bCs/>
                <w:color w:val="009889" w:themeColor="accent2"/>
                <w:sz w:val="18"/>
                <w:szCs w:val="20"/>
              </w:rPr>
              <w:fldChar w:fldCharType="separate"/>
            </w:r>
            <w:r w:rsidRPr="0031451E">
              <w:rPr>
                <w:color w:val="009889" w:themeColor="accent2"/>
                <w:sz w:val="18"/>
                <w:szCs w:val="20"/>
              </w:rPr>
              <w:t>26</w:t>
            </w:r>
            <w:r w:rsidRPr="0031451E">
              <w:rPr>
                <w:b/>
                <w:bCs/>
                <w:color w:val="009889" w:themeColor="accent2"/>
                <w:sz w:val="18"/>
                <w:szCs w:val="20"/>
              </w:rPr>
              <w:fldChar w:fldCharType="end"/>
            </w:r>
            <w:r w:rsidR="006F6B6E" w:rsidRPr="0031451E">
              <w:rPr>
                <w:color w:val="009889" w:themeColor="accent2"/>
                <w:sz w:val="18"/>
                <w:szCs w:val="20"/>
              </w:rPr>
              <w:t xml:space="preserve">. </w:t>
            </w:r>
            <w:r w:rsidRPr="0031451E">
              <w:rPr>
                <w:color w:val="009889" w:themeColor="accent2"/>
                <w:sz w:val="18"/>
                <w:szCs w:val="20"/>
              </w:rPr>
              <w:t>GDPR principles across domains</w:t>
            </w:r>
            <w:r w:rsidR="006F6B6E" w:rsidRPr="0031451E">
              <w:rPr>
                <w:color w:val="009889" w:themeColor="accent2"/>
                <w:sz w:val="18"/>
                <w:szCs w:val="20"/>
              </w:rPr>
              <w:t xml:space="preserve"> (source: Author)</w:t>
            </w:r>
            <w:bookmarkEnd w:id="57"/>
          </w:p>
          <w:p w14:paraId="22BBA861" w14:textId="77777777" w:rsidR="0031451E" w:rsidRPr="0031451E" w:rsidRDefault="0031451E" w:rsidP="0031451E">
            <w:pPr>
              <w:jc w:val="both"/>
              <w:rPr>
                <w:b/>
                <w:bCs/>
                <w:i/>
                <w:iCs/>
                <w:sz w:val="18"/>
                <w:szCs w:val="20"/>
              </w:rPr>
            </w:pPr>
          </w:p>
          <w:p w14:paraId="08034818" w14:textId="2D2AA44B" w:rsidR="0031451E" w:rsidRPr="0031451E" w:rsidRDefault="0031451E" w:rsidP="0031451E">
            <w:pPr>
              <w:jc w:val="both"/>
              <w:rPr>
                <w:i/>
                <w:iCs/>
                <w:sz w:val="18"/>
                <w:szCs w:val="18"/>
              </w:rPr>
            </w:pPr>
            <w:r w:rsidRPr="0031451E">
              <w:rPr>
                <w:i/>
                <w:iCs/>
                <w:sz w:val="18"/>
                <w:szCs w:val="18"/>
              </w:rPr>
              <w:t>Th</w:t>
            </w:r>
            <w:r>
              <w:rPr>
                <w:i/>
                <w:iCs/>
                <w:sz w:val="18"/>
                <w:szCs w:val="18"/>
              </w:rPr>
              <w:t>e</w:t>
            </w:r>
            <w:r w:rsidRPr="0031451E">
              <w:rPr>
                <w:i/>
                <w:iCs/>
                <w:sz w:val="18"/>
                <w:szCs w:val="18"/>
              </w:rPr>
              <w:t xml:space="preserve"> chart</w:t>
            </w:r>
            <w:r>
              <w:rPr>
                <w:i/>
                <w:iCs/>
                <w:sz w:val="18"/>
                <w:szCs w:val="18"/>
              </w:rPr>
              <w:t xml:space="preserve"> above</w:t>
            </w:r>
            <w:r w:rsidRPr="0031451E">
              <w:rPr>
                <w:i/>
                <w:iCs/>
                <w:sz w:val="18"/>
                <w:szCs w:val="18"/>
              </w:rPr>
              <w:t xml:space="preserve"> outlines how key GDPR principles—Integrity, Confidentiality, and Accountability—apply to specific technical domains like Smart Grids, IoT Sensors, Energy Management Systems, and ESG Platforms.</w:t>
            </w:r>
          </w:p>
          <w:p w14:paraId="00F1838F" w14:textId="77777777" w:rsidR="0031451E" w:rsidRPr="0031451E" w:rsidRDefault="0031451E" w:rsidP="0031451E">
            <w:pPr>
              <w:jc w:val="both"/>
              <w:rPr>
                <w:i/>
                <w:iCs/>
                <w:sz w:val="18"/>
                <w:szCs w:val="18"/>
              </w:rPr>
            </w:pPr>
            <w:r w:rsidRPr="0031451E">
              <w:rPr>
                <w:i/>
                <w:iCs/>
                <w:sz w:val="18"/>
                <w:szCs w:val="18"/>
              </w:rPr>
              <w:t xml:space="preserve">Integrity focuses on ensuring data accuracy and secure transmission across systems. </w:t>
            </w:r>
          </w:p>
          <w:p w14:paraId="712974EB" w14:textId="57EDA6BD" w:rsidR="005F7628" w:rsidRPr="0031451E" w:rsidRDefault="0031451E" w:rsidP="0031451E">
            <w:pPr>
              <w:jc w:val="both"/>
              <w:rPr>
                <w:i/>
                <w:iCs/>
                <w:sz w:val="18"/>
                <w:szCs w:val="18"/>
              </w:rPr>
            </w:pPr>
            <w:r w:rsidRPr="0031451E">
              <w:rPr>
                <w:i/>
                <w:iCs/>
                <w:sz w:val="18"/>
                <w:szCs w:val="18"/>
              </w:rPr>
              <w:t>Confidentiality emphasizes protecting information through encryption, access control, and secure networks. Accountability involves maintaining regulatory compliance through audits, monitoring, and oversight.</w:t>
            </w:r>
          </w:p>
          <w:p w14:paraId="684676FF" w14:textId="77777777" w:rsidR="0031451E" w:rsidRPr="00C462A0" w:rsidRDefault="0031451E" w:rsidP="005F7628">
            <w:pPr>
              <w:jc w:val="both"/>
              <w:rPr>
                <w:rFonts w:cstheme="minorHAnsi"/>
                <w:szCs w:val="20"/>
              </w:rPr>
            </w:pPr>
          </w:p>
          <w:p w14:paraId="5E7748FD" w14:textId="6E1A5311" w:rsidR="005F7628" w:rsidRPr="00C462A0" w:rsidRDefault="005F7628" w:rsidP="005F7628">
            <w:pPr>
              <w:pStyle w:val="NormalWeb"/>
              <w:numPr>
                <w:ilvl w:val="0"/>
                <w:numId w:val="358"/>
              </w:numPr>
              <w:spacing w:before="0" w:beforeAutospacing="0" w:after="0" w:afterAutospacing="0"/>
              <w:jc w:val="both"/>
              <w:rPr>
                <w:rFonts w:asciiTheme="minorHAnsi" w:hAnsiTheme="minorHAnsi" w:cstheme="minorHAnsi"/>
                <w:b/>
                <w:bCs/>
                <w:iCs/>
                <w:color w:val="009889" w:themeColor="accent2"/>
                <w:sz w:val="20"/>
                <w:szCs w:val="20"/>
                <w:lang w:val="en-GB"/>
              </w:rPr>
            </w:pPr>
            <w:r w:rsidRPr="00C462A0">
              <w:rPr>
                <w:rFonts w:asciiTheme="minorHAnsi" w:hAnsiTheme="minorHAnsi" w:cstheme="minorHAnsi"/>
                <w:b/>
                <w:bCs/>
                <w:iCs/>
                <w:color w:val="009889" w:themeColor="accent2"/>
                <w:sz w:val="20"/>
                <w:szCs w:val="20"/>
                <w:lang w:val="en-GB"/>
              </w:rPr>
              <w:t>Evolution and Regulatory Landscape</w:t>
            </w:r>
          </w:p>
          <w:p w14:paraId="21380839" w14:textId="77777777" w:rsidR="005F7628" w:rsidRPr="00C462A0" w:rsidRDefault="005F7628" w:rsidP="005F7628">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Since its enforcement, GDPR has continued to develop through:</w:t>
            </w:r>
          </w:p>
          <w:p w14:paraId="7DA04546" w14:textId="77777777" w:rsidR="005F7628" w:rsidRPr="00C462A0" w:rsidRDefault="005F7628" w:rsidP="005F7628">
            <w:pPr>
              <w:pStyle w:val="NormalWeb"/>
              <w:numPr>
                <w:ilvl w:val="0"/>
                <w:numId w:val="380"/>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Interpretative guidance issued by supervisory authorities.</w:t>
            </w:r>
          </w:p>
          <w:p w14:paraId="088E9514" w14:textId="77777777" w:rsidR="005F7628" w:rsidRPr="00C462A0" w:rsidRDefault="005F7628" w:rsidP="005F7628">
            <w:pPr>
              <w:pStyle w:val="NormalWeb"/>
              <w:numPr>
                <w:ilvl w:val="0"/>
                <w:numId w:val="380"/>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Enforcement actions and evolving case law.</w:t>
            </w:r>
          </w:p>
          <w:p w14:paraId="60F9E37A" w14:textId="77777777" w:rsidR="005F7628" w:rsidRPr="00C462A0" w:rsidRDefault="005F7628" w:rsidP="005F7628">
            <w:pPr>
              <w:pStyle w:val="NormalWeb"/>
              <w:numPr>
                <w:ilvl w:val="0"/>
                <w:numId w:val="380"/>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Closer integration with cybersecurity regulations, including sector-specific resilience requirements.</w:t>
            </w:r>
          </w:p>
          <w:p w14:paraId="6D989689" w14:textId="77777777" w:rsidR="005F7628" w:rsidRPr="00C462A0" w:rsidRDefault="005F7628" w:rsidP="005F7628">
            <w:pPr>
              <w:pStyle w:val="NormalWeb"/>
              <w:numPr>
                <w:ilvl w:val="0"/>
                <w:numId w:val="380"/>
              </w:numPr>
              <w:spacing w:before="0" w:beforeAutospacing="0" w:after="0" w:afterAutospacing="0"/>
              <w:jc w:val="both"/>
              <w:rPr>
                <w:rFonts w:asciiTheme="minorHAnsi" w:hAnsiTheme="minorHAnsi" w:cstheme="minorHAnsi"/>
                <w:iCs/>
                <w:sz w:val="20"/>
                <w:szCs w:val="20"/>
                <w:lang w:val="en-GB"/>
              </w:rPr>
            </w:pPr>
            <w:r w:rsidRPr="00C462A0">
              <w:rPr>
                <w:rFonts w:asciiTheme="minorHAnsi" w:hAnsiTheme="minorHAnsi" w:cstheme="minorHAnsi"/>
                <w:iCs/>
                <w:sz w:val="20"/>
                <w:szCs w:val="20"/>
                <w:lang w:val="en-GB"/>
              </w:rPr>
              <w:t>Alignment with emerging data governance and digital resilience initiatives.</w:t>
            </w:r>
          </w:p>
          <w:p w14:paraId="11D3F019" w14:textId="77777777" w:rsidR="005F7628" w:rsidRPr="00C462A0" w:rsidRDefault="005F7628" w:rsidP="005F7628">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This progression reflects a broader movement toward integrated regulatory governance, where cybersecurity, data protection, and operational resilience are increasingly interlinked.</w:t>
            </w:r>
          </w:p>
          <w:p w14:paraId="0AAE98F8" w14:textId="77777777" w:rsidR="005F7628" w:rsidRPr="00C462A0" w:rsidRDefault="005F7628" w:rsidP="005F7628">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lastRenderedPageBreak/>
              <w:t>GDPR alignment should therefore be understood not as static compliance, but as an ongoing governance process that requires regular review and adaptation.</w:t>
            </w:r>
          </w:p>
          <w:p w14:paraId="672F2A2C" w14:textId="77777777" w:rsidR="005F7628" w:rsidRPr="00C462A0" w:rsidRDefault="005F7628" w:rsidP="005F7628">
            <w:pPr>
              <w:pStyle w:val="NormalWeb"/>
              <w:spacing w:before="0" w:beforeAutospacing="0" w:after="0" w:afterAutospacing="0"/>
              <w:jc w:val="both"/>
              <w:rPr>
                <w:rFonts w:asciiTheme="minorHAnsi" w:hAnsiTheme="minorHAnsi" w:cstheme="minorHAnsi"/>
                <w:bCs/>
                <w:iCs/>
                <w:sz w:val="20"/>
                <w:szCs w:val="20"/>
                <w:lang w:val="en-GB"/>
              </w:rPr>
            </w:pPr>
          </w:p>
          <w:p w14:paraId="1771D026" w14:textId="77777777" w:rsidR="005F7628" w:rsidRPr="00C462A0" w:rsidRDefault="005F7628" w:rsidP="005F7628">
            <w:pPr>
              <w:pStyle w:val="NormalWeb"/>
              <w:spacing w:before="0" w:beforeAutospacing="0" w:after="0" w:afterAutospacing="0"/>
              <w:jc w:val="both"/>
              <w:rPr>
                <w:rFonts w:asciiTheme="minorHAnsi" w:hAnsiTheme="minorHAnsi" w:cstheme="minorHAnsi"/>
                <w:b/>
                <w:color w:val="00AC4E" w:themeColor="accent1"/>
                <w:sz w:val="20"/>
                <w:szCs w:val="20"/>
                <w:u w:val="single"/>
                <w:lang w:val="en-GB"/>
              </w:rPr>
            </w:pPr>
            <w:r w:rsidRPr="00C462A0">
              <w:rPr>
                <w:rFonts w:asciiTheme="minorHAnsi" w:hAnsiTheme="minorHAnsi" w:cstheme="minorHAnsi"/>
                <w:b/>
                <w:bCs/>
                <w:color w:val="00AC4E" w:themeColor="accent1"/>
                <w:sz w:val="20"/>
                <w:szCs w:val="20"/>
                <w:u w:val="single"/>
                <w:lang w:val="en-GB"/>
              </w:rPr>
              <w:t>Micro-activity</w:t>
            </w:r>
            <w:r w:rsidRPr="00C462A0">
              <w:rPr>
                <w:rFonts w:asciiTheme="minorHAnsi" w:hAnsiTheme="minorHAnsi" w:cstheme="minorHAnsi"/>
                <w:b/>
                <w:color w:val="00AC4E" w:themeColor="accent1"/>
                <w:sz w:val="20"/>
                <w:szCs w:val="20"/>
                <w:u w:val="single"/>
                <w:lang w:val="en-GB"/>
              </w:rPr>
              <w:t>:</w:t>
            </w:r>
          </w:p>
          <w:p w14:paraId="044B0671" w14:textId="77777777" w:rsidR="005F7628" w:rsidRPr="00C462A0" w:rsidRDefault="005F7628" w:rsidP="005F7628">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Consider a smart grid operator collecting detailed electricity consumption data linked to individual households.</w:t>
            </w:r>
          </w:p>
          <w:p w14:paraId="4D42DF36" w14:textId="2F18E32B" w:rsidR="005F7628" w:rsidRPr="00C462A0" w:rsidRDefault="005F7628" w:rsidP="005F7628">
            <w:pPr>
              <w:pStyle w:val="NormalWeb"/>
              <w:spacing w:before="0" w:beforeAutospacing="0" w:after="0" w:afterAutospacing="0"/>
              <w:jc w:val="both"/>
              <w:rPr>
                <w:rFonts w:asciiTheme="minorHAnsi" w:hAnsiTheme="minorHAnsi" w:cstheme="minorHAnsi"/>
                <w:b/>
                <w:iCs/>
                <w:sz w:val="20"/>
                <w:szCs w:val="20"/>
                <w:lang w:val="en-GB"/>
              </w:rPr>
            </w:pPr>
            <w:r w:rsidRPr="00C462A0">
              <w:rPr>
                <w:rFonts w:asciiTheme="minorHAnsi" w:hAnsiTheme="minorHAnsi" w:cstheme="minorHAnsi"/>
                <w:b/>
                <w:iCs/>
                <w:sz w:val="20"/>
                <w:szCs w:val="20"/>
                <w:lang w:val="en-GB"/>
              </w:rPr>
              <w:t>Learner task:</w:t>
            </w:r>
          </w:p>
          <w:p w14:paraId="197A035F" w14:textId="77777777" w:rsidR="005F7628" w:rsidRPr="00C462A0" w:rsidRDefault="005F7628" w:rsidP="005F7628">
            <w:pPr>
              <w:pStyle w:val="NormalWeb"/>
              <w:numPr>
                <w:ilvl w:val="0"/>
                <w:numId w:val="382"/>
              </w:numPr>
              <w:spacing w:before="40" w:beforeAutospacing="0" w:after="4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Identify one GDPR principle particularly relevant to this processing activity.</w:t>
            </w:r>
          </w:p>
          <w:p w14:paraId="78E00470" w14:textId="77777777" w:rsidR="005F7628" w:rsidRPr="00C462A0" w:rsidRDefault="005F7628" w:rsidP="005F7628">
            <w:pPr>
              <w:pStyle w:val="NormalWeb"/>
              <w:numPr>
                <w:ilvl w:val="0"/>
                <w:numId w:val="382"/>
              </w:numPr>
              <w:spacing w:before="40" w:after="4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Identify one compliance risk.</w:t>
            </w:r>
          </w:p>
          <w:p w14:paraId="45172DFB" w14:textId="77777777" w:rsidR="005F7628" w:rsidRPr="00C462A0" w:rsidRDefault="005F7628" w:rsidP="005F7628">
            <w:pPr>
              <w:pStyle w:val="NormalWeb"/>
              <w:numPr>
                <w:ilvl w:val="0"/>
                <w:numId w:val="382"/>
              </w:numPr>
              <w:spacing w:before="40" w:after="4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Propose one technical control and one organisational measure supporting GDPR alignment.</w:t>
            </w:r>
          </w:p>
          <w:p w14:paraId="254BC23D" w14:textId="77777777" w:rsidR="005F7628" w:rsidRPr="00C462A0" w:rsidRDefault="005F7628" w:rsidP="005F7628">
            <w:pPr>
              <w:pStyle w:val="NormalWeb"/>
              <w:numPr>
                <w:ilvl w:val="0"/>
                <w:numId w:val="382"/>
              </w:numPr>
              <w:spacing w:before="40" w:beforeAutospacing="0" w:after="4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Explain how these measures demonstrate accountability.</w:t>
            </w:r>
          </w:p>
          <w:p w14:paraId="66675FA5" w14:textId="77777777" w:rsidR="005F7628" w:rsidRPr="00C462A0" w:rsidRDefault="005F7628" w:rsidP="005F7628">
            <w:pPr>
              <w:pStyle w:val="NormalWeb"/>
              <w:spacing w:before="40" w:beforeAutospacing="0" w:after="4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Respond in 8–10 structured sentences.</w:t>
            </w:r>
          </w:p>
          <w:p w14:paraId="26CD33B4" w14:textId="77777777" w:rsidR="005F7628" w:rsidRPr="00C462A0" w:rsidRDefault="005F7628" w:rsidP="005F7628">
            <w:pPr>
              <w:jc w:val="both"/>
              <w:rPr>
                <w:rFonts w:cstheme="minorHAnsi"/>
                <w:b/>
                <w:color w:val="00AC4E" w:themeColor="accent1"/>
                <w:szCs w:val="20"/>
              </w:rPr>
            </w:pPr>
            <w:r w:rsidRPr="00C462A0">
              <w:rPr>
                <w:rFonts w:cstheme="minorHAnsi"/>
                <w:b/>
                <w:color w:val="00AC4E" w:themeColor="accent1"/>
                <w:szCs w:val="20"/>
              </w:rPr>
              <w:t xml:space="preserve">Additional reading: </w:t>
            </w:r>
          </w:p>
          <w:p w14:paraId="29455669" w14:textId="646400EF" w:rsidR="005F7628" w:rsidRPr="00C462A0" w:rsidRDefault="005F7628" w:rsidP="005F7628">
            <w:pPr>
              <w:pStyle w:val="ListParagraph"/>
              <w:numPr>
                <w:ilvl w:val="0"/>
                <w:numId w:val="381"/>
              </w:numPr>
              <w:jc w:val="both"/>
              <w:rPr>
                <w:rFonts w:cstheme="minorHAnsi"/>
                <w:color w:val="00AC4E" w:themeColor="accent1"/>
                <w:szCs w:val="20"/>
              </w:rPr>
            </w:pPr>
            <w:hyperlink r:id="rId100" w:history="1">
              <w:r w:rsidRPr="00C462A0">
                <w:rPr>
                  <w:rStyle w:val="Hyperlink"/>
                  <w:rFonts w:cstheme="minorHAnsi"/>
                  <w:color w:val="00AC4E" w:themeColor="accent1"/>
                  <w:szCs w:val="20"/>
                </w:rPr>
                <w:t>GDPR Regulation</w:t>
              </w:r>
            </w:hyperlink>
          </w:p>
          <w:p w14:paraId="6410C1B3" w14:textId="6B84B321" w:rsidR="005F7628" w:rsidRPr="00C462A0" w:rsidRDefault="005F7628" w:rsidP="005F7628">
            <w:pPr>
              <w:pStyle w:val="ListParagraph"/>
              <w:numPr>
                <w:ilvl w:val="0"/>
                <w:numId w:val="381"/>
              </w:numPr>
              <w:jc w:val="both"/>
              <w:rPr>
                <w:rFonts w:cstheme="minorHAnsi"/>
                <w:color w:val="00AC4E" w:themeColor="accent1"/>
                <w:szCs w:val="20"/>
              </w:rPr>
            </w:pPr>
            <w:hyperlink r:id="rId101" w:history="1">
              <w:r w:rsidRPr="00C462A0">
                <w:rPr>
                  <w:rStyle w:val="Hyperlink"/>
                  <w:rFonts w:cstheme="minorHAnsi"/>
                  <w:color w:val="00AC4E" w:themeColor="accent1"/>
                  <w:szCs w:val="20"/>
                </w:rPr>
                <w:t>Digital Identity and Data Protection</w:t>
              </w:r>
            </w:hyperlink>
            <w:r w:rsidRPr="00C462A0">
              <w:rPr>
                <w:rFonts w:cstheme="minorHAnsi"/>
                <w:color w:val="00AC4E" w:themeColor="accent1"/>
                <w:szCs w:val="20"/>
              </w:rPr>
              <w:t xml:space="preserve"> </w:t>
            </w:r>
          </w:p>
          <w:p w14:paraId="71E3DBC6" w14:textId="0882C344" w:rsidR="005F7628" w:rsidRPr="00C462A0" w:rsidRDefault="005F7628" w:rsidP="005F7628">
            <w:pPr>
              <w:pStyle w:val="ListParagraph"/>
              <w:numPr>
                <w:ilvl w:val="0"/>
                <w:numId w:val="381"/>
              </w:numPr>
              <w:jc w:val="both"/>
              <w:rPr>
                <w:rFonts w:cstheme="minorHAnsi"/>
                <w:color w:val="00AC4E" w:themeColor="accent1"/>
                <w:szCs w:val="20"/>
              </w:rPr>
            </w:pPr>
            <w:hyperlink r:id="rId102" w:history="1">
              <w:r w:rsidRPr="00C462A0">
                <w:rPr>
                  <w:rStyle w:val="Hyperlink"/>
                  <w:rFonts w:cstheme="minorHAnsi"/>
                  <w:color w:val="00AC4E" w:themeColor="accent1"/>
                  <w:szCs w:val="20"/>
                </w:rPr>
                <w:t>European Data Protection Board (EDPB) – Guidelines &amp; Recommendations</w:t>
              </w:r>
            </w:hyperlink>
            <w:r w:rsidRPr="00C462A0">
              <w:rPr>
                <w:rFonts w:cstheme="minorHAnsi"/>
                <w:color w:val="00AC4E" w:themeColor="accent1"/>
                <w:szCs w:val="20"/>
              </w:rPr>
              <w:t xml:space="preserve">, </w:t>
            </w:r>
          </w:p>
          <w:p w14:paraId="5415CE1F" w14:textId="1CA2E957" w:rsidR="005F7628" w:rsidRPr="00C462A0" w:rsidRDefault="005F7628" w:rsidP="005F7628">
            <w:pPr>
              <w:pStyle w:val="ListParagraph"/>
              <w:numPr>
                <w:ilvl w:val="0"/>
                <w:numId w:val="381"/>
              </w:numPr>
              <w:jc w:val="both"/>
              <w:rPr>
                <w:rFonts w:cstheme="minorHAnsi"/>
                <w:color w:val="00AC4E" w:themeColor="accent1"/>
                <w:szCs w:val="20"/>
              </w:rPr>
            </w:pPr>
            <w:hyperlink r:id="rId103" w:history="1">
              <w:r w:rsidRPr="00C462A0">
                <w:rPr>
                  <w:rStyle w:val="Hyperlink"/>
                  <w:rFonts w:cstheme="minorHAnsi"/>
                  <w:color w:val="00AC4E" w:themeColor="accent1"/>
                  <w:szCs w:val="20"/>
                </w:rPr>
                <w:t>European Commission – Data protection rules (GDPR overview &amp; updates)</w:t>
              </w:r>
            </w:hyperlink>
            <w:r w:rsidR="006F6B6E" w:rsidRPr="00C462A0">
              <w:rPr>
                <w:rFonts w:cstheme="minorHAnsi"/>
                <w:color w:val="00AC4E" w:themeColor="accent1"/>
                <w:szCs w:val="20"/>
              </w:rPr>
              <w:t>.</w:t>
            </w:r>
          </w:p>
          <w:p w14:paraId="63915D44" w14:textId="77777777" w:rsidR="005F7628" w:rsidRPr="00C462A0" w:rsidRDefault="005F7628" w:rsidP="005F7628">
            <w:pPr>
              <w:jc w:val="both"/>
              <w:rPr>
                <w:rFonts w:cstheme="minorHAnsi"/>
                <w:color w:val="00AC4E" w:themeColor="accent1"/>
                <w:szCs w:val="20"/>
              </w:rPr>
            </w:pPr>
          </w:p>
          <w:p w14:paraId="5AB3EA05" w14:textId="4688D8D5" w:rsidR="005F7628" w:rsidRPr="00C462A0" w:rsidRDefault="005F7628" w:rsidP="005F7628">
            <w:pPr>
              <w:jc w:val="both"/>
              <w:rPr>
                <w:rFonts w:cstheme="minorHAnsi"/>
                <w:b/>
                <w:color w:val="00AC4E" w:themeColor="accent1"/>
                <w:szCs w:val="20"/>
              </w:rPr>
            </w:pPr>
            <w:r w:rsidRPr="00C462A0">
              <w:rPr>
                <w:rFonts w:cstheme="minorHAnsi"/>
                <w:b/>
                <w:color w:val="00AC4E" w:themeColor="accent1"/>
                <w:szCs w:val="20"/>
              </w:rPr>
              <w:t>Key Takeaways</w:t>
            </w:r>
            <w:r w:rsidR="006F6B6E" w:rsidRPr="00C462A0">
              <w:rPr>
                <w:rFonts w:cstheme="minorHAnsi"/>
                <w:b/>
                <w:color w:val="00AC4E" w:themeColor="accent1"/>
                <w:szCs w:val="20"/>
              </w:rPr>
              <w:t>:</w:t>
            </w:r>
          </w:p>
          <w:p w14:paraId="4325A65F" w14:textId="77777777" w:rsidR="005F7628" w:rsidRPr="00C462A0" w:rsidRDefault="005F7628" w:rsidP="005F7628">
            <w:pPr>
              <w:pStyle w:val="ListParagraph"/>
              <w:numPr>
                <w:ilvl w:val="0"/>
                <w:numId w:val="383"/>
              </w:numPr>
              <w:jc w:val="both"/>
              <w:rPr>
                <w:rFonts w:cstheme="minorHAnsi"/>
                <w:bCs/>
                <w:szCs w:val="20"/>
              </w:rPr>
            </w:pPr>
            <w:r w:rsidRPr="00C462A0">
              <w:rPr>
                <w:rFonts w:cstheme="minorHAnsi"/>
                <w:bCs/>
                <w:szCs w:val="20"/>
              </w:rPr>
              <w:t>GDPR establishes a harmonised, risk-based framework for personal data protection.</w:t>
            </w:r>
          </w:p>
          <w:p w14:paraId="166C5B36" w14:textId="77777777" w:rsidR="005F7628" w:rsidRPr="00C462A0" w:rsidRDefault="005F7628" w:rsidP="005F7628">
            <w:pPr>
              <w:pStyle w:val="ListParagraph"/>
              <w:numPr>
                <w:ilvl w:val="0"/>
                <w:numId w:val="383"/>
              </w:numPr>
              <w:jc w:val="both"/>
              <w:rPr>
                <w:rFonts w:cstheme="minorHAnsi"/>
                <w:bCs/>
                <w:szCs w:val="20"/>
              </w:rPr>
            </w:pPr>
            <w:r w:rsidRPr="00C462A0">
              <w:rPr>
                <w:rFonts w:cstheme="minorHAnsi"/>
                <w:bCs/>
                <w:szCs w:val="20"/>
              </w:rPr>
              <w:t>Accountability and proportional safeguards are central to compliance.</w:t>
            </w:r>
          </w:p>
          <w:p w14:paraId="55F3F225" w14:textId="77777777" w:rsidR="005F7628" w:rsidRPr="00C462A0" w:rsidRDefault="005F7628" w:rsidP="005F7628">
            <w:pPr>
              <w:pStyle w:val="ListParagraph"/>
              <w:numPr>
                <w:ilvl w:val="0"/>
                <w:numId w:val="383"/>
              </w:numPr>
              <w:jc w:val="both"/>
              <w:rPr>
                <w:rFonts w:cstheme="minorHAnsi"/>
                <w:bCs/>
                <w:szCs w:val="20"/>
              </w:rPr>
            </w:pPr>
            <w:r w:rsidRPr="00C462A0">
              <w:rPr>
                <w:rFonts w:cstheme="minorHAnsi"/>
                <w:bCs/>
                <w:szCs w:val="20"/>
              </w:rPr>
              <w:t>Sustainable infrastructures frequently process personal data and require integrated governance.</w:t>
            </w:r>
          </w:p>
          <w:p w14:paraId="0A9D52E1" w14:textId="77777777" w:rsidR="005F7628" w:rsidRPr="00C462A0" w:rsidRDefault="005F7628" w:rsidP="005F7628">
            <w:pPr>
              <w:pStyle w:val="ListParagraph"/>
              <w:numPr>
                <w:ilvl w:val="0"/>
                <w:numId w:val="383"/>
              </w:numPr>
              <w:jc w:val="both"/>
              <w:rPr>
                <w:rFonts w:cstheme="minorHAnsi"/>
                <w:bCs/>
                <w:szCs w:val="20"/>
              </w:rPr>
            </w:pPr>
            <w:r w:rsidRPr="00C462A0">
              <w:rPr>
                <w:rFonts w:cstheme="minorHAnsi"/>
                <w:bCs/>
                <w:szCs w:val="20"/>
              </w:rPr>
              <w:t>Technical measures such as encryption and access control support GDPR alignment.</w:t>
            </w:r>
          </w:p>
          <w:p w14:paraId="5081489F" w14:textId="77777777" w:rsidR="005F7628" w:rsidRPr="00C462A0" w:rsidRDefault="005F7628" w:rsidP="005F7628">
            <w:pPr>
              <w:pStyle w:val="ListParagraph"/>
              <w:numPr>
                <w:ilvl w:val="0"/>
                <w:numId w:val="383"/>
              </w:numPr>
              <w:jc w:val="both"/>
              <w:rPr>
                <w:rFonts w:cstheme="minorHAnsi"/>
                <w:bCs/>
                <w:szCs w:val="20"/>
              </w:rPr>
            </w:pPr>
            <w:r w:rsidRPr="00C462A0">
              <w:rPr>
                <w:rFonts w:cstheme="minorHAnsi"/>
                <w:bCs/>
                <w:szCs w:val="20"/>
              </w:rPr>
              <w:t>Compliance is a continuous process shaped by evolving regulatory interpretation.</w:t>
            </w:r>
          </w:p>
          <w:p w14:paraId="0ACBCF29" w14:textId="77777777" w:rsidR="005F7628" w:rsidRPr="00C462A0" w:rsidRDefault="005F7628" w:rsidP="005F7628">
            <w:pPr>
              <w:pStyle w:val="NormalWeb"/>
              <w:spacing w:before="40" w:beforeAutospacing="0" w:after="40"/>
              <w:jc w:val="both"/>
              <w:rPr>
                <w:rFonts w:asciiTheme="minorHAnsi" w:hAnsiTheme="minorHAnsi" w:cstheme="minorHAnsi"/>
                <w:b/>
                <w:iCs/>
                <w:color w:val="00AC4E" w:themeColor="accent1"/>
                <w:sz w:val="20"/>
                <w:szCs w:val="20"/>
                <w:lang w:val="en-GB"/>
              </w:rPr>
            </w:pPr>
          </w:p>
          <w:p w14:paraId="47D711BD" w14:textId="77777777" w:rsidR="005F7628" w:rsidRPr="00C462A0" w:rsidRDefault="005F7628" w:rsidP="005F7628">
            <w:pPr>
              <w:jc w:val="both"/>
              <w:rPr>
                <w:rFonts w:cstheme="minorHAnsi"/>
                <w:b/>
                <w:color w:val="00AC4E" w:themeColor="accent1"/>
                <w:szCs w:val="20"/>
              </w:rPr>
            </w:pPr>
            <w:r w:rsidRPr="00C462A0">
              <w:rPr>
                <w:rFonts w:cstheme="minorHAnsi"/>
                <w:b/>
                <w:color w:val="00AC4E" w:themeColor="accent1"/>
                <w:szCs w:val="20"/>
              </w:rPr>
              <w:t xml:space="preserve">Quick Check: </w:t>
            </w:r>
          </w:p>
          <w:p w14:paraId="67C397D5" w14:textId="505C93EA" w:rsidR="006F6B6E" w:rsidRPr="00C462A0" w:rsidRDefault="006F6B6E" w:rsidP="006F6B6E">
            <w:pPr>
              <w:jc w:val="both"/>
              <w:rPr>
                <w:rFonts w:cstheme="minorHAnsi"/>
                <w:bCs/>
                <w:color w:val="009889" w:themeColor="accent2"/>
                <w:szCs w:val="20"/>
              </w:rPr>
            </w:pPr>
            <w:r w:rsidRPr="00C462A0">
              <w:rPr>
                <w:rFonts w:cstheme="minorHAnsi"/>
                <w:bCs/>
                <w:color w:val="009889" w:themeColor="accent2"/>
                <w:szCs w:val="20"/>
              </w:rPr>
              <w:t xml:space="preserve">1. </w:t>
            </w:r>
            <w:r w:rsidR="005F7628" w:rsidRPr="00C462A0">
              <w:rPr>
                <w:rFonts w:cstheme="minorHAnsi"/>
                <w:bCs/>
                <w:color w:val="009889" w:themeColor="accent2"/>
                <w:szCs w:val="20"/>
              </w:rPr>
              <w:t>True or False:</w:t>
            </w:r>
            <w:r w:rsidRPr="00C462A0">
              <w:rPr>
                <w:rFonts w:cstheme="minorHAnsi"/>
                <w:bCs/>
                <w:color w:val="009889" w:themeColor="accent2"/>
                <w:szCs w:val="20"/>
              </w:rPr>
              <w:t xml:space="preserve"> </w:t>
            </w:r>
            <w:r w:rsidR="005F7628" w:rsidRPr="00C462A0">
              <w:rPr>
                <w:rFonts w:cstheme="minorHAnsi"/>
                <w:bCs/>
                <w:color w:val="009889" w:themeColor="accent2"/>
                <w:szCs w:val="20"/>
              </w:rPr>
              <w:t xml:space="preserve">If an organisation encrypts personal data processed within a smart grid environment but fails to conduct and document a Data Protection Impact Assessment (DPIA) despite high-risk processing, it may still be considered non-compliant with GDPR accountability requirements. </w:t>
            </w:r>
          </w:p>
          <w:p w14:paraId="31AE7BF4" w14:textId="77777777" w:rsidR="006F6B6E" w:rsidRPr="00C462A0" w:rsidRDefault="006F6B6E" w:rsidP="006F6B6E">
            <w:pPr>
              <w:jc w:val="both"/>
              <w:rPr>
                <w:rFonts w:cstheme="minorHAnsi"/>
                <w:bCs/>
                <w:color w:val="009889" w:themeColor="accent2"/>
                <w:szCs w:val="20"/>
              </w:rPr>
            </w:pPr>
          </w:p>
          <w:p w14:paraId="2F5456E0" w14:textId="3077C208" w:rsidR="005F7628" w:rsidRPr="00C462A0" w:rsidRDefault="006F6B6E" w:rsidP="006F6B6E">
            <w:pPr>
              <w:jc w:val="both"/>
              <w:rPr>
                <w:rFonts w:cstheme="minorHAnsi"/>
                <w:bCs/>
                <w:color w:val="009889" w:themeColor="accent2"/>
                <w:szCs w:val="20"/>
              </w:rPr>
            </w:pPr>
            <w:r w:rsidRPr="00C462A0">
              <w:rPr>
                <w:rFonts w:cstheme="minorHAnsi"/>
                <w:bCs/>
                <w:color w:val="009889" w:themeColor="accent2"/>
                <w:szCs w:val="20"/>
              </w:rPr>
              <w:t xml:space="preserve">2. </w:t>
            </w:r>
            <w:r w:rsidR="005F7628" w:rsidRPr="00C462A0">
              <w:rPr>
                <w:rFonts w:cstheme="minorHAnsi"/>
                <w:bCs/>
                <w:color w:val="009889" w:themeColor="accent2"/>
                <w:szCs w:val="20"/>
              </w:rPr>
              <w:t xml:space="preserve">A smart grid operator collects detailed household energy consumption data for load balancing. Later, the data is analysed to profile consumer behaviour for commercial partnerships, without updating privacy notices. Which combination of GDPR principles is most clearly compromised? </w:t>
            </w:r>
          </w:p>
          <w:p w14:paraId="51958B8B" w14:textId="77777777" w:rsidR="005F7628" w:rsidRPr="00C462A0" w:rsidRDefault="005F7628" w:rsidP="006F6B6E">
            <w:pPr>
              <w:pStyle w:val="ListParagraph"/>
              <w:numPr>
                <w:ilvl w:val="0"/>
                <w:numId w:val="391"/>
              </w:numPr>
              <w:ind w:left="720"/>
              <w:jc w:val="both"/>
              <w:rPr>
                <w:rFonts w:cstheme="minorHAnsi"/>
                <w:bCs/>
                <w:szCs w:val="20"/>
              </w:rPr>
            </w:pPr>
            <w:r w:rsidRPr="00C462A0">
              <w:rPr>
                <w:rFonts w:cstheme="minorHAnsi"/>
                <w:bCs/>
                <w:szCs w:val="20"/>
              </w:rPr>
              <w:t>Accuracy and storage limitation</w:t>
            </w:r>
          </w:p>
          <w:p w14:paraId="71173EDE" w14:textId="77777777" w:rsidR="005F7628" w:rsidRPr="00C462A0" w:rsidRDefault="005F7628" w:rsidP="006F6B6E">
            <w:pPr>
              <w:pStyle w:val="ListParagraph"/>
              <w:numPr>
                <w:ilvl w:val="0"/>
                <w:numId w:val="391"/>
              </w:numPr>
              <w:ind w:left="720"/>
              <w:jc w:val="both"/>
              <w:rPr>
                <w:rFonts w:cstheme="minorHAnsi"/>
                <w:bCs/>
                <w:szCs w:val="20"/>
              </w:rPr>
            </w:pPr>
            <w:r w:rsidRPr="00C462A0">
              <w:rPr>
                <w:rFonts w:cstheme="minorHAnsi"/>
                <w:bCs/>
                <w:szCs w:val="20"/>
              </w:rPr>
              <w:t>Purpose limitation and transparency</w:t>
            </w:r>
          </w:p>
          <w:p w14:paraId="23D3AFA7" w14:textId="77777777" w:rsidR="005F7628" w:rsidRPr="00C462A0" w:rsidRDefault="005F7628" w:rsidP="006F6B6E">
            <w:pPr>
              <w:pStyle w:val="ListParagraph"/>
              <w:numPr>
                <w:ilvl w:val="0"/>
                <w:numId w:val="391"/>
              </w:numPr>
              <w:ind w:left="720"/>
              <w:jc w:val="both"/>
              <w:rPr>
                <w:rFonts w:cstheme="minorHAnsi"/>
                <w:bCs/>
                <w:szCs w:val="20"/>
              </w:rPr>
            </w:pPr>
            <w:r w:rsidRPr="00C462A0">
              <w:rPr>
                <w:rFonts w:cstheme="minorHAnsi"/>
                <w:bCs/>
                <w:szCs w:val="20"/>
              </w:rPr>
              <w:t>Availability and integrity</w:t>
            </w:r>
          </w:p>
          <w:p w14:paraId="0B066DD1" w14:textId="77777777" w:rsidR="005F7628" w:rsidRPr="00C462A0" w:rsidRDefault="005F7628" w:rsidP="006F6B6E">
            <w:pPr>
              <w:pStyle w:val="ListParagraph"/>
              <w:numPr>
                <w:ilvl w:val="0"/>
                <w:numId w:val="391"/>
              </w:numPr>
              <w:ind w:left="720"/>
              <w:jc w:val="both"/>
              <w:rPr>
                <w:rFonts w:cstheme="minorHAnsi"/>
                <w:bCs/>
                <w:szCs w:val="20"/>
              </w:rPr>
            </w:pPr>
            <w:r w:rsidRPr="00C462A0">
              <w:rPr>
                <w:rFonts w:cstheme="minorHAnsi"/>
                <w:bCs/>
                <w:szCs w:val="20"/>
              </w:rPr>
              <w:t>Data portability and encryption</w:t>
            </w:r>
          </w:p>
          <w:p w14:paraId="10AF9DBB" w14:textId="77777777" w:rsidR="005F7628" w:rsidRPr="00C462A0" w:rsidRDefault="005F7628" w:rsidP="006F6B6E">
            <w:pPr>
              <w:pStyle w:val="ListParagraph"/>
              <w:ind w:left="1080"/>
              <w:jc w:val="both"/>
              <w:rPr>
                <w:rFonts w:cstheme="minorHAnsi"/>
                <w:bCs/>
                <w:szCs w:val="20"/>
              </w:rPr>
            </w:pPr>
          </w:p>
          <w:p w14:paraId="3C42C841" w14:textId="248ABE2C" w:rsidR="005F7628" w:rsidRPr="00C462A0" w:rsidRDefault="005F7628" w:rsidP="005F7628">
            <w:pPr>
              <w:pStyle w:val="ListParagraph"/>
              <w:numPr>
                <w:ilvl w:val="0"/>
                <w:numId w:val="387"/>
              </w:numPr>
              <w:jc w:val="both"/>
              <w:rPr>
                <w:rFonts w:cstheme="minorHAnsi"/>
                <w:bCs/>
                <w:color w:val="009889" w:themeColor="accent2"/>
                <w:szCs w:val="20"/>
              </w:rPr>
            </w:pPr>
            <w:r w:rsidRPr="00C462A0">
              <w:rPr>
                <w:rFonts w:cstheme="minorHAnsi"/>
                <w:bCs/>
                <w:color w:val="009889" w:themeColor="accent2"/>
                <w:szCs w:val="20"/>
              </w:rPr>
              <w:lastRenderedPageBreak/>
              <w:t xml:space="preserve">An ESG platform processes employee diversity data across multiple EU Member States. Access controls are implemented, but processing purposes are vaguely defined, and documentation is incomplete. Which governance weakness is most critical? </w:t>
            </w:r>
            <w:r w:rsidR="006F6B6E" w:rsidRPr="00C462A0">
              <w:rPr>
                <w:rFonts w:cstheme="minorHAnsi"/>
                <w:bCs/>
                <w:color w:val="009889" w:themeColor="accent2"/>
                <w:szCs w:val="20"/>
              </w:rPr>
              <w:t xml:space="preserve"> </w:t>
            </w:r>
          </w:p>
          <w:p w14:paraId="69093DBA" w14:textId="77777777" w:rsidR="005F7628" w:rsidRPr="00C462A0" w:rsidRDefault="005F7628" w:rsidP="006F6B6E">
            <w:pPr>
              <w:pStyle w:val="ListParagraph"/>
              <w:numPr>
                <w:ilvl w:val="0"/>
                <w:numId w:val="392"/>
              </w:numPr>
              <w:jc w:val="both"/>
              <w:rPr>
                <w:rFonts w:cstheme="minorHAnsi"/>
                <w:bCs/>
                <w:szCs w:val="20"/>
              </w:rPr>
            </w:pPr>
            <w:r w:rsidRPr="00C462A0">
              <w:rPr>
                <w:rFonts w:cstheme="minorHAnsi"/>
                <w:bCs/>
                <w:szCs w:val="20"/>
              </w:rPr>
              <w:t>Lack of encryption at rest</w:t>
            </w:r>
          </w:p>
          <w:p w14:paraId="2291F9CA" w14:textId="77777777" w:rsidR="005F7628" w:rsidRPr="00C462A0" w:rsidRDefault="005F7628" w:rsidP="006F6B6E">
            <w:pPr>
              <w:pStyle w:val="ListParagraph"/>
              <w:numPr>
                <w:ilvl w:val="0"/>
                <w:numId w:val="392"/>
              </w:numPr>
              <w:jc w:val="both"/>
              <w:rPr>
                <w:rFonts w:cstheme="minorHAnsi"/>
                <w:bCs/>
                <w:szCs w:val="20"/>
              </w:rPr>
            </w:pPr>
            <w:r w:rsidRPr="00C462A0">
              <w:rPr>
                <w:rFonts w:cstheme="minorHAnsi"/>
                <w:bCs/>
                <w:szCs w:val="20"/>
              </w:rPr>
              <w:t>Insufficient lawfulness and accountability documentation</w:t>
            </w:r>
          </w:p>
          <w:p w14:paraId="55287F77" w14:textId="77777777" w:rsidR="005F7628" w:rsidRPr="00C462A0" w:rsidRDefault="005F7628" w:rsidP="006F6B6E">
            <w:pPr>
              <w:pStyle w:val="ListParagraph"/>
              <w:numPr>
                <w:ilvl w:val="0"/>
                <w:numId w:val="392"/>
              </w:numPr>
              <w:jc w:val="both"/>
              <w:rPr>
                <w:rFonts w:cstheme="minorHAnsi"/>
                <w:bCs/>
                <w:szCs w:val="20"/>
              </w:rPr>
            </w:pPr>
            <w:r w:rsidRPr="00C462A0">
              <w:rPr>
                <w:rFonts w:cstheme="minorHAnsi"/>
                <w:bCs/>
                <w:szCs w:val="20"/>
              </w:rPr>
              <w:t>Absence of network segmentation</w:t>
            </w:r>
          </w:p>
          <w:p w14:paraId="0DAEE435" w14:textId="77777777" w:rsidR="005F7628" w:rsidRPr="00C462A0" w:rsidRDefault="005F7628" w:rsidP="006F6B6E">
            <w:pPr>
              <w:pStyle w:val="ListParagraph"/>
              <w:numPr>
                <w:ilvl w:val="0"/>
                <w:numId w:val="392"/>
              </w:numPr>
              <w:jc w:val="both"/>
              <w:rPr>
                <w:rFonts w:cstheme="minorHAnsi"/>
                <w:bCs/>
                <w:szCs w:val="20"/>
              </w:rPr>
            </w:pPr>
            <w:r w:rsidRPr="00C462A0">
              <w:rPr>
                <w:rFonts w:cstheme="minorHAnsi"/>
                <w:bCs/>
                <w:szCs w:val="20"/>
              </w:rPr>
              <w:t>Over-segmentation of user roles</w:t>
            </w:r>
          </w:p>
          <w:p w14:paraId="673810E6" w14:textId="77777777" w:rsidR="005F7628" w:rsidRPr="00C462A0" w:rsidRDefault="005F7628" w:rsidP="005F7628">
            <w:pPr>
              <w:spacing w:line="276" w:lineRule="auto"/>
              <w:jc w:val="both"/>
              <w:rPr>
                <w:rFonts w:cstheme="minorHAnsi"/>
                <w:color w:val="009889" w:themeColor="accent2"/>
                <w:szCs w:val="20"/>
              </w:rPr>
            </w:pPr>
          </w:p>
          <w:p w14:paraId="4380DB02" w14:textId="1DB28A21" w:rsidR="006F6B6E" w:rsidRPr="00C462A0" w:rsidRDefault="006F6B6E" w:rsidP="005F7628">
            <w:pPr>
              <w:spacing w:line="276" w:lineRule="auto"/>
              <w:jc w:val="both"/>
              <w:rPr>
                <w:rFonts w:cstheme="minorHAnsi"/>
                <w:i/>
                <w:iCs/>
                <w:color w:val="009889" w:themeColor="accent2"/>
                <w:szCs w:val="20"/>
              </w:rPr>
            </w:pPr>
            <w:r w:rsidRPr="00C462A0">
              <w:rPr>
                <w:rFonts w:cstheme="minorHAnsi"/>
                <w:i/>
                <w:iCs/>
                <w:szCs w:val="20"/>
              </w:rPr>
              <w:t xml:space="preserve">Answer key: 1. true; 2. b); 3. b). </w:t>
            </w:r>
          </w:p>
        </w:tc>
      </w:tr>
    </w:tbl>
    <w:p w14:paraId="309B7A8F" w14:textId="77777777" w:rsidR="005F7628" w:rsidRPr="00C462A0" w:rsidRDefault="005F7628" w:rsidP="005F7628"/>
    <w:p w14:paraId="43E9BDE7" w14:textId="77777777" w:rsidR="00BB1CD7" w:rsidRDefault="00BB1CD7" w:rsidP="00C45000">
      <w:pPr>
        <w:pStyle w:val="Heading1"/>
        <w:numPr>
          <w:ilvl w:val="0"/>
          <w:numId w:val="0"/>
        </w:numPr>
      </w:pPr>
    </w:p>
    <w:p w14:paraId="319A4E24" w14:textId="77777777" w:rsidR="00C462A0" w:rsidRDefault="00C462A0" w:rsidP="00C462A0"/>
    <w:p w14:paraId="6E35217C" w14:textId="77777777" w:rsidR="0031451E" w:rsidRDefault="0031451E" w:rsidP="00C462A0"/>
    <w:p w14:paraId="06820A69" w14:textId="77777777" w:rsidR="0031451E" w:rsidRDefault="0031451E" w:rsidP="00C462A0"/>
    <w:p w14:paraId="4151E838" w14:textId="77777777" w:rsidR="0031451E" w:rsidRDefault="0031451E" w:rsidP="00C462A0"/>
    <w:p w14:paraId="6FB98BB9" w14:textId="77777777" w:rsidR="0031451E" w:rsidRDefault="0031451E" w:rsidP="00C462A0"/>
    <w:p w14:paraId="6A1E8EC2" w14:textId="77777777" w:rsidR="0031451E" w:rsidRDefault="0031451E" w:rsidP="00C462A0"/>
    <w:p w14:paraId="05D8C779" w14:textId="77777777" w:rsidR="0031451E" w:rsidRDefault="0031451E" w:rsidP="00C462A0"/>
    <w:p w14:paraId="220B8B26" w14:textId="77777777" w:rsidR="0031451E" w:rsidRDefault="0031451E" w:rsidP="00C462A0"/>
    <w:p w14:paraId="22B2817A" w14:textId="77777777" w:rsidR="0031451E" w:rsidRDefault="0031451E" w:rsidP="00C462A0"/>
    <w:p w14:paraId="5571B783" w14:textId="77777777" w:rsidR="0031451E" w:rsidRDefault="0031451E" w:rsidP="00C462A0"/>
    <w:p w14:paraId="5E1C2E46" w14:textId="77777777" w:rsidR="0031451E" w:rsidRDefault="0031451E" w:rsidP="00C462A0"/>
    <w:p w14:paraId="710A19C6" w14:textId="77777777" w:rsidR="0031451E" w:rsidRDefault="0031451E" w:rsidP="00C462A0"/>
    <w:p w14:paraId="2A52148D" w14:textId="77777777" w:rsidR="0031451E" w:rsidRDefault="0031451E" w:rsidP="00C462A0"/>
    <w:p w14:paraId="3D166611" w14:textId="77777777" w:rsidR="0031451E" w:rsidRDefault="0031451E" w:rsidP="00C462A0"/>
    <w:p w14:paraId="53C46294" w14:textId="77777777" w:rsidR="0031451E" w:rsidRDefault="0031451E" w:rsidP="00C462A0"/>
    <w:p w14:paraId="0CB7035A" w14:textId="77777777" w:rsidR="0031451E" w:rsidRDefault="0031451E" w:rsidP="00C462A0"/>
    <w:p w14:paraId="3418602F" w14:textId="77777777" w:rsidR="00C462A0" w:rsidRDefault="00C462A0" w:rsidP="00C462A0"/>
    <w:p w14:paraId="57FD5D0F" w14:textId="77777777" w:rsidR="00C462A0" w:rsidRPr="00C462A0" w:rsidRDefault="00C462A0" w:rsidP="00C462A0"/>
    <w:tbl>
      <w:tblPr>
        <w:tblStyle w:val="TableGrid"/>
        <w:tblW w:w="0" w:type="auto"/>
        <w:tblLook w:val="04A0" w:firstRow="1" w:lastRow="0" w:firstColumn="1" w:lastColumn="0" w:noHBand="0" w:noVBand="1"/>
      </w:tblPr>
      <w:tblGrid>
        <w:gridCol w:w="9628"/>
      </w:tblGrid>
      <w:tr w:rsidR="006F6B6E" w:rsidRPr="00C462A0" w14:paraId="58DD7ADF" w14:textId="77777777" w:rsidTr="00210B7E">
        <w:tc>
          <w:tcPr>
            <w:tcW w:w="9628" w:type="dxa"/>
          </w:tcPr>
          <w:p w14:paraId="25B2D68C" w14:textId="0D2B0307" w:rsidR="006F6B6E" w:rsidRPr="00C462A0" w:rsidRDefault="006F6B6E" w:rsidP="00210B7E">
            <w:pPr>
              <w:pStyle w:val="Heading2"/>
              <w:numPr>
                <w:ilvl w:val="0"/>
                <w:numId w:val="0"/>
              </w:numPr>
              <w:spacing w:before="0" w:line="276" w:lineRule="auto"/>
              <w:rPr>
                <w:rFonts w:cstheme="minorHAnsi"/>
                <w:b/>
                <w:bCs/>
                <w:szCs w:val="40"/>
              </w:rPr>
            </w:pPr>
            <w:bookmarkStart w:id="58" w:name="_Toc227623416"/>
            <w:r w:rsidRPr="00C462A0">
              <w:rPr>
                <w:rFonts w:cstheme="minorHAnsi"/>
                <w:b/>
                <w:bCs/>
                <w:szCs w:val="40"/>
              </w:rPr>
              <w:lastRenderedPageBreak/>
              <w:t>Topic 3.4: Audit trails</w:t>
            </w:r>
            <w:bookmarkEnd w:id="58"/>
          </w:p>
        </w:tc>
      </w:tr>
      <w:tr w:rsidR="006F6B6E" w:rsidRPr="00C462A0" w14:paraId="28305930" w14:textId="77777777" w:rsidTr="00210B7E">
        <w:tc>
          <w:tcPr>
            <w:tcW w:w="9628" w:type="dxa"/>
            <w:shd w:val="clear" w:color="auto" w:fill="D9D9D9" w:themeFill="background1" w:themeFillShade="D9"/>
          </w:tcPr>
          <w:p w14:paraId="43BF97D3" w14:textId="77777777" w:rsidR="006F6B6E" w:rsidRPr="00C462A0" w:rsidRDefault="006F6B6E" w:rsidP="00210B7E">
            <w:pPr>
              <w:spacing w:line="276" w:lineRule="auto"/>
              <w:rPr>
                <w:rFonts w:cstheme="minorHAnsi"/>
                <w:b/>
                <w:szCs w:val="20"/>
              </w:rPr>
            </w:pPr>
            <w:r w:rsidRPr="00C462A0">
              <w:rPr>
                <w:rFonts w:cstheme="minorHAnsi"/>
                <w:b/>
                <w:szCs w:val="20"/>
              </w:rPr>
              <w:t>Short introduction:</w:t>
            </w:r>
          </w:p>
        </w:tc>
      </w:tr>
      <w:tr w:rsidR="006F6B6E" w:rsidRPr="00C462A0" w14:paraId="13DB1C79" w14:textId="77777777" w:rsidTr="00210B7E">
        <w:tc>
          <w:tcPr>
            <w:tcW w:w="9628" w:type="dxa"/>
          </w:tcPr>
          <w:p w14:paraId="0F53907F" w14:textId="0FEBCE9F" w:rsidR="006F6B6E" w:rsidRPr="00C462A0" w:rsidRDefault="006F6B6E" w:rsidP="006F6B6E">
            <w:pPr>
              <w:pStyle w:val="NormalWeb"/>
              <w:spacing w:before="40" w:beforeAutospacing="0" w:after="40" w:afterAutospacing="0"/>
              <w:jc w:val="both"/>
              <w:rPr>
                <w:rFonts w:asciiTheme="minorHAnsi" w:hAnsiTheme="minorHAnsi"/>
                <w:sz w:val="20"/>
                <w:szCs w:val="20"/>
                <w:lang w:val="en-GB"/>
              </w:rPr>
            </w:pPr>
            <w:r w:rsidRPr="00C462A0">
              <w:rPr>
                <w:rFonts w:asciiTheme="minorHAnsi" w:hAnsiTheme="minorHAnsi"/>
                <w:sz w:val="20"/>
                <w:szCs w:val="20"/>
                <w:lang w:val="en-GB"/>
              </w:rPr>
              <w:t>Audit trails are structured records that capture system activities, user actions, and security-relevant events. In sustainable digital infrastructures such as smart grids, IoT ecosystems, Energy Management Systems (EMS), and ESG platforms, audit trails play a central role in supporting accountability, incident investigation, regulatory compliance, and transparency in governance. This topic outlines the concept of audit trails, explains their relevance to data protection and cybersecurity, and describes how they integrate within broader compliance frameworks.</w:t>
            </w:r>
          </w:p>
        </w:tc>
      </w:tr>
      <w:tr w:rsidR="006F6B6E" w:rsidRPr="00C462A0" w14:paraId="4B69A58B" w14:textId="77777777" w:rsidTr="00210B7E">
        <w:tc>
          <w:tcPr>
            <w:tcW w:w="9628" w:type="dxa"/>
            <w:shd w:val="clear" w:color="auto" w:fill="D9D9D9" w:themeFill="background1" w:themeFillShade="D9"/>
          </w:tcPr>
          <w:p w14:paraId="57E01A9C" w14:textId="77777777" w:rsidR="006F6B6E" w:rsidRPr="00C462A0" w:rsidRDefault="006F6B6E" w:rsidP="00210B7E">
            <w:pPr>
              <w:spacing w:line="276" w:lineRule="auto"/>
              <w:rPr>
                <w:rFonts w:cstheme="minorHAnsi"/>
                <w:b/>
                <w:szCs w:val="20"/>
              </w:rPr>
            </w:pPr>
            <w:r w:rsidRPr="00C462A0">
              <w:rPr>
                <w:rFonts w:cstheme="minorHAnsi"/>
                <w:b/>
                <w:szCs w:val="20"/>
              </w:rPr>
              <w:t xml:space="preserve">Theory &amp; Knowledge: </w:t>
            </w:r>
          </w:p>
        </w:tc>
      </w:tr>
      <w:tr w:rsidR="006F6B6E" w:rsidRPr="00C462A0" w14:paraId="3F1515F0" w14:textId="77777777" w:rsidTr="00210B7E">
        <w:trPr>
          <w:trHeight w:val="2142"/>
        </w:trPr>
        <w:tc>
          <w:tcPr>
            <w:tcW w:w="9628" w:type="dxa"/>
          </w:tcPr>
          <w:p w14:paraId="62F52DAB" w14:textId="77777777" w:rsidR="006F6B6E" w:rsidRPr="00C462A0" w:rsidRDefault="006F6B6E" w:rsidP="006F6B6E">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sz w:val="20"/>
                <w:szCs w:val="20"/>
                <w:lang w:val="en-GB"/>
              </w:rPr>
              <w:t xml:space="preserve"> </w:t>
            </w:r>
            <w:r w:rsidRPr="00C462A0">
              <w:rPr>
                <w:rFonts w:asciiTheme="minorHAnsi" w:hAnsiTheme="minorHAnsi" w:cstheme="minorHAnsi"/>
                <w:bCs/>
                <w:iCs/>
                <w:sz w:val="20"/>
                <w:szCs w:val="20"/>
                <w:lang w:val="en-GB"/>
              </w:rPr>
              <w:t>An audit trail is a chronological record of events that provides verifiable evidence of system activity and user behaviour. It allows organisations to reconstruct incidents, confirm compliance, identify anomalies, and demonstrate accountability.</w:t>
            </w:r>
          </w:p>
          <w:p w14:paraId="72E5D3C8" w14:textId="77777777" w:rsidR="006F6B6E" w:rsidRPr="00C462A0" w:rsidRDefault="006F6B6E" w:rsidP="006F6B6E">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In data protection and compliance contexts, audit trails serve both technical and legal functions. They enable organisations to show that access to personal and operational data is properly controlled, monitored, and subject to review.</w:t>
            </w:r>
          </w:p>
          <w:p w14:paraId="75FA979D" w14:textId="77777777" w:rsidR="006F6B6E" w:rsidRPr="00C462A0" w:rsidRDefault="006F6B6E" w:rsidP="006F6B6E">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The International Organisation for Standardisation ISO/IEC 27001 recognises logging and monitoring as essential controls within information security management systems.</w:t>
            </w:r>
          </w:p>
          <w:p w14:paraId="29975AE5" w14:textId="77777777" w:rsidR="006F6B6E" w:rsidRPr="00C462A0" w:rsidRDefault="006F6B6E" w:rsidP="006F6B6E">
            <w:pPr>
              <w:pStyle w:val="NormalWeb"/>
              <w:spacing w:before="0" w:beforeAutospacing="0" w:after="0" w:afterAutospacing="0"/>
              <w:jc w:val="both"/>
              <w:rPr>
                <w:rFonts w:asciiTheme="minorHAnsi" w:hAnsiTheme="minorHAnsi" w:cstheme="minorHAnsi"/>
                <w:bCs/>
                <w:iCs/>
                <w:sz w:val="20"/>
                <w:szCs w:val="20"/>
                <w:lang w:val="en-GB"/>
              </w:rPr>
            </w:pPr>
          </w:p>
          <w:p w14:paraId="2E86DC95" w14:textId="77777777" w:rsidR="006F6B6E" w:rsidRPr="00C462A0" w:rsidRDefault="006F6B6E" w:rsidP="006F6B6E">
            <w:pPr>
              <w:pStyle w:val="NormalWeb"/>
              <w:numPr>
                <w:ilvl w:val="0"/>
                <w:numId w:val="404"/>
              </w:numPr>
              <w:spacing w:before="0" w:beforeAutospacing="0" w:after="0" w:afterAutospacing="0"/>
              <w:jc w:val="both"/>
              <w:rPr>
                <w:rFonts w:asciiTheme="minorHAnsi" w:hAnsiTheme="minorHAnsi" w:cstheme="minorHAnsi"/>
                <w:b/>
                <w:bCs/>
                <w:iCs/>
                <w:color w:val="009889" w:themeColor="accent2"/>
                <w:sz w:val="20"/>
                <w:szCs w:val="20"/>
                <w:lang w:val="en-GB"/>
              </w:rPr>
            </w:pPr>
            <w:r w:rsidRPr="00C462A0">
              <w:rPr>
                <w:rFonts w:asciiTheme="minorHAnsi" w:hAnsiTheme="minorHAnsi" w:cstheme="minorHAnsi"/>
                <w:b/>
                <w:bCs/>
                <w:iCs/>
                <w:color w:val="009889" w:themeColor="accent2"/>
                <w:sz w:val="20"/>
                <w:szCs w:val="20"/>
                <w:lang w:val="en-GB"/>
              </w:rPr>
              <w:t>Core Elements of an Audit Trail</w:t>
            </w:r>
          </w:p>
          <w:p w14:paraId="06C90E5C" w14:textId="77777777" w:rsidR="006F6B6E" w:rsidRPr="00C462A0" w:rsidRDefault="006F6B6E" w:rsidP="006F6B6E">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An effective audit trail generally records:</w:t>
            </w:r>
          </w:p>
          <w:p w14:paraId="6A3884CF" w14:textId="77777777" w:rsidR="006F6B6E" w:rsidRPr="00C462A0" w:rsidRDefault="006F6B6E" w:rsidP="006F6B6E">
            <w:pPr>
              <w:pStyle w:val="NormalWeb"/>
              <w:numPr>
                <w:ilvl w:val="0"/>
                <w:numId w:val="393"/>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User identity, indicating who performed the action.</w:t>
            </w:r>
          </w:p>
          <w:p w14:paraId="154BEB8B" w14:textId="77777777" w:rsidR="006F6B6E" w:rsidRPr="00C462A0" w:rsidRDefault="006F6B6E" w:rsidP="006F6B6E">
            <w:pPr>
              <w:pStyle w:val="NormalWeb"/>
              <w:numPr>
                <w:ilvl w:val="0"/>
                <w:numId w:val="393"/>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Timestamp, specifying when the action took place.</w:t>
            </w:r>
          </w:p>
          <w:p w14:paraId="1C97EE05" w14:textId="77777777" w:rsidR="006F6B6E" w:rsidRPr="00C462A0" w:rsidRDefault="006F6B6E" w:rsidP="006F6B6E">
            <w:pPr>
              <w:pStyle w:val="NormalWeb"/>
              <w:numPr>
                <w:ilvl w:val="0"/>
                <w:numId w:val="393"/>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Action performed, describing what was done.</w:t>
            </w:r>
          </w:p>
          <w:p w14:paraId="0B92E3FA" w14:textId="77777777" w:rsidR="006F6B6E" w:rsidRPr="00C462A0" w:rsidRDefault="006F6B6E" w:rsidP="006F6B6E">
            <w:pPr>
              <w:pStyle w:val="NormalWeb"/>
              <w:numPr>
                <w:ilvl w:val="0"/>
                <w:numId w:val="393"/>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Affected resource, identifying the system or dataset involved.</w:t>
            </w:r>
          </w:p>
          <w:p w14:paraId="1D409D1A" w14:textId="77777777" w:rsidR="006F6B6E" w:rsidRPr="00C462A0" w:rsidRDefault="006F6B6E" w:rsidP="006F6B6E">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Outcome, indicating whether the action was successful, failed, or denied.</w:t>
            </w:r>
          </w:p>
          <w:p w14:paraId="52D7B986" w14:textId="77777777" w:rsidR="006F6B6E" w:rsidRPr="00C462A0" w:rsidRDefault="006F6B6E" w:rsidP="006F6B6E">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Additional contextual details, such as IP addresses, device IDs, or session identifiers, can further enhance traceability.</w:t>
            </w:r>
          </w:p>
          <w:p w14:paraId="38F523AB" w14:textId="77777777" w:rsidR="006F6B6E" w:rsidRPr="00C462A0" w:rsidRDefault="006F6B6E" w:rsidP="006F6B6E">
            <w:pPr>
              <w:pStyle w:val="NormalWeb"/>
              <w:keepNext/>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noProof/>
                <w:sz w:val="20"/>
                <w:szCs w:val="20"/>
                <w:lang w:val="en-GB"/>
              </w:rPr>
              <w:drawing>
                <wp:inline distT="0" distB="0" distL="0" distR="0" wp14:anchorId="4C6E6EB7" wp14:editId="220AA777">
                  <wp:extent cx="5949950" cy="2099073"/>
                  <wp:effectExtent l="0" t="0" r="0" b="0"/>
                  <wp:docPr id="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pic:cNvPicPr>
                        </pic:nvPicPr>
                        <pic:blipFill>
                          <a:blip r:embed="rId104"/>
                          <a:srcRect t="15314" b="31757"/>
                          <a:stretch/>
                        </pic:blipFill>
                        <pic:spPr bwMode="auto">
                          <a:xfrm>
                            <a:off x="0" y="0"/>
                            <a:ext cx="5974088" cy="2107589"/>
                          </a:xfrm>
                          <a:prstGeom prst="rect">
                            <a:avLst/>
                          </a:prstGeom>
                          <a:noFill/>
                          <a:ln>
                            <a:noFill/>
                          </a:ln>
                        </pic:spPr>
                      </pic:pic>
                    </a:graphicData>
                  </a:graphic>
                </wp:inline>
              </w:drawing>
            </w:r>
          </w:p>
          <w:p w14:paraId="2F6636BB" w14:textId="034FF23A" w:rsidR="006F6B6E" w:rsidRPr="00C462A0" w:rsidRDefault="006F6B6E" w:rsidP="006F6B6E">
            <w:pPr>
              <w:pStyle w:val="Caption"/>
              <w:jc w:val="center"/>
              <w:rPr>
                <w:rFonts w:cstheme="minorHAnsi"/>
                <w:b w:val="0"/>
                <w:bCs w:val="0"/>
                <w:sz w:val="18"/>
                <w:szCs w:val="18"/>
              </w:rPr>
            </w:pPr>
            <w:bookmarkStart w:id="59" w:name="_Toc227623464"/>
            <w:r w:rsidRPr="00C462A0">
              <w:rPr>
                <w:rFonts w:cstheme="minorHAnsi"/>
                <w:b w:val="0"/>
                <w:bCs w:val="0"/>
                <w:sz w:val="18"/>
                <w:szCs w:val="18"/>
              </w:rPr>
              <w:t xml:space="preserve">Figure </w:t>
            </w:r>
            <w:r w:rsidRPr="00C462A0">
              <w:rPr>
                <w:rFonts w:cstheme="minorHAnsi"/>
                <w:b w:val="0"/>
                <w:bCs w:val="0"/>
                <w:sz w:val="18"/>
                <w:szCs w:val="18"/>
              </w:rPr>
              <w:fldChar w:fldCharType="begin"/>
            </w:r>
            <w:r w:rsidRPr="00C462A0">
              <w:rPr>
                <w:rFonts w:cstheme="minorHAnsi"/>
                <w:b w:val="0"/>
                <w:bCs w:val="0"/>
                <w:sz w:val="18"/>
                <w:szCs w:val="18"/>
              </w:rPr>
              <w:instrText xml:space="preserve"> SEQ Figure \* ARABIC </w:instrText>
            </w:r>
            <w:r w:rsidRPr="00C462A0">
              <w:rPr>
                <w:rFonts w:cstheme="minorHAnsi"/>
                <w:b w:val="0"/>
                <w:bCs w:val="0"/>
                <w:sz w:val="18"/>
                <w:szCs w:val="18"/>
              </w:rPr>
              <w:fldChar w:fldCharType="separate"/>
            </w:r>
            <w:r w:rsidRPr="00C462A0">
              <w:rPr>
                <w:rFonts w:cstheme="minorHAnsi"/>
                <w:b w:val="0"/>
                <w:bCs w:val="0"/>
                <w:sz w:val="18"/>
                <w:szCs w:val="18"/>
              </w:rPr>
              <w:t>27</w:t>
            </w:r>
            <w:r w:rsidRPr="00C462A0">
              <w:rPr>
                <w:rFonts w:cstheme="minorHAnsi"/>
                <w:b w:val="0"/>
                <w:bCs w:val="0"/>
                <w:sz w:val="18"/>
                <w:szCs w:val="18"/>
              </w:rPr>
              <w:fldChar w:fldCharType="end"/>
            </w:r>
            <w:r w:rsidRPr="00C462A0">
              <w:rPr>
                <w:rFonts w:cstheme="minorHAnsi"/>
                <w:b w:val="0"/>
                <w:bCs w:val="0"/>
                <w:sz w:val="18"/>
                <w:szCs w:val="18"/>
              </w:rPr>
              <w:t>. Example structure of an audit log entry including user ID, timestamp, action performed, accessed resource, result, and source IP address (source: Author)</w:t>
            </w:r>
            <w:bookmarkEnd w:id="59"/>
          </w:p>
          <w:p w14:paraId="7FEE759A" w14:textId="77777777" w:rsidR="006F6B6E" w:rsidRDefault="006F6B6E" w:rsidP="006F6B6E">
            <w:pPr>
              <w:pStyle w:val="NormalWeb"/>
              <w:spacing w:before="0" w:beforeAutospacing="0" w:after="0" w:afterAutospacing="0"/>
              <w:jc w:val="both"/>
              <w:rPr>
                <w:rFonts w:asciiTheme="minorHAnsi" w:hAnsiTheme="minorHAnsi" w:cstheme="minorHAnsi"/>
                <w:bCs/>
                <w:iCs/>
                <w:sz w:val="20"/>
                <w:szCs w:val="20"/>
                <w:lang w:val="en-GB"/>
              </w:rPr>
            </w:pPr>
          </w:p>
          <w:p w14:paraId="0F53153F" w14:textId="77777777" w:rsidR="00C9161E" w:rsidRDefault="00C9161E" w:rsidP="006F6B6E">
            <w:pPr>
              <w:pStyle w:val="NormalWeb"/>
              <w:spacing w:before="0" w:beforeAutospacing="0" w:after="0" w:afterAutospacing="0"/>
              <w:jc w:val="both"/>
              <w:rPr>
                <w:rFonts w:asciiTheme="minorHAnsi" w:hAnsiTheme="minorHAnsi" w:cstheme="minorHAnsi"/>
                <w:bCs/>
                <w:iCs/>
                <w:sz w:val="20"/>
                <w:szCs w:val="20"/>
                <w:lang w:val="en-GB"/>
              </w:rPr>
            </w:pPr>
          </w:p>
          <w:p w14:paraId="260408C3" w14:textId="3F65F206" w:rsidR="00C9161E" w:rsidRPr="00C9161E" w:rsidRDefault="00C9161E" w:rsidP="00C9161E">
            <w:pPr>
              <w:jc w:val="both"/>
              <w:rPr>
                <w:i/>
                <w:iCs/>
                <w:sz w:val="18"/>
                <w:szCs w:val="18"/>
              </w:rPr>
            </w:pPr>
            <w:r w:rsidRPr="00C9161E">
              <w:rPr>
                <w:i/>
                <w:iCs/>
                <w:sz w:val="18"/>
                <w:szCs w:val="18"/>
              </w:rPr>
              <w:t>Th</w:t>
            </w:r>
            <w:r>
              <w:rPr>
                <w:i/>
                <w:iCs/>
                <w:sz w:val="18"/>
                <w:szCs w:val="18"/>
              </w:rPr>
              <w:t>e</w:t>
            </w:r>
            <w:r w:rsidRPr="00C9161E">
              <w:rPr>
                <w:i/>
                <w:iCs/>
                <w:sz w:val="18"/>
                <w:szCs w:val="18"/>
              </w:rPr>
              <w:t xml:space="preserve"> diagram</w:t>
            </w:r>
            <w:r>
              <w:rPr>
                <w:i/>
                <w:iCs/>
                <w:sz w:val="18"/>
                <w:szCs w:val="18"/>
              </w:rPr>
              <w:t xml:space="preserve"> above</w:t>
            </w:r>
            <w:r w:rsidRPr="00C9161E">
              <w:rPr>
                <w:i/>
                <w:iCs/>
                <w:sz w:val="18"/>
                <w:szCs w:val="18"/>
              </w:rPr>
              <w:t xml:space="preserve"> illustrates the structure of an audit log entry, which is a record of events and changes within a system used for security monitoring and compliance. It breaks down a log line into six specific components to track user activities. </w:t>
            </w:r>
          </w:p>
          <w:p w14:paraId="03D0D572" w14:textId="77777777" w:rsidR="00C9161E" w:rsidRPr="00C9161E" w:rsidRDefault="00C9161E" w:rsidP="00C9161E">
            <w:pPr>
              <w:jc w:val="both"/>
              <w:rPr>
                <w:i/>
                <w:iCs/>
                <w:sz w:val="18"/>
                <w:szCs w:val="18"/>
              </w:rPr>
            </w:pPr>
            <w:r w:rsidRPr="00C9161E">
              <w:rPr>
                <w:i/>
                <w:iCs/>
                <w:sz w:val="18"/>
                <w:szCs w:val="18"/>
              </w:rPr>
              <w:lastRenderedPageBreak/>
              <w:t xml:space="preserve">User ID and Timestamp: Identifies who performed the action and exactly when it occurred. </w:t>
            </w:r>
          </w:p>
          <w:p w14:paraId="7D991728" w14:textId="77777777" w:rsidR="00C9161E" w:rsidRPr="00C9161E" w:rsidRDefault="00C9161E" w:rsidP="00C9161E">
            <w:pPr>
              <w:jc w:val="both"/>
              <w:rPr>
                <w:i/>
                <w:iCs/>
                <w:sz w:val="18"/>
                <w:szCs w:val="18"/>
              </w:rPr>
            </w:pPr>
            <w:r w:rsidRPr="00C9161E">
              <w:rPr>
                <w:i/>
                <w:iCs/>
                <w:sz w:val="18"/>
                <w:szCs w:val="18"/>
              </w:rPr>
              <w:t xml:space="preserve">Action and Resource: Details the specific operation performed (e.g., delete) and the file or data that was targeted. </w:t>
            </w:r>
          </w:p>
          <w:p w14:paraId="1A3E2FCC" w14:textId="751A41D4" w:rsidR="00C462A0" w:rsidRPr="00C9161E" w:rsidRDefault="00C9161E" w:rsidP="00C9161E">
            <w:pPr>
              <w:jc w:val="both"/>
              <w:rPr>
                <w:i/>
                <w:iCs/>
                <w:sz w:val="18"/>
                <w:szCs w:val="18"/>
              </w:rPr>
            </w:pPr>
            <w:r w:rsidRPr="00C9161E">
              <w:rPr>
                <w:i/>
                <w:iCs/>
                <w:sz w:val="18"/>
                <w:szCs w:val="18"/>
              </w:rPr>
              <w:t>Result and Source: Indicates whether the action succeeded or failed, along with the IP address of the device used.</w:t>
            </w:r>
          </w:p>
          <w:p w14:paraId="45C8344F" w14:textId="77777777" w:rsidR="00C462A0" w:rsidRPr="00C462A0" w:rsidRDefault="00C462A0" w:rsidP="006F6B6E">
            <w:pPr>
              <w:pStyle w:val="NormalWeb"/>
              <w:spacing w:before="0" w:beforeAutospacing="0" w:after="0" w:afterAutospacing="0"/>
              <w:jc w:val="both"/>
              <w:rPr>
                <w:rFonts w:asciiTheme="minorHAnsi" w:hAnsiTheme="minorHAnsi" w:cstheme="minorHAnsi"/>
                <w:bCs/>
                <w:iCs/>
                <w:sz w:val="20"/>
                <w:szCs w:val="20"/>
                <w:lang w:val="en-GB"/>
              </w:rPr>
            </w:pPr>
          </w:p>
          <w:p w14:paraId="7A22802A" w14:textId="77777777" w:rsidR="006F6B6E" w:rsidRPr="00C462A0" w:rsidRDefault="006F6B6E" w:rsidP="006F6B6E">
            <w:pPr>
              <w:pStyle w:val="NormalWeb"/>
              <w:numPr>
                <w:ilvl w:val="0"/>
                <w:numId w:val="404"/>
              </w:numPr>
              <w:spacing w:before="0" w:beforeAutospacing="0" w:after="0" w:afterAutospacing="0"/>
              <w:jc w:val="both"/>
              <w:rPr>
                <w:rFonts w:asciiTheme="minorHAnsi" w:hAnsiTheme="minorHAnsi" w:cstheme="minorHAnsi"/>
                <w:b/>
                <w:bCs/>
                <w:iCs/>
                <w:color w:val="009889" w:themeColor="accent2"/>
                <w:sz w:val="20"/>
                <w:szCs w:val="20"/>
                <w:lang w:val="en-GB"/>
              </w:rPr>
            </w:pPr>
            <w:r w:rsidRPr="00C462A0">
              <w:rPr>
                <w:rFonts w:asciiTheme="minorHAnsi" w:hAnsiTheme="minorHAnsi" w:cstheme="minorHAnsi"/>
                <w:b/>
                <w:bCs/>
                <w:iCs/>
                <w:color w:val="009889" w:themeColor="accent2"/>
                <w:sz w:val="20"/>
                <w:szCs w:val="20"/>
                <w:lang w:val="en-GB"/>
              </w:rPr>
              <w:t>Audit Trails and GDPR Accountability</w:t>
            </w:r>
          </w:p>
          <w:p w14:paraId="189BC8C4" w14:textId="77777777" w:rsidR="006F6B6E" w:rsidRPr="00C462A0" w:rsidRDefault="006F6B6E" w:rsidP="006F6B6E">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Under the European Union General Data Protection Regulation (GDPR), organisations are required to demonstrate accountability. Audit trails support this obligation by:</w:t>
            </w:r>
          </w:p>
          <w:p w14:paraId="2B71C445" w14:textId="77777777" w:rsidR="006F6B6E" w:rsidRPr="00C462A0" w:rsidRDefault="006F6B6E" w:rsidP="006F6B6E">
            <w:pPr>
              <w:pStyle w:val="NormalWeb"/>
              <w:numPr>
                <w:ilvl w:val="0"/>
                <w:numId w:val="394"/>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Documenting access to personal data.</w:t>
            </w:r>
          </w:p>
          <w:p w14:paraId="46836654" w14:textId="77777777" w:rsidR="006F6B6E" w:rsidRPr="00C462A0" w:rsidRDefault="006F6B6E" w:rsidP="006F6B6E">
            <w:pPr>
              <w:pStyle w:val="NormalWeb"/>
              <w:numPr>
                <w:ilvl w:val="0"/>
                <w:numId w:val="394"/>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Supporting the investigation of data breaches.</w:t>
            </w:r>
          </w:p>
          <w:p w14:paraId="39F9877F" w14:textId="77777777" w:rsidR="006F6B6E" w:rsidRPr="00C462A0" w:rsidRDefault="006F6B6E" w:rsidP="006F6B6E">
            <w:pPr>
              <w:pStyle w:val="NormalWeb"/>
              <w:numPr>
                <w:ilvl w:val="0"/>
                <w:numId w:val="394"/>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Providing evidence of lawful processing.</w:t>
            </w:r>
          </w:p>
          <w:p w14:paraId="34CFEAF4" w14:textId="77777777" w:rsidR="006F6B6E" w:rsidRPr="00C462A0" w:rsidRDefault="006F6B6E" w:rsidP="006F6B6E">
            <w:pPr>
              <w:pStyle w:val="NormalWeb"/>
              <w:numPr>
                <w:ilvl w:val="0"/>
                <w:numId w:val="394"/>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Facilitating audits by supervisory authorities.</w:t>
            </w:r>
          </w:p>
          <w:p w14:paraId="277567FC" w14:textId="77777777" w:rsidR="006F6B6E" w:rsidRPr="00C462A0" w:rsidRDefault="006F6B6E" w:rsidP="006F6B6E">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The European Data Protection Board highlights the importance of traceability and proper documentation in demonstrating compliance.</w:t>
            </w:r>
          </w:p>
          <w:p w14:paraId="5E23041D" w14:textId="77777777" w:rsidR="006F6B6E" w:rsidRPr="00C462A0" w:rsidRDefault="006F6B6E" w:rsidP="006F6B6E">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In ESG platforms that process employee or consumer data, audit logs should clearly record who modified sustainability metrics and when those changes took place.</w:t>
            </w:r>
          </w:p>
          <w:p w14:paraId="0061B703" w14:textId="77777777" w:rsidR="006F6B6E" w:rsidRPr="00C462A0" w:rsidRDefault="006F6B6E" w:rsidP="006F6B6E">
            <w:pPr>
              <w:pStyle w:val="NormalWeb"/>
              <w:spacing w:before="0" w:beforeAutospacing="0" w:after="0" w:afterAutospacing="0"/>
              <w:jc w:val="both"/>
              <w:rPr>
                <w:rFonts w:asciiTheme="minorHAnsi" w:hAnsiTheme="minorHAnsi" w:cstheme="minorHAnsi"/>
                <w:bCs/>
                <w:iCs/>
                <w:sz w:val="20"/>
                <w:szCs w:val="20"/>
                <w:lang w:val="en-GB"/>
              </w:rPr>
            </w:pPr>
          </w:p>
          <w:p w14:paraId="3FB6A5D6" w14:textId="77777777" w:rsidR="006F6B6E" w:rsidRPr="00C462A0" w:rsidRDefault="006F6B6E" w:rsidP="006F6B6E">
            <w:pPr>
              <w:pStyle w:val="NormalWeb"/>
              <w:numPr>
                <w:ilvl w:val="0"/>
                <w:numId w:val="404"/>
              </w:numPr>
              <w:spacing w:before="0" w:beforeAutospacing="0" w:after="0" w:afterAutospacing="0"/>
              <w:jc w:val="both"/>
              <w:rPr>
                <w:rFonts w:asciiTheme="minorHAnsi" w:hAnsiTheme="minorHAnsi" w:cstheme="minorHAnsi"/>
                <w:b/>
                <w:bCs/>
                <w:iCs/>
                <w:color w:val="009889" w:themeColor="accent2"/>
                <w:sz w:val="20"/>
                <w:szCs w:val="20"/>
                <w:lang w:val="en-GB"/>
              </w:rPr>
            </w:pPr>
            <w:r w:rsidRPr="00C462A0">
              <w:rPr>
                <w:rFonts w:asciiTheme="minorHAnsi" w:hAnsiTheme="minorHAnsi" w:cstheme="minorHAnsi"/>
                <w:b/>
                <w:bCs/>
                <w:iCs/>
                <w:color w:val="009889" w:themeColor="accent2"/>
                <w:sz w:val="20"/>
                <w:szCs w:val="20"/>
                <w:lang w:val="en-GB"/>
              </w:rPr>
              <w:t>Audit Trails in Sustainable Infrastructures</w:t>
            </w:r>
          </w:p>
          <w:p w14:paraId="5D04E1FA" w14:textId="77777777" w:rsidR="006F6B6E" w:rsidRPr="00C462A0" w:rsidRDefault="006F6B6E" w:rsidP="006F6B6E">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Audit trails serve different purposes across system types:</w:t>
            </w:r>
          </w:p>
          <w:p w14:paraId="1F5E16E1" w14:textId="77777777" w:rsidR="006F6B6E" w:rsidRPr="00C462A0" w:rsidRDefault="006F6B6E" w:rsidP="006F6B6E">
            <w:pPr>
              <w:pStyle w:val="NormalWeb"/>
              <w:numPr>
                <w:ilvl w:val="0"/>
                <w:numId w:val="395"/>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Energy Management Systems: Track adjustments to control parameters and administrative access.</w:t>
            </w:r>
          </w:p>
          <w:p w14:paraId="77A06E28" w14:textId="77777777" w:rsidR="006F6B6E" w:rsidRPr="00C462A0" w:rsidRDefault="006F6B6E" w:rsidP="006F6B6E">
            <w:pPr>
              <w:pStyle w:val="NormalWeb"/>
              <w:numPr>
                <w:ilvl w:val="0"/>
                <w:numId w:val="395"/>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IoT Sensor Networks: Log device authentication events and firmware updates.</w:t>
            </w:r>
          </w:p>
          <w:p w14:paraId="60AEEC1D" w14:textId="77777777" w:rsidR="006F6B6E" w:rsidRPr="00C462A0" w:rsidRDefault="006F6B6E" w:rsidP="006F6B6E">
            <w:pPr>
              <w:pStyle w:val="NormalWeb"/>
              <w:numPr>
                <w:ilvl w:val="0"/>
                <w:numId w:val="395"/>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Smart Grids: Record command execution and configuration changes within substations.</w:t>
            </w:r>
          </w:p>
          <w:p w14:paraId="31A510D8" w14:textId="77777777" w:rsidR="006F6B6E" w:rsidRPr="00C462A0" w:rsidRDefault="006F6B6E" w:rsidP="006F6B6E">
            <w:pPr>
              <w:pStyle w:val="NormalWeb"/>
              <w:numPr>
                <w:ilvl w:val="0"/>
                <w:numId w:val="395"/>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ESG Platforms: Monitor data edits, report approvals, and export activities.</w:t>
            </w:r>
          </w:p>
          <w:p w14:paraId="2483EF0F" w14:textId="77777777" w:rsidR="006F6B6E" w:rsidRPr="00C462A0" w:rsidRDefault="006F6B6E" w:rsidP="006F6B6E">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In these environments, logging mechanisms must strike a balance between operational performance and security requirements.</w:t>
            </w:r>
          </w:p>
          <w:p w14:paraId="7476DBF3" w14:textId="77777777" w:rsidR="006F6B6E" w:rsidRPr="00C462A0" w:rsidRDefault="006F6B6E" w:rsidP="006F6B6E">
            <w:pPr>
              <w:pStyle w:val="NormalWeb"/>
              <w:spacing w:before="0" w:beforeAutospacing="0" w:after="0" w:afterAutospacing="0"/>
              <w:jc w:val="both"/>
              <w:rPr>
                <w:rFonts w:asciiTheme="minorHAnsi" w:hAnsiTheme="minorHAnsi" w:cstheme="minorHAnsi"/>
                <w:bCs/>
                <w:iCs/>
                <w:sz w:val="20"/>
                <w:szCs w:val="20"/>
                <w:lang w:val="en-GB"/>
              </w:rPr>
            </w:pPr>
          </w:p>
          <w:p w14:paraId="0EE100C0" w14:textId="77777777" w:rsidR="006F6B6E" w:rsidRPr="00C462A0" w:rsidRDefault="006F6B6E" w:rsidP="006F6B6E">
            <w:pPr>
              <w:pStyle w:val="NormalWeb"/>
              <w:keepNext/>
              <w:spacing w:before="0" w:beforeAutospacing="0" w:after="0" w:afterAutospacing="0"/>
              <w:jc w:val="both"/>
              <w:rPr>
                <w:rFonts w:asciiTheme="minorHAnsi" w:hAnsiTheme="minorHAnsi" w:cstheme="minorHAnsi"/>
                <w:sz w:val="20"/>
                <w:szCs w:val="20"/>
                <w:lang w:val="en-GB"/>
              </w:rPr>
            </w:pPr>
            <w:r w:rsidRPr="00C462A0">
              <w:rPr>
                <w:rFonts w:asciiTheme="minorHAnsi" w:hAnsiTheme="minorHAnsi" w:cstheme="minorHAnsi"/>
                <w:noProof/>
                <w:sz w:val="20"/>
                <w:szCs w:val="20"/>
                <w:lang w:val="en-GB"/>
              </w:rPr>
              <w:drawing>
                <wp:inline distT="0" distB="0" distL="0" distR="0" wp14:anchorId="11814B03" wp14:editId="44918550">
                  <wp:extent cx="5969000" cy="3211403"/>
                  <wp:effectExtent l="0" t="0" r="0" b="8255"/>
                  <wp:docPr id="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pic:cNvPicPr>
                        </pic:nvPicPr>
                        <pic:blipFill>
                          <a:blip r:embed="rId105"/>
                          <a:srcRect b="19281"/>
                          <a:stretch/>
                        </pic:blipFill>
                        <pic:spPr bwMode="auto">
                          <a:xfrm>
                            <a:off x="0" y="0"/>
                            <a:ext cx="5988661" cy="3221981"/>
                          </a:xfrm>
                          <a:prstGeom prst="rect">
                            <a:avLst/>
                          </a:prstGeom>
                          <a:noFill/>
                          <a:ln>
                            <a:noFill/>
                          </a:ln>
                        </pic:spPr>
                      </pic:pic>
                    </a:graphicData>
                  </a:graphic>
                </wp:inline>
              </w:drawing>
            </w:r>
          </w:p>
          <w:p w14:paraId="68E688CF" w14:textId="6A7C4202" w:rsidR="006F6B6E" w:rsidRDefault="006F6B6E" w:rsidP="006F6B6E">
            <w:pPr>
              <w:pStyle w:val="Caption"/>
              <w:jc w:val="center"/>
              <w:rPr>
                <w:rFonts w:cstheme="minorHAnsi"/>
                <w:b w:val="0"/>
                <w:bCs w:val="0"/>
                <w:sz w:val="18"/>
                <w:szCs w:val="18"/>
              </w:rPr>
            </w:pPr>
            <w:bookmarkStart w:id="60" w:name="_Toc227623465"/>
            <w:r w:rsidRPr="00C462A0">
              <w:rPr>
                <w:rFonts w:cstheme="minorHAnsi"/>
                <w:b w:val="0"/>
                <w:bCs w:val="0"/>
                <w:sz w:val="18"/>
                <w:szCs w:val="18"/>
              </w:rPr>
              <w:t xml:space="preserve">Figure </w:t>
            </w:r>
            <w:r w:rsidRPr="00C462A0">
              <w:rPr>
                <w:rFonts w:cstheme="minorHAnsi"/>
                <w:b w:val="0"/>
                <w:bCs w:val="0"/>
                <w:sz w:val="18"/>
                <w:szCs w:val="18"/>
              </w:rPr>
              <w:fldChar w:fldCharType="begin"/>
            </w:r>
            <w:r w:rsidRPr="00C462A0">
              <w:rPr>
                <w:rFonts w:cstheme="minorHAnsi"/>
                <w:b w:val="0"/>
                <w:bCs w:val="0"/>
                <w:sz w:val="18"/>
                <w:szCs w:val="18"/>
              </w:rPr>
              <w:instrText xml:space="preserve"> SEQ Figure \* ARABIC </w:instrText>
            </w:r>
            <w:r w:rsidRPr="00C462A0">
              <w:rPr>
                <w:rFonts w:cstheme="minorHAnsi"/>
                <w:b w:val="0"/>
                <w:bCs w:val="0"/>
                <w:sz w:val="18"/>
                <w:szCs w:val="18"/>
              </w:rPr>
              <w:fldChar w:fldCharType="separate"/>
            </w:r>
            <w:r w:rsidRPr="00C462A0">
              <w:rPr>
                <w:rFonts w:cstheme="minorHAnsi"/>
                <w:b w:val="0"/>
                <w:bCs w:val="0"/>
                <w:sz w:val="18"/>
                <w:szCs w:val="18"/>
              </w:rPr>
              <w:t>28</w:t>
            </w:r>
            <w:r w:rsidRPr="00C462A0">
              <w:rPr>
                <w:rFonts w:cstheme="minorHAnsi"/>
                <w:b w:val="0"/>
                <w:bCs w:val="0"/>
                <w:sz w:val="18"/>
                <w:szCs w:val="18"/>
              </w:rPr>
              <w:fldChar w:fldCharType="end"/>
            </w:r>
            <w:r w:rsidRPr="00C462A0">
              <w:rPr>
                <w:rFonts w:cstheme="minorHAnsi"/>
                <w:b w:val="0"/>
                <w:bCs w:val="0"/>
                <w:sz w:val="18"/>
                <w:szCs w:val="18"/>
              </w:rPr>
              <w:t xml:space="preserve">. Audit </w:t>
            </w:r>
            <w:r w:rsidR="00C9161E" w:rsidRPr="00C462A0">
              <w:rPr>
                <w:rFonts w:cstheme="minorHAnsi"/>
                <w:b w:val="0"/>
                <w:bCs w:val="0"/>
                <w:sz w:val="18"/>
                <w:szCs w:val="18"/>
              </w:rPr>
              <w:t>trail</w:t>
            </w:r>
            <w:r w:rsidRPr="00C462A0">
              <w:rPr>
                <w:rFonts w:cstheme="minorHAnsi"/>
                <w:b w:val="0"/>
                <w:bCs w:val="0"/>
                <w:sz w:val="18"/>
                <w:szCs w:val="18"/>
              </w:rPr>
              <w:t xml:space="preserve"> functions across key domains (source: Author)</w:t>
            </w:r>
            <w:bookmarkEnd w:id="60"/>
          </w:p>
          <w:p w14:paraId="455FB0C7" w14:textId="77777777" w:rsidR="00C9161E" w:rsidRDefault="00C9161E" w:rsidP="00C9161E"/>
          <w:p w14:paraId="55A35197" w14:textId="77777777" w:rsidR="00C9161E" w:rsidRPr="00C9161E" w:rsidRDefault="00C9161E" w:rsidP="00C9161E">
            <w:pPr>
              <w:jc w:val="both"/>
              <w:rPr>
                <w:i/>
                <w:iCs/>
                <w:sz w:val="18"/>
                <w:szCs w:val="20"/>
              </w:rPr>
            </w:pPr>
            <w:r w:rsidRPr="00C9161E">
              <w:rPr>
                <w:i/>
                <w:iCs/>
                <w:sz w:val="18"/>
                <w:szCs w:val="20"/>
              </w:rPr>
              <w:lastRenderedPageBreak/>
              <w:t>This image outlines the specific event logging functions across four technological domains: Energy Management Systems (EMS), IoT Sensors, Smart Grid infrastructure, and ESG Platforms.</w:t>
            </w:r>
          </w:p>
          <w:p w14:paraId="757DE4FE" w14:textId="77777777" w:rsidR="00C9161E" w:rsidRPr="00C9161E" w:rsidRDefault="00C9161E" w:rsidP="00C9161E">
            <w:pPr>
              <w:jc w:val="both"/>
              <w:rPr>
                <w:i/>
                <w:iCs/>
                <w:sz w:val="18"/>
                <w:szCs w:val="20"/>
              </w:rPr>
            </w:pPr>
            <w:r w:rsidRPr="00C9161E">
              <w:rPr>
                <w:i/>
                <w:iCs/>
                <w:sz w:val="18"/>
                <w:szCs w:val="20"/>
              </w:rPr>
              <w:t>EMS: Tracks system access, alarm acknowledgements, setpoint changes, mode adjustments, and energy usage reports.</w:t>
            </w:r>
          </w:p>
          <w:p w14:paraId="79C6EDFD" w14:textId="77777777" w:rsidR="00C9161E" w:rsidRPr="00C9161E" w:rsidRDefault="00C9161E" w:rsidP="00C9161E">
            <w:pPr>
              <w:jc w:val="both"/>
              <w:rPr>
                <w:i/>
                <w:iCs/>
                <w:sz w:val="18"/>
                <w:szCs w:val="20"/>
              </w:rPr>
            </w:pPr>
            <w:r w:rsidRPr="00C9161E">
              <w:rPr>
                <w:i/>
                <w:iCs/>
                <w:sz w:val="18"/>
                <w:szCs w:val="20"/>
              </w:rPr>
              <w:t>IoT Sensors: Records sensor data readings, device status updates, connectivity issues, calibration records, and maintenance alerts.</w:t>
            </w:r>
          </w:p>
          <w:p w14:paraId="5FA4FDB7" w14:textId="77777777" w:rsidR="00C9161E" w:rsidRPr="00C9161E" w:rsidRDefault="00C9161E" w:rsidP="00C9161E">
            <w:pPr>
              <w:jc w:val="both"/>
              <w:rPr>
                <w:i/>
                <w:iCs/>
                <w:sz w:val="18"/>
                <w:szCs w:val="20"/>
              </w:rPr>
            </w:pPr>
            <w:r w:rsidRPr="00C9161E">
              <w:rPr>
                <w:i/>
                <w:iCs/>
                <w:sz w:val="18"/>
                <w:szCs w:val="20"/>
              </w:rPr>
              <w:t>Smart Grid: Logs power outages, load shedding events, grid switch operations, meter readings, and renewable integration data.</w:t>
            </w:r>
          </w:p>
          <w:p w14:paraId="39D2DC84" w14:textId="57A64A98" w:rsidR="00C9161E" w:rsidRPr="00C9161E" w:rsidRDefault="00C9161E" w:rsidP="00C9161E">
            <w:pPr>
              <w:jc w:val="both"/>
              <w:rPr>
                <w:i/>
                <w:iCs/>
                <w:sz w:val="18"/>
                <w:szCs w:val="20"/>
              </w:rPr>
            </w:pPr>
            <w:r w:rsidRPr="00C9161E">
              <w:rPr>
                <w:i/>
                <w:iCs/>
                <w:sz w:val="18"/>
                <w:szCs w:val="20"/>
              </w:rPr>
              <w:t>ESG Platform: Monitors carbon emissions, water usage, waste/recycling data, CSR activities, and audit compliance records.</w:t>
            </w:r>
          </w:p>
          <w:p w14:paraId="6F1B5CD7" w14:textId="77777777" w:rsidR="006F6B6E" w:rsidRPr="00C462A0" w:rsidRDefault="006F6B6E" w:rsidP="006F6B6E">
            <w:pPr>
              <w:pStyle w:val="NormalWeb"/>
              <w:spacing w:before="0" w:beforeAutospacing="0" w:after="0" w:afterAutospacing="0"/>
              <w:jc w:val="both"/>
              <w:rPr>
                <w:rFonts w:asciiTheme="minorHAnsi" w:hAnsiTheme="minorHAnsi" w:cstheme="minorHAnsi"/>
                <w:bCs/>
                <w:iCs/>
                <w:sz w:val="20"/>
                <w:szCs w:val="20"/>
                <w:lang w:val="en-GB"/>
              </w:rPr>
            </w:pPr>
          </w:p>
          <w:p w14:paraId="07C596AD" w14:textId="77777777" w:rsidR="006F6B6E" w:rsidRPr="00C462A0" w:rsidRDefault="006F6B6E" w:rsidP="006F6B6E">
            <w:pPr>
              <w:pStyle w:val="NormalWeb"/>
              <w:numPr>
                <w:ilvl w:val="0"/>
                <w:numId w:val="404"/>
              </w:numPr>
              <w:spacing w:before="0" w:beforeAutospacing="0" w:after="0" w:afterAutospacing="0"/>
              <w:jc w:val="both"/>
              <w:rPr>
                <w:rFonts w:asciiTheme="minorHAnsi" w:hAnsiTheme="minorHAnsi" w:cstheme="minorHAnsi"/>
                <w:b/>
                <w:bCs/>
                <w:iCs/>
                <w:color w:val="009889" w:themeColor="accent2"/>
                <w:sz w:val="20"/>
                <w:szCs w:val="20"/>
                <w:lang w:val="en-GB"/>
              </w:rPr>
            </w:pPr>
            <w:r w:rsidRPr="00C462A0">
              <w:rPr>
                <w:rFonts w:asciiTheme="minorHAnsi" w:hAnsiTheme="minorHAnsi" w:cstheme="minorHAnsi"/>
                <w:b/>
                <w:bCs/>
                <w:iCs/>
                <w:color w:val="009889" w:themeColor="accent2"/>
                <w:sz w:val="20"/>
                <w:szCs w:val="20"/>
                <w:lang w:val="en-GB"/>
              </w:rPr>
              <w:t>Security and Governance Considerations</w:t>
            </w:r>
          </w:p>
          <w:p w14:paraId="423213FC" w14:textId="77777777" w:rsidR="006F6B6E" w:rsidRPr="00C462A0" w:rsidRDefault="006F6B6E" w:rsidP="006F6B6E">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Effective management of audit trails requires:</w:t>
            </w:r>
          </w:p>
          <w:p w14:paraId="163579AD" w14:textId="77777777" w:rsidR="006F6B6E" w:rsidRPr="00C462A0" w:rsidRDefault="006F6B6E" w:rsidP="006F6B6E">
            <w:pPr>
              <w:pStyle w:val="NormalWeb"/>
              <w:numPr>
                <w:ilvl w:val="0"/>
                <w:numId w:val="396"/>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Secure log storage, protected against tampering.</w:t>
            </w:r>
          </w:p>
          <w:p w14:paraId="1C898E22" w14:textId="77777777" w:rsidR="006F6B6E" w:rsidRPr="00C462A0" w:rsidRDefault="006F6B6E" w:rsidP="006F6B6E">
            <w:pPr>
              <w:pStyle w:val="NormalWeb"/>
              <w:numPr>
                <w:ilvl w:val="0"/>
                <w:numId w:val="396"/>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Restricted and controlled access to logs.</w:t>
            </w:r>
          </w:p>
          <w:p w14:paraId="641E6F3D" w14:textId="77777777" w:rsidR="006F6B6E" w:rsidRPr="00C462A0" w:rsidRDefault="006F6B6E" w:rsidP="006F6B6E">
            <w:pPr>
              <w:pStyle w:val="NormalWeb"/>
              <w:numPr>
                <w:ilvl w:val="0"/>
                <w:numId w:val="396"/>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Log retention policies aligned with regulatory obligations.</w:t>
            </w:r>
          </w:p>
          <w:p w14:paraId="7E9E5C89" w14:textId="77777777" w:rsidR="006F6B6E" w:rsidRPr="00C462A0" w:rsidRDefault="006F6B6E" w:rsidP="006F6B6E">
            <w:pPr>
              <w:pStyle w:val="NormalWeb"/>
              <w:numPr>
                <w:ilvl w:val="0"/>
                <w:numId w:val="396"/>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Continuous monitoring and analysis.</w:t>
            </w:r>
          </w:p>
          <w:p w14:paraId="1C50EAC2" w14:textId="77777777" w:rsidR="006F6B6E" w:rsidRPr="00C462A0" w:rsidRDefault="006F6B6E" w:rsidP="006F6B6E">
            <w:pPr>
              <w:pStyle w:val="NormalWeb"/>
              <w:numPr>
                <w:ilvl w:val="0"/>
                <w:numId w:val="396"/>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Integration with incident response procedures.</w:t>
            </w:r>
          </w:p>
          <w:p w14:paraId="674AD909" w14:textId="77777777" w:rsidR="006F6B6E" w:rsidRPr="00C462A0" w:rsidRDefault="006F6B6E" w:rsidP="006F6B6E">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The National Institute of Standards and Technology highlights logging, monitoring, and continuous diagnostics as core components of sound cybersecurity practice.</w:t>
            </w:r>
          </w:p>
          <w:p w14:paraId="3D750FD4" w14:textId="77777777" w:rsidR="006F6B6E" w:rsidRPr="00C462A0" w:rsidRDefault="006F6B6E" w:rsidP="006F6B6E">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If not properly secured, audit logs themselves can become targets of manipulation, compromising their forensic reliability.</w:t>
            </w:r>
          </w:p>
          <w:p w14:paraId="4EECFE86" w14:textId="77777777" w:rsidR="006F6B6E" w:rsidRPr="00C462A0" w:rsidRDefault="006F6B6E" w:rsidP="006F6B6E">
            <w:pPr>
              <w:pStyle w:val="NormalWeb"/>
              <w:spacing w:before="0" w:beforeAutospacing="0" w:after="0" w:afterAutospacing="0"/>
              <w:jc w:val="both"/>
              <w:rPr>
                <w:rFonts w:asciiTheme="minorHAnsi" w:hAnsiTheme="minorHAnsi" w:cstheme="minorHAnsi"/>
                <w:bCs/>
                <w:iCs/>
                <w:sz w:val="20"/>
                <w:szCs w:val="20"/>
                <w:lang w:val="en-GB"/>
              </w:rPr>
            </w:pPr>
          </w:p>
          <w:p w14:paraId="74ED3198" w14:textId="77777777" w:rsidR="006F6B6E" w:rsidRPr="00C462A0" w:rsidRDefault="006F6B6E" w:rsidP="006F6B6E">
            <w:pPr>
              <w:pStyle w:val="NormalWeb"/>
              <w:numPr>
                <w:ilvl w:val="0"/>
                <w:numId w:val="404"/>
              </w:numPr>
              <w:spacing w:before="0" w:beforeAutospacing="0" w:after="0" w:afterAutospacing="0"/>
              <w:jc w:val="both"/>
              <w:rPr>
                <w:rFonts w:asciiTheme="minorHAnsi" w:hAnsiTheme="minorHAnsi" w:cstheme="minorHAnsi"/>
                <w:b/>
                <w:bCs/>
                <w:iCs/>
                <w:color w:val="009889" w:themeColor="accent2"/>
                <w:sz w:val="20"/>
                <w:szCs w:val="20"/>
                <w:lang w:val="en-GB"/>
              </w:rPr>
            </w:pPr>
            <w:r w:rsidRPr="00C462A0">
              <w:rPr>
                <w:rFonts w:asciiTheme="minorHAnsi" w:hAnsiTheme="minorHAnsi" w:cstheme="minorHAnsi"/>
                <w:b/>
                <w:bCs/>
                <w:iCs/>
                <w:color w:val="009889" w:themeColor="accent2"/>
                <w:sz w:val="20"/>
                <w:szCs w:val="20"/>
                <w:lang w:val="en-GB"/>
              </w:rPr>
              <w:t>Risks and Limitations</w:t>
            </w:r>
          </w:p>
          <w:p w14:paraId="4A948908" w14:textId="77777777" w:rsidR="006F6B6E" w:rsidRPr="00C462A0" w:rsidRDefault="006F6B6E" w:rsidP="006F6B6E">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Audit trails can fail when:</w:t>
            </w:r>
          </w:p>
          <w:p w14:paraId="3F59D8A4" w14:textId="77777777" w:rsidR="006F6B6E" w:rsidRPr="00C462A0" w:rsidRDefault="006F6B6E" w:rsidP="006F6B6E">
            <w:pPr>
              <w:pStyle w:val="NormalWeb"/>
              <w:numPr>
                <w:ilvl w:val="0"/>
                <w:numId w:val="397"/>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Logging is incomplete or incorrectly configured.</w:t>
            </w:r>
          </w:p>
          <w:p w14:paraId="74D8D228" w14:textId="77777777" w:rsidR="006F6B6E" w:rsidRPr="00C462A0" w:rsidRDefault="006F6B6E" w:rsidP="006F6B6E">
            <w:pPr>
              <w:pStyle w:val="NormalWeb"/>
              <w:numPr>
                <w:ilvl w:val="0"/>
                <w:numId w:val="397"/>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Logs are not reviewed on a regular basis.</w:t>
            </w:r>
          </w:p>
          <w:p w14:paraId="3D034CC8" w14:textId="77777777" w:rsidR="006F6B6E" w:rsidRPr="00C462A0" w:rsidRDefault="006F6B6E" w:rsidP="006F6B6E">
            <w:pPr>
              <w:pStyle w:val="NormalWeb"/>
              <w:numPr>
                <w:ilvl w:val="0"/>
                <w:numId w:val="397"/>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Excessive data collection breaches data minimisation principles.</w:t>
            </w:r>
          </w:p>
          <w:p w14:paraId="42A55F0F" w14:textId="77777777" w:rsidR="006F6B6E" w:rsidRPr="00C462A0" w:rsidRDefault="006F6B6E" w:rsidP="006F6B6E">
            <w:pPr>
              <w:pStyle w:val="NormalWeb"/>
              <w:numPr>
                <w:ilvl w:val="0"/>
                <w:numId w:val="397"/>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Log retention exceeds lawful storage periods.</w:t>
            </w:r>
          </w:p>
          <w:p w14:paraId="5D3CAA73" w14:textId="77777777" w:rsidR="006F6B6E" w:rsidRPr="00C462A0" w:rsidRDefault="006F6B6E" w:rsidP="006F6B6E">
            <w:pPr>
              <w:pStyle w:val="NormalWeb"/>
              <w:numPr>
                <w:ilvl w:val="0"/>
                <w:numId w:val="397"/>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Access to logs is insufficiently restricted.</w:t>
            </w:r>
          </w:p>
          <w:p w14:paraId="7B63DC1C" w14:textId="77777777" w:rsidR="006F6B6E" w:rsidRPr="00C462A0" w:rsidRDefault="006F6B6E" w:rsidP="006F6B6E">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For this reason, audit trail implementation must remain aligned with both cybersecurity controls and data protection requirements.</w:t>
            </w:r>
          </w:p>
          <w:p w14:paraId="41001250" w14:textId="77777777" w:rsidR="006F6B6E" w:rsidRPr="00C462A0" w:rsidRDefault="006F6B6E" w:rsidP="006F6B6E">
            <w:pPr>
              <w:pStyle w:val="NormalWeb"/>
              <w:spacing w:before="0" w:beforeAutospacing="0" w:after="0" w:afterAutospacing="0"/>
              <w:jc w:val="both"/>
              <w:rPr>
                <w:rFonts w:asciiTheme="minorHAnsi" w:hAnsiTheme="minorHAnsi" w:cstheme="minorHAnsi"/>
                <w:bCs/>
                <w:iCs/>
                <w:sz w:val="20"/>
                <w:szCs w:val="20"/>
                <w:lang w:val="en-GB"/>
              </w:rPr>
            </w:pPr>
          </w:p>
          <w:p w14:paraId="3ACB4F85" w14:textId="77777777" w:rsidR="006F6B6E" w:rsidRPr="00C462A0" w:rsidRDefault="006F6B6E" w:rsidP="006F6B6E">
            <w:pPr>
              <w:pStyle w:val="NormalWeb"/>
              <w:spacing w:before="0" w:beforeAutospacing="0" w:after="0" w:afterAutospacing="0"/>
              <w:jc w:val="both"/>
              <w:rPr>
                <w:rFonts w:asciiTheme="minorHAnsi" w:hAnsiTheme="minorHAnsi" w:cstheme="minorHAnsi"/>
                <w:b/>
                <w:color w:val="00AC4E" w:themeColor="accent1"/>
                <w:sz w:val="20"/>
                <w:szCs w:val="20"/>
                <w:u w:val="single"/>
                <w:lang w:val="en-GB"/>
              </w:rPr>
            </w:pPr>
            <w:r w:rsidRPr="00C462A0">
              <w:rPr>
                <w:rFonts w:asciiTheme="minorHAnsi" w:hAnsiTheme="minorHAnsi" w:cstheme="minorHAnsi"/>
                <w:b/>
                <w:bCs/>
                <w:color w:val="00AC4E" w:themeColor="accent1"/>
                <w:sz w:val="20"/>
                <w:szCs w:val="20"/>
                <w:u w:val="single"/>
                <w:lang w:val="en-GB"/>
              </w:rPr>
              <w:t>Micro-activity</w:t>
            </w:r>
            <w:r w:rsidRPr="00C462A0">
              <w:rPr>
                <w:rFonts w:asciiTheme="minorHAnsi" w:hAnsiTheme="minorHAnsi" w:cstheme="minorHAnsi"/>
                <w:b/>
                <w:color w:val="00AC4E" w:themeColor="accent1"/>
                <w:sz w:val="20"/>
                <w:szCs w:val="20"/>
                <w:u w:val="single"/>
                <w:lang w:val="en-GB"/>
              </w:rPr>
              <w:t>:</w:t>
            </w:r>
          </w:p>
          <w:p w14:paraId="24B66D98" w14:textId="77777777" w:rsidR="006F6B6E" w:rsidRPr="00C462A0" w:rsidRDefault="006F6B6E" w:rsidP="006F6B6E">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Consider a cloud-based ESG platform integrated with IoT energy sensors and smart grid control systems.</w:t>
            </w:r>
          </w:p>
          <w:p w14:paraId="0597369D" w14:textId="7BA577FC" w:rsidR="006F6B6E" w:rsidRPr="00C462A0" w:rsidRDefault="006F6B6E" w:rsidP="006F6B6E">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Learner task:</w:t>
            </w:r>
          </w:p>
          <w:p w14:paraId="1516E913" w14:textId="77777777" w:rsidR="006F6B6E" w:rsidRPr="00C462A0" w:rsidRDefault="006F6B6E" w:rsidP="006F6B6E">
            <w:pPr>
              <w:pStyle w:val="NormalWeb"/>
              <w:numPr>
                <w:ilvl w:val="0"/>
                <w:numId w:val="398"/>
              </w:numPr>
              <w:spacing w:before="40" w:beforeAutospacing="0" w:after="4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Identify three critical events that must be logged.</w:t>
            </w:r>
          </w:p>
          <w:p w14:paraId="2AF82EAF" w14:textId="77777777" w:rsidR="006F6B6E" w:rsidRPr="00C462A0" w:rsidRDefault="006F6B6E" w:rsidP="006F6B6E">
            <w:pPr>
              <w:pStyle w:val="NormalWeb"/>
              <w:numPr>
                <w:ilvl w:val="0"/>
                <w:numId w:val="398"/>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Explain one compliance reason for retaining these logs.</w:t>
            </w:r>
          </w:p>
          <w:p w14:paraId="0E23AC92" w14:textId="77777777" w:rsidR="006F6B6E" w:rsidRPr="00C462A0" w:rsidRDefault="006F6B6E" w:rsidP="006F6B6E">
            <w:pPr>
              <w:pStyle w:val="NormalWeb"/>
              <w:numPr>
                <w:ilvl w:val="0"/>
                <w:numId w:val="398"/>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Identify one security risk if logs are not protected.</w:t>
            </w:r>
          </w:p>
          <w:p w14:paraId="09A00AF9" w14:textId="77777777" w:rsidR="006F6B6E" w:rsidRPr="00C462A0" w:rsidRDefault="006F6B6E" w:rsidP="006F6B6E">
            <w:pPr>
              <w:pStyle w:val="NormalWeb"/>
              <w:numPr>
                <w:ilvl w:val="0"/>
                <w:numId w:val="398"/>
              </w:numPr>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Propose one governance measure to ensure audit trail integrity.</w:t>
            </w:r>
          </w:p>
          <w:p w14:paraId="5BD1B332" w14:textId="77777777" w:rsidR="006F6B6E" w:rsidRPr="00C462A0" w:rsidRDefault="006F6B6E" w:rsidP="006F6B6E">
            <w:pPr>
              <w:pStyle w:val="NormalWeb"/>
              <w:spacing w:before="0" w:beforeAutospacing="0" w:after="0" w:afterAutospacing="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Respond in 8–10 structured sentences.</w:t>
            </w:r>
          </w:p>
          <w:p w14:paraId="16D45C9C" w14:textId="77777777" w:rsidR="006F6B6E" w:rsidRPr="00C462A0" w:rsidRDefault="006F6B6E" w:rsidP="006F6B6E">
            <w:pPr>
              <w:pStyle w:val="NormalWeb"/>
              <w:spacing w:before="0" w:beforeAutospacing="0" w:after="0" w:afterAutospacing="0"/>
              <w:jc w:val="both"/>
              <w:rPr>
                <w:rFonts w:asciiTheme="minorHAnsi" w:hAnsiTheme="minorHAnsi" w:cstheme="minorHAnsi"/>
                <w:bCs/>
                <w:iCs/>
                <w:sz w:val="20"/>
                <w:szCs w:val="20"/>
                <w:lang w:val="en-GB"/>
              </w:rPr>
            </w:pPr>
          </w:p>
          <w:p w14:paraId="6BF17F2C" w14:textId="77777777" w:rsidR="006F6B6E" w:rsidRPr="00C462A0" w:rsidRDefault="006F6B6E" w:rsidP="006F6B6E">
            <w:pPr>
              <w:jc w:val="both"/>
              <w:rPr>
                <w:rFonts w:cstheme="minorHAnsi"/>
                <w:szCs w:val="20"/>
              </w:rPr>
            </w:pPr>
            <w:r w:rsidRPr="00C462A0">
              <w:rPr>
                <w:rFonts w:cstheme="minorHAnsi"/>
                <w:b/>
                <w:color w:val="00AC4E" w:themeColor="accent1"/>
                <w:szCs w:val="20"/>
              </w:rPr>
              <w:t xml:space="preserve">Additional reading: </w:t>
            </w:r>
          </w:p>
          <w:p w14:paraId="2AA8A529" w14:textId="4BA00D22" w:rsidR="006F6B6E" w:rsidRPr="00C462A0" w:rsidRDefault="006F6B6E" w:rsidP="006F6B6E">
            <w:pPr>
              <w:pStyle w:val="NormalWeb"/>
              <w:numPr>
                <w:ilvl w:val="0"/>
                <w:numId w:val="401"/>
              </w:numPr>
              <w:spacing w:before="40" w:beforeAutospacing="0" w:after="40"/>
              <w:jc w:val="both"/>
              <w:rPr>
                <w:rFonts w:asciiTheme="minorHAnsi" w:hAnsiTheme="minorHAnsi" w:cstheme="minorHAnsi"/>
                <w:color w:val="00AC4E" w:themeColor="accent1"/>
                <w:sz w:val="20"/>
                <w:szCs w:val="20"/>
                <w:lang w:val="en-GB"/>
              </w:rPr>
            </w:pPr>
            <w:hyperlink r:id="rId106" w:history="1">
              <w:r w:rsidRPr="00C462A0">
                <w:rPr>
                  <w:rStyle w:val="Hyperlink"/>
                  <w:rFonts w:asciiTheme="minorHAnsi" w:hAnsiTheme="minorHAnsi" w:cstheme="minorHAnsi"/>
                  <w:bCs/>
                  <w:iCs/>
                  <w:color w:val="00AC4E" w:themeColor="accent1"/>
                  <w:sz w:val="20"/>
                  <w:szCs w:val="20"/>
                  <w:lang w:val="en-GB"/>
                </w:rPr>
                <w:t>NIST SP 800-92 – Guide to Computer Security Log Management</w:t>
              </w:r>
            </w:hyperlink>
            <w:r w:rsidRPr="00C462A0">
              <w:rPr>
                <w:rFonts w:asciiTheme="minorHAnsi" w:hAnsiTheme="minorHAnsi" w:cstheme="minorHAnsi"/>
                <w:bCs/>
                <w:iCs/>
                <w:color w:val="00AC4E" w:themeColor="accent1"/>
                <w:sz w:val="20"/>
                <w:szCs w:val="20"/>
                <w:lang w:val="en-GB"/>
              </w:rPr>
              <w:t xml:space="preserve"> </w:t>
            </w:r>
          </w:p>
          <w:p w14:paraId="22D4D835" w14:textId="10E95A4D" w:rsidR="006F6B6E" w:rsidRPr="00C462A0" w:rsidRDefault="006F6B6E" w:rsidP="006F6B6E">
            <w:pPr>
              <w:pStyle w:val="NormalWeb"/>
              <w:numPr>
                <w:ilvl w:val="0"/>
                <w:numId w:val="401"/>
              </w:numPr>
              <w:spacing w:before="40" w:beforeAutospacing="0" w:after="40"/>
              <w:jc w:val="both"/>
              <w:rPr>
                <w:rFonts w:asciiTheme="minorHAnsi" w:hAnsiTheme="minorHAnsi" w:cstheme="minorHAnsi"/>
                <w:bCs/>
                <w:iCs/>
                <w:color w:val="00AC4E" w:themeColor="accent1"/>
                <w:sz w:val="20"/>
                <w:szCs w:val="20"/>
                <w:lang w:val="en-GB"/>
              </w:rPr>
            </w:pPr>
            <w:hyperlink r:id="rId107" w:history="1">
              <w:r w:rsidRPr="00C462A0">
                <w:rPr>
                  <w:rStyle w:val="Hyperlink"/>
                  <w:rFonts w:asciiTheme="minorHAnsi" w:hAnsiTheme="minorHAnsi" w:cstheme="minorHAnsi"/>
                  <w:bCs/>
                  <w:iCs/>
                  <w:color w:val="00AC4E" w:themeColor="accent1"/>
                  <w:sz w:val="20"/>
                  <w:szCs w:val="20"/>
                  <w:lang w:val="en-GB"/>
                </w:rPr>
                <w:t>OWASP – Logging Cheat Sheet</w:t>
              </w:r>
            </w:hyperlink>
            <w:r w:rsidRPr="00C462A0">
              <w:rPr>
                <w:rFonts w:asciiTheme="minorHAnsi" w:hAnsiTheme="minorHAnsi" w:cstheme="minorHAnsi"/>
                <w:bCs/>
                <w:iCs/>
                <w:color w:val="00AC4E" w:themeColor="accent1"/>
                <w:sz w:val="20"/>
                <w:szCs w:val="20"/>
                <w:lang w:val="en-GB"/>
              </w:rPr>
              <w:t xml:space="preserve"> </w:t>
            </w:r>
          </w:p>
          <w:p w14:paraId="5A773993" w14:textId="3A84363B" w:rsidR="006F6B6E" w:rsidRPr="00C462A0" w:rsidRDefault="006F6B6E" w:rsidP="006F6B6E">
            <w:pPr>
              <w:jc w:val="both"/>
              <w:rPr>
                <w:rFonts w:cstheme="minorHAnsi"/>
                <w:szCs w:val="20"/>
              </w:rPr>
            </w:pPr>
            <w:r w:rsidRPr="00C462A0">
              <w:rPr>
                <w:rFonts w:cstheme="minorHAnsi"/>
                <w:b/>
                <w:color w:val="00AC4E" w:themeColor="accent1"/>
                <w:szCs w:val="20"/>
              </w:rPr>
              <w:lastRenderedPageBreak/>
              <w:t>Key Takeaways</w:t>
            </w:r>
            <w:r w:rsidRPr="00C462A0">
              <w:rPr>
                <w:rFonts w:cstheme="minorHAnsi"/>
                <w:szCs w:val="20"/>
              </w:rPr>
              <w:t>:</w:t>
            </w:r>
          </w:p>
          <w:p w14:paraId="2AE8B1D1" w14:textId="77777777" w:rsidR="006F6B6E" w:rsidRPr="00C462A0" w:rsidRDefault="006F6B6E" w:rsidP="006F6B6E">
            <w:pPr>
              <w:pStyle w:val="NormalWeb"/>
              <w:numPr>
                <w:ilvl w:val="0"/>
                <w:numId w:val="397"/>
              </w:numPr>
              <w:spacing w:before="40" w:beforeAutospacing="0" w:after="4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Audit trails document system and user activities for accountability and security.</w:t>
            </w:r>
          </w:p>
          <w:p w14:paraId="3BFA6A9B" w14:textId="77777777" w:rsidR="006F6B6E" w:rsidRPr="00C462A0" w:rsidRDefault="006F6B6E" w:rsidP="006F6B6E">
            <w:pPr>
              <w:pStyle w:val="NormalWeb"/>
              <w:numPr>
                <w:ilvl w:val="0"/>
                <w:numId w:val="397"/>
              </w:numPr>
              <w:spacing w:before="40" w:beforeAutospacing="0" w:after="4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Logging supports GDPR compliance and regulatory audits.</w:t>
            </w:r>
          </w:p>
          <w:p w14:paraId="10D88152" w14:textId="77777777" w:rsidR="006F6B6E" w:rsidRPr="00C462A0" w:rsidRDefault="006F6B6E" w:rsidP="006F6B6E">
            <w:pPr>
              <w:pStyle w:val="NormalWeb"/>
              <w:numPr>
                <w:ilvl w:val="0"/>
                <w:numId w:val="397"/>
              </w:numPr>
              <w:spacing w:before="40" w:beforeAutospacing="0" w:after="4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Sustainable infrastructures require domain-specific logging strategies.</w:t>
            </w:r>
          </w:p>
          <w:p w14:paraId="5CE5E56D" w14:textId="77777777" w:rsidR="006F6B6E" w:rsidRPr="00C462A0" w:rsidRDefault="006F6B6E" w:rsidP="006F6B6E">
            <w:pPr>
              <w:pStyle w:val="NormalWeb"/>
              <w:numPr>
                <w:ilvl w:val="0"/>
                <w:numId w:val="397"/>
              </w:numPr>
              <w:spacing w:before="40" w:beforeAutospacing="0" w:after="4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Logs must be protected from tampering and unauthorised access.</w:t>
            </w:r>
          </w:p>
          <w:p w14:paraId="5428C1F9" w14:textId="23CCA40B" w:rsidR="006F6B6E" w:rsidRPr="00C462A0" w:rsidRDefault="006F6B6E" w:rsidP="006F6B6E">
            <w:pPr>
              <w:pStyle w:val="NormalWeb"/>
              <w:numPr>
                <w:ilvl w:val="0"/>
                <w:numId w:val="397"/>
              </w:numPr>
              <w:spacing w:before="40" w:beforeAutospacing="0" w:after="40"/>
              <w:jc w:val="both"/>
              <w:rPr>
                <w:rFonts w:asciiTheme="minorHAnsi" w:hAnsiTheme="minorHAnsi" w:cstheme="minorHAnsi"/>
                <w:bCs/>
                <w:iCs/>
                <w:sz w:val="20"/>
                <w:szCs w:val="20"/>
                <w:lang w:val="en-GB"/>
              </w:rPr>
            </w:pPr>
            <w:r w:rsidRPr="00C462A0">
              <w:rPr>
                <w:rFonts w:asciiTheme="minorHAnsi" w:hAnsiTheme="minorHAnsi" w:cstheme="minorHAnsi"/>
                <w:bCs/>
                <w:iCs/>
                <w:sz w:val="20"/>
                <w:szCs w:val="20"/>
                <w:lang w:val="en-GB"/>
              </w:rPr>
              <w:t>Audit trail governance integrates cybersecurity, compliance, and operational oversight.</w:t>
            </w:r>
          </w:p>
          <w:p w14:paraId="3AA64D4A" w14:textId="77777777" w:rsidR="006F6B6E" w:rsidRPr="00C462A0" w:rsidRDefault="006F6B6E" w:rsidP="006F6B6E">
            <w:pPr>
              <w:jc w:val="both"/>
              <w:rPr>
                <w:rFonts w:cstheme="minorHAnsi"/>
                <w:b/>
                <w:color w:val="00AC4E" w:themeColor="accent1"/>
                <w:szCs w:val="20"/>
              </w:rPr>
            </w:pPr>
            <w:r w:rsidRPr="00C462A0">
              <w:rPr>
                <w:rFonts w:cstheme="minorHAnsi"/>
                <w:b/>
                <w:color w:val="00AC4E" w:themeColor="accent1"/>
                <w:szCs w:val="20"/>
              </w:rPr>
              <w:t xml:space="preserve">Quick Check: </w:t>
            </w:r>
          </w:p>
          <w:p w14:paraId="6BCA8D83" w14:textId="6EB31B9F" w:rsidR="00753294" w:rsidRPr="00C462A0" w:rsidRDefault="006F6B6E" w:rsidP="00753294">
            <w:pPr>
              <w:pStyle w:val="ListParagraph"/>
              <w:numPr>
                <w:ilvl w:val="0"/>
                <w:numId w:val="407"/>
              </w:numPr>
              <w:jc w:val="both"/>
              <w:rPr>
                <w:rFonts w:cstheme="minorHAnsi"/>
                <w:bCs/>
                <w:szCs w:val="20"/>
              </w:rPr>
            </w:pPr>
            <w:r w:rsidRPr="00C462A0">
              <w:rPr>
                <w:rFonts w:cstheme="minorHAnsi"/>
                <w:bCs/>
                <w:color w:val="009889" w:themeColor="accent2"/>
                <w:szCs w:val="20"/>
              </w:rPr>
              <w:t xml:space="preserve">True or False: An organisation stores comprehensive audit logs for its ESG platform but allows database administrators to modify or delete log entries without independent oversight. In such a configuration, audit trails may fail to satisfy evidentiary and GDPR accountability requirements. </w:t>
            </w:r>
          </w:p>
          <w:p w14:paraId="36AACF8D" w14:textId="77777777" w:rsidR="00753294" w:rsidRPr="00C462A0" w:rsidRDefault="00753294" w:rsidP="00753294">
            <w:pPr>
              <w:pStyle w:val="ListParagraph"/>
              <w:ind w:left="360"/>
              <w:jc w:val="both"/>
              <w:rPr>
                <w:rFonts w:cstheme="minorHAnsi"/>
                <w:bCs/>
                <w:szCs w:val="20"/>
              </w:rPr>
            </w:pPr>
          </w:p>
          <w:p w14:paraId="2744AEE2" w14:textId="322D680B" w:rsidR="006F6B6E" w:rsidRPr="00C462A0" w:rsidRDefault="006F6B6E" w:rsidP="006F6B6E">
            <w:pPr>
              <w:pStyle w:val="ListParagraph"/>
              <w:numPr>
                <w:ilvl w:val="0"/>
                <w:numId w:val="407"/>
              </w:numPr>
              <w:jc w:val="both"/>
              <w:rPr>
                <w:rFonts w:cstheme="minorHAnsi"/>
                <w:bCs/>
                <w:color w:val="009889" w:themeColor="accent2"/>
                <w:szCs w:val="20"/>
              </w:rPr>
            </w:pPr>
            <w:r w:rsidRPr="00C462A0">
              <w:rPr>
                <w:rFonts w:cstheme="minorHAnsi"/>
                <w:bCs/>
                <w:color w:val="009889" w:themeColor="accent2"/>
                <w:szCs w:val="20"/>
              </w:rPr>
              <w:t xml:space="preserve">2. A smart grid operator logs all access to substation control systems but does not record failed authentication attempts. Which risk is most directly increased? </w:t>
            </w:r>
          </w:p>
          <w:p w14:paraId="10F5CB07" w14:textId="77777777" w:rsidR="006F6B6E" w:rsidRPr="00C462A0" w:rsidRDefault="006F6B6E" w:rsidP="006F6B6E">
            <w:pPr>
              <w:pStyle w:val="ListParagraph"/>
              <w:numPr>
                <w:ilvl w:val="0"/>
                <w:numId w:val="405"/>
              </w:numPr>
              <w:jc w:val="both"/>
              <w:rPr>
                <w:rFonts w:cstheme="minorHAnsi"/>
                <w:bCs/>
                <w:szCs w:val="20"/>
              </w:rPr>
            </w:pPr>
            <w:r w:rsidRPr="00C462A0">
              <w:rPr>
                <w:rFonts w:cstheme="minorHAnsi"/>
                <w:bCs/>
                <w:szCs w:val="20"/>
              </w:rPr>
              <w:t>Reduced data storage efficiency</w:t>
            </w:r>
          </w:p>
          <w:p w14:paraId="407A847D" w14:textId="77777777" w:rsidR="006F6B6E" w:rsidRPr="00C462A0" w:rsidRDefault="006F6B6E" w:rsidP="006F6B6E">
            <w:pPr>
              <w:pStyle w:val="ListParagraph"/>
              <w:numPr>
                <w:ilvl w:val="0"/>
                <w:numId w:val="405"/>
              </w:numPr>
              <w:jc w:val="both"/>
              <w:rPr>
                <w:rFonts w:cstheme="minorHAnsi"/>
                <w:bCs/>
                <w:szCs w:val="20"/>
              </w:rPr>
            </w:pPr>
            <w:r w:rsidRPr="00C462A0">
              <w:rPr>
                <w:rFonts w:cstheme="minorHAnsi"/>
                <w:bCs/>
                <w:szCs w:val="20"/>
              </w:rPr>
              <w:t>Inability to detect brute-force or credential-based attack attempts</w:t>
            </w:r>
          </w:p>
          <w:p w14:paraId="37398B0C" w14:textId="77777777" w:rsidR="006F6B6E" w:rsidRPr="00C462A0" w:rsidRDefault="006F6B6E" w:rsidP="006F6B6E">
            <w:pPr>
              <w:pStyle w:val="ListParagraph"/>
              <w:numPr>
                <w:ilvl w:val="0"/>
                <w:numId w:val="405"/>
              </w:numPr>
              <w:jc w:val="both"/>
              <w:rPr>
                <w:rFonts w:cstheme="minorHAnsi"/>
                <w:bCs/>
                <w:szCs w:val="20"/>
              </w:rPr>
            </w:pPr>
            <w:r w:rsidRPr="00C462A0">
              <w:rPr>
                <w:rFonts w:cstheme="minorHAnsi"/>
                <w:bCs/>
                <w:szCs w:val="20"/>
              </w:rPr>
              <w:t>Loss of encryption strength</w:t>
            </w:r>
          </w:p>
          <w:p w14:paraId="6FF1911F" w14:textId="77777777" w:rsidR="006F6B6E" w:rsidRPr="00C462A0" w:rsidRDefault="006F6B6E" w:rsidP="006F6B6E">
            <w:pPr>
              <w:pStyle w:val="ListParagraph"/>
              <w:numPr>
                <w:ilvl w:val="0"/>
                <w:numId w:val="405"/>
              </w:numPr>
              <w:jc w:val="both"/>
              <w:rPr>
                <w:rFonts w:cstheme="minorHAnsi"/>
                <w:bCs/>
                <w:szCs w:val="20"/>
              </w:rPr>
            </w:pPr>
            <w:r w:rsidRPr="00C462A0">
              <w:rPr>
                <w:rFonts w:cstheme="minorHAnsi"/>
                <w:bCs/>
                <w:szCs w:val="20"/>
              </w:rPr>
              <w:t>Over-compliance with GDPR.</w:t>
            </w:r>
          </w:p>
          <w:p w14:paraId="4F3E4060" w14:textId="77777777" w:rsidR="00753294" w:rsidRPr="00C462A0" w:rsidRDefault="00753294" w:rsidP="00753294">
            <w:pPr>
              <w:pStyle w:val="ListParagraph"/>
              <w:jc w:val="both"/>
              <w:rPr>
                <w:rFonts w:cstheme="minorHAnsi"/>
                <w:bCs/>
                <w:szCs w:val="20"/>
              </w:rPr>
            </w:pPr>
          </w:p>
          <w:p w14:paraId="44ED9855" w14:textId="602FFFE4" w:rsidR="006F6B6E" w:rsidRPr="00C462A0" w:rsidRDefault="006F6B6E" w:rsidP="006F6B6E">
            <w:pPr>
              <w:pStyle w:val="ListParagraph"/>
              <w:numPr>
                <w:ilvl w:val="0"/>
                <w:numId w:val="407"/>
              </w:numPr>
              <w:jc w:val="both"/>
              <w:rPr>
                <w:rFonts w:cstheme="minorHAnsi"/>
                <w:bCs/>
                <w:color w:val="009889" w:themeColor="accent2"/>
                <w:szCs w:val="20"/>
              </w:rPr>
            </w:pPr>
            <w:r w:rsidRPr="00C462A0">
              <w:rPr>
                <w:rFonts w:cstheme="minorHAnsi"/>
                <w:bCs/>
                <w:color w:val="009889" w:themeColor="accent2"/>
                <w:szCs w:val="20"/>
              </w:rPr>
              <w:t xml:space="preserve">An ESG reporting platform retains detailed access logs indefinitely, including user identifiers and IP addresses, without a defined retention policy. Which GDPR principle is most likely at risk? </w:t>
            </w:r>
          </w:p>
          <w:p w14:paraId="69F9D71C" w14:textId="77777777" w:rsidR="006F6B6E" w:rsidRPr="00C462A0" w:rsidRDefault="006F6B6E" w:rsidP="006F6B6E">
            <w:pPr>
              <w:pStyle w:val="ListParagraph"/>
              <w:numPr>
                <w:ilvl w:val="0"/>
                <w:numId w:val="406"/>
              </w:numPr>
              <w:jc w:val="both"/>
              <w:rPr>
                <w:rFonts w:cstheme="minorHAnsi"/>
                <w:bCs/>
                <w:szCs w:val="20"/>
              </w:rPr>
            </w:pPr>
            <w:r w:rsidRPr="00C462A0">
              <w:rPr>
                <w:rFonts w:cstheme="minorHAnsi"/>
                <w:bCs/>
                <w:szCs w:val="20"/>
              </w:rPr>
              <w:t>Data minimisation and storage limitation</w:t>
            </w:r>
          </w:p>
          <w:p w14:paraId="30BE2C08" w14:textId="77777777" w:rsidR="006F6B6E" w:rsidRPr="00C462A0" w:rsidRDefault="006F6B6E" w:rsidP="006F6B6E">
            <w:pPr>
              <w:pStyle w:val="ListParagraph"/>
              <w:numPr>
                <w:ilvl w:val="0"/>
                <w:numId w:val="406"/>
              </w:numPr>
              <w:jc w:val="both"/>
              <w:rPr>
                <w:rFonts w:cstheme="minorHAnsi"/>
                <w:bCs/>
                <w:szCs w:val="20"/>
              </w:rPr>
            </w:pPr>
            <w:r w:rsidRPr="00C462A0">
              <w:rPr>
                <w:rFonts w:cstheme="minorHAnsi"/>
                <w:bCs/>
                <w:szCs w:val="20"/>
              </w:rPr>
              <w:t>Availability and resilience</w:t>
            </w:r>
          </w:p>
          <w:p w14:paraId="31F821A8" w14:textId="77777777" w:rsidR="006F6B6E" w:rsidRPr="00C462A0" w:rsidRDefault="006F6B6E" w:rsidP="006F6B6E">
            <w:pPr>
              <w:pStyle w:val="ListParagraph"/>
              <w:numPr>
                <w:ilvl w:val="0"/>
                <w:numId w:val="406"/>
              </w:numPr>
              <w:jc w:val="both"/>
              <w:rPr>
                <w:rFonts w:cstheme="minorHAnsi"/>
                <w:bCs/>
                <w:szCs w:val="20"/>
              </w:rPr>
            </w:pPr>
            <w:r w:rsidRPr="00C462A0">
              <w:rPr>
                <w:rFonts w:cstheme="minorHAnsi"/>
                <w:bCs/>
                <w:szCs w:val="20"/>
              </w:rPr>
              <w:t>Encryption and pseudonymisation</w:t>
            </w:r>
          </w:p>
          <w:p w14:paraId="38ACC161" w14:textId="77777777" w:rsidR="006F6B6E" w:rsidRPr="00C462A0" w:rsidRDefault="006F6B6E" w:rsidP="006F6B6E">
            <w:pPr>
              <w:pStyle w:val="ListParagraph"/>
              <w:numPr>
                <w:ilvl w:val="0"/>
                <w:numId w:val="406"/>
              </w:numPr>
              <w:jc w:val="both"/>
              <w:rPr>
                <w:rFonts w:cstheme="minorHAnsi"/>
                <w:bCs/>
                <w:szCs w:val="20"/>
              </w:rPr>
            </w:pPr>
            <w:r w:rsidRPr="00C462A0">
              <w:rPr>
                <w:rFonts w:cstheme="minorHAnsi"/>
                <w:bCs/>
                <w:szCs w:val="20"/>
              </w:rPr>
              <w:t>Network segmentation</w:t>
            </w:r>
            <w:r w:rsidR="00753294" w:rsidRPr="00C462A0">
              <w:rPr>
                <w:rFonts w:cstheme="minorHAnsi"/>
                <w:bCs/>
                <w:szCs w:val="20"/>
              </w:rPr>
              <w:t>.</w:t>
            </w:r>
          </w:p>
          <w:p w14:paraId="49AC5E5C" w14:textId="77777777" w:rsidR="00753294" w:rsidRPr="00C462A0" w:rsidRDefault="00753294" w:rsidP="00753294">
            <w:pPr>
              <w:jc w:val="both"/>
              <w:rPr>
                <w:rFonts w:cstheme="minorHAnsi"/>
                <w:bCs/>
                <w:szCs w:val="20"/>
              </w:rPr>
            </w:pPr>
          </w:p>
          <w:p w14:paraId="189FA1F6" w14:textId="1A5E9327" w:rsidR="00753294" w:rsidRPr="00C462A0" w:rsidRDefault="00753294" w:rsidP="00753294">
            <w:pPr>
              <w:jc w:val="both"/>
              <w:rPr>
                <w:rFonts w:cstheme="minorHAnsi"/>
                <w:bCs/>
                <w:i/>
                <w:iCs/>
                <w:szCs w:val="20"/>
              </w:rPr>
            </w:pPr>
            <w:r w:rsidRPr="00C462A0">
              <w:rPr>
                <w:rFonts w:cstheme="minorHAnsi"/>
                <w:bCs/>
                <w:i/>
                <w:iCs/>
                <w:szCs w:val="20"/>
              </w:rPr>
              <w:t xml:space="preserve">Answer key: 1. true; 2. b), 3. c). </w:t>
            </w:r>
          </w:p>
        </w:tc>
      </w:tr>
    </w:tbl>
    <w:p w14:paraId="3D12BF38" w14:textId="77777777" w:rsidR="00C45000" w:rsidRDefault="00C45000" w:rsidP="00C45000"/>
    <w:p w14:paraId="02A5DA1C" w14:textId="77777777" w:rsidR="00C462A0" w:rsidRDefault="00C462A0" w:rsidP="00C45000"/>
    <w:p w14:paraId="1E0C7182" w14:textId="77777777" w:rsidR="00C462A0" w:rsidRDefault="00C462A0" w:rsidP="00C45000"/>
    <w:p w14:paraId="0F0EDB7D" w14:textId="77777777" w:rsidR="00C462A0" w:rsidRDefault="00C462A0" w:rsidP="00C45000"/>
    <w:p w14:paraId="3112C569" w14:textId="77777777" w:rsidR="00C462A0" w:rsidRDefault="00C462A0" w:rsidP="00C45000"/>
    <w:p w14:paraId="41CB42D8" w14:textId="77777777" w:rsidR="00C462A0" w:rsidRDefault="00C462A0" w:rsidP="00C45000"/>
    <w:p w14:paraId="6469215A" w14:textId="77777777" w:rsidR="00C462A0" w:rsidRDefault="00C462A0" w:rsidP="00C45000"/>
    <w:p w14:paraId="55BFFFDD" w14:textId="77777777" w:rsidR="00C462A0" w:rsidRDefault="00C462A0" w:rsidP="00C45000"/>
    <w:p w14:paraId="70C50A5C" w14:textId="77777777" w:rsidR="00C462A0" w:rsidRDefault="00C462A0" w:rsidP="00C45000"/>
    <w:p w14:paraId="26C0D7BC" w14:textId="77777777" w:rsidR="00C462A0" w:rsidRDefault="00C462A0" w:rsidP="00C45000"/>
    <w:tbl>
      <w:tblPr>
        <w:tblStyle w:val="TableGrid"/>
        <w:tblW w:w="0" w:type="auto"/>
        <w:tblLook w:val="04A0" w:firstRow="1" w:lastRow="0" w:firstColumn="1" w:lastColumn="0" w:noHBand="0" w:noVBand="1"/>
      </w:tblPr>
      <w:tblGrid>
        <w:gridCol w:w="9628"/>
      </w:tblGrid>
      <w:tr w:rsidR="00475992" w:rsidRPr="00C462A0" w14:paraId="239440E3" w14:textId="77777777" w:rsidTr="00210B7E">
        <w:tc>
          <w:tcPr>
            <w:tcW w:w="9628" w:type="dxa"/>
            <w:shd w:val="clear" w:color="auto" w:fill="FFFFFF" w:themeFill="background1"/>
          </w:tcPr>
          <w:p w14:paraId="19B082BD" w14:textId="527DA12C" w:rsidR="00475992" w:rsidRPr="00C462A0" w:rsidRDefault="00475992" w:rsidP="00210B7E">
            <w:pPr>
              <w:pStyle w:val="Heading2"/>
              <w:numPr>
                <w:ilvl w:val="0"/>
                <w:numId w:val="0"/>
              </w:numPr>
              <w:spacing w:line="276" w:lineRule="auto"/>
              <w:rPr>
                <w:rFonts w:cstheme="minorHAnsi"/>
                <w:szCs w:val="20"/>
              </w:rPr>
            </w:pPr>
            <w:bookmarkStart w:id="61" w:name="_Toc227623417"/>
            <w:r w:rsidRPr="00C462A0">
              <w:lastRenderedPageBreak/>
              <w:t>Module 3: Conclusion and Self-Assessment</w:t>
            </w:r>
            <w:bookmarkEnd w:id="61"/>
          </w:p>
        </w:tc>
      </w:tr>
      <w:tr w:rsidR="00475992" w:rsidRPr="00C462A0" w14:paraId="1071E244" w14:textId="77777777" w:rsidTr="00210B7E">
        <w:tc>
          <w:tcPr>
            <w:tcW w:w="9628" w:type="dxa"/>
            <w:shd w:val="clear" w:color="auto" w:fill="D9D9D9" w:themeFill="background1" w:themeFillShade="D9"/>
          </w:tcPr>
          <w:p w14:paraId="098A0F19" w14:textId="77777777" w:rsidR="00475992" w:rsidRPr="00C462A0" w:rsidRDefault="00475992" w:rsidP="00210B7E">
            <w:pPr>
              <w:spacing w:line="276" w:lineRule="auto"/>
              <w:rPr>
                <w:rFonts w:cstheme="minorHAnsi"/>
                <w:b/>
                <w:bCs/>
                <w:szCs w:val="20"/>
              </w:rPr>
            </w:pPr>
            <w:r w:rsidRPr="00C462A0">
              <w:rPr>
                <w:rFonts w:cstheme="minorHAnsi"/>
                <w:b/>
                <w:bCs/>
                <w:szCs w:val="20"/>
              </w:rPr>
              <w:t>Module Summary:</w:t>
            </w:r>
          </w:p>
        </w:tc>
      </w:tr>
      <w:tr w:rsidR="00475992" w:rsidRPr="00C462A0" w14:paraId="7222DEE1" w14:textId="77777777" w:rsidTr="00210B7E">
        <w:tc>
          <w:tcPr>
            <w:tcW w:w="9628" w:type="dxa"/>
          </w:tcPr>
          <w:p w14:paraId="4B5A1AF3" w14:textId="77777777" w:rsidR="00475992" w:rsidRPr="00C462A0" w:rsidRDefault="00475992" w:rsidP="00475992">
            <w:pPr>
              <w:pStyle w:val="NoSpacing"/>
              <w:jc w:val="both"/>
              <w:rPr>
                <w:rFonts w:cstheme="minorHAnsi"/>
                <w:bCs/>
                <w:sz w:val="20"/>
                <w:szCs w:val="20"/>
                <w:lang w:val="en-GB"/>
              </w:rPr>
            </w:pPr>
            <w:r w:rsidRPr="00C462A0">
              <w:rPr>
                <w:rFonts w:cstheme="minorHAnsi"/>
                <w:bCs/>
                <w:sz w:val="20"/>
                <w:szCs w:val="20"/>
                <w:lang w:val="en-GB"/>
              </w:rPr>
              <w:t xml:space="preserve"> Module 3 explored the intersection of cybersecurity, data protection, and regulatory compliance within sustainable digital infrastructures. It focuses on governance mechanisms designed to ensure lawful, accountable, and secure data processing across Energy Management Systems, IoT environments, smart grids, and ESG platforms.</w:t>
            </w:r>
          </w:p>
          <w:p w14:paraId="5AC8B285" w14:textId="77777777" w:rsidR="00475992" w:rsidRPr="00C462A0" w:rsidRDefault="00475992" w:rsidP="00475992">
            <w:pPr>
              <w:pStyle w:val="NoSpacing"/>
              <w:jc w:val="both"/>
              <w:rPr>
                <w:rFonts w:cstheme="minorHAnsi"/>
                <w:bCs/>
                <w:sz w:val="20"/>
                <w:szCs w:val="20"/>
                <w:lang w:val="en-GB"/>
              </w:rPr>
            </w:pPr>
            <w:r w:rsidRPr="00C462A0">
              <w:rPr>
                <w:rFonts w:cstheme="minorHAnsi"/>
                <w:bCs/>
                <w:sz w:val="20"/>
                <w:szCs w:val="20"/>
                <w:lang w:val="en-GB"/>
              </w:rPr>
              <w:t>Topic 3.1 presented access control as a core safeguard supporting confidentiality, integrity, and accountability. Learners examined identification, authentication, and authorisation processes, as well as role-based and attribute-based models, and governance principles such as least privilege and separation of duties.</w:t>
            </w:r>
          </w:p>
          <w:p w14:paraId="607574C7" w14:textId="77777777" w:rsidR="00475992" w:rsidRPr="00C462A0" w:rsidRDefault="00475992" w:rsidP="00475992">
            <w:pPr>
              <w:pStyle w:val="NoSpacing"/>
              <w:jc w:val="both"/>
              <w:rPr>
                <w:rFonts w:cstheme="minorHAnsi"/>
                <w:bCs/>
                <w:sz w:val="20"/>
                <w:szCs w:val="20"/>
                <w:lang w:val="en-GB"/>
              </w:rPr>
            </w:pPr>
            <w:r w:rsidRPr="00C462A0">
              <w:rPr>
                <w:rFonts w:cstheme="minorHAnsi"/>
                <w:bCs/>
                <w:sz w:val="20"/>
                <w:szCs w:val="20"/>
                <w:lang w:val="en-GB"/>
              </w:rPr>
              <w:t>Topic 3.2 analysed encryption technologies, distinguishing between symmetric and asymmetric approaches and assessing their application to data in transit and data at rest. Attention was given to secure key management and the link between encryption practices and regulatory compliance.</w:t>
            </w:r>
          </w:p>
          <w:p w14:paraId="150DD5AE" w14:textId="77777777" w:rsidR="00475992" w:rsidRPr="00C462A0" w:rsidRDefault="00475992" w:rsidP="00475992">
            <w:pPr>
              <w:pStyle w:val="NoSpacing"/>
              <w:jc w:val="both"/>
              <w:rPr>
                <w:rFonts w:cstheme="minorHAnsi"/>
                <w:bCs/>
                <w:sz w:val="20"/>
                <w:szCs w:val="20"/>
                <w:lang w:val="en-GB"/>
              </w:rPr>
            </w:pPr>
            <w:r w:rsidRPr="00C462A0">
              <w:rPr>
                <w:rFonts w:cstheme="minorHAnsi"/>
                <w:bCs/>
                <w:sz w:val="20"/>
                <w:szCs w:val="20"/>
                <w:lang w:val="en-GB"/>
              </w:rPr>
              <w:t>Topic 3.3 focused on GDPR alignment and its ongoing evolution, highlighting the transition toward a risk-based accountability framework. Learners reviewed core principles, Data Protection Impact Assessments (DPIAs), and the integration of technical safeguards within broader governance structures.</w:t>
            </w:r>
          </w:p>
          <w:p w14:paraId="4ECB3074" w14:textId="77777777" w:rsidR="00475992" w:rsidRPr="00C462A0" w:rsidRDefault="00475992" w:rsidP="00475992">
            <w:pPr>
              <w:pStyle w:val="NoSpacing"/>
              <w:jc w:val="both"/>
              <w:rPr>
                <w:rFonts w:cstheme="minorHAnsi"/>
                <w:bCs/>
                <w:sz w:val="20"/>
                <w:szCs w:val="20"/>
                <w:lang w:val="en-GB"/>
              </w:rPr>
            </w:pPr>
            <w:r w:rsidRPr="00C462A0">
              <w:rPr>
                <w:rFonts w:cstheme="minorHAnsi"/>
                <w:bCs/>
                <w:sz w:val="20"/>
                <w:szCs w:val="20"/>
                <w:lang w:val="en-GB"/>
              </w:rPr>
              <w:t>Topic 3.4 introduced audit trails, emphasising traceability, evidentiary reliability, and compliance documentation. The role of logging in incident response, forensic investigation, and supervisory authority audits was examined.</w:t>
            </w:r>
          </w:p>
          <w:p w14:paraId="640EAD7A" w14:textId="77777777" w:rsidR="00475992" w:rsidRPr="00C462A0" w:rsidRDefault="00475992" w:rsidP="00475992">
            <w:pPr>
              <w:pStyle w:val="NoSpacing"/>
              <w:jc w:val="both"/>
              <w:rPr>
                <w:rFonts w:cstheme="minorHAnsi"/>
                <w:bCs/>
                <w:sz w:val="20"/>
                <w:szCs w:val="20"/>
                <w:lang w:val="en-GB"/>
              </w:rPr>
            </w:pPr>
            <w:r w:rsidRPr="00C462A0">
              <w:rPr>
                <w:rFonts w:cstheme="minorHAnsi"/>
                <w:bCs/>
                <w:sz w:val="20"/>
                <w:szCs w:val="20"/>
                <w:lang w:val="en-GB"/>
              </w:rPr>
              <w:t>Taken together, Module 3 enhanced learners’ ability to integrate technical safeguards, such as access control, encryption, and logging, with regulatory accountability requirements, forming the compliance and governance dimension of the Capstone Project.</w:t>
            </w:r>
          </w:p>
          <w:p w14:paraId="22220B45" w14:textId="77777777" w:rsidR="00475992" w:rsidRPr="00C462A0" w:rsidRDefault="00475992" w:rsidP="00475992">
            <w:pPr>
              <w:pStyle w:val="NoSpacing"/>
              <w:jc w:val="both"/>
              <w:rPr>
                <w:rFonts w:cstheme="minorHAnsi"/>
                <w:sz w:val="20"/>
                <w:szCs w:val="20"/>
                <w:lang w:val="en-GB"/>
              </w:rPr>
            </w:pPr>
          </w:p>
          <w:p w14:paraId="0F1729C4" w14:textId="77777777" w:rsidR="00475992" w:rsidRPr="00C462A0" w:rsidRDefault="00475992" w:rsidP="00475992">
            <w:pPr>
              <w:pStyle w:val="NoSpacing"/>
              <w:jc w:val="both"/>
              <w:rPr>
                <w:rFonts w:cstheme="minorHAnsi"/>
                <w:b/>
                <w:bCs/>
                <w:color w:val="00AC4D"/>
                <w:sz w:val="20"/>
                <w:szCs w:val="20"/>
                <w:lang w:val="en-GB"/>
              </w:rPr>
            </w:pPr>
            <w:r w:rsidRPr="00C462A0">
              <w:rPr>
                <w:rFonts w:cstheme="minorHAnsi"/>
                <w:b/>
                <w:bCs/>
                <w:color w:val="00AC4D"/>
                <w:sz w:val="20"/>
                <w:szCs w:val="20"/>
                <w:lang w:val="en-GB"/>
              </w:rPr>
              <w:t>Module Knowledge Quiz</w:t>
            </w:r>
          </w:p>
          <w:p w14:paraId="40F186FF" w14:textId="6BAB287B" w:rsidR="00475992" w:rsidRPr="00C462A0" w:rsidRDefault="00475992" w:rsidP="00475992">
            <w:pPr>
              <w:pStyle w:val="NoSpacing"/>
              <w:numPr>
                <w:ilvl w:val="0"/>
                <w:numId w:val="411"/>
              </w:numPr>
              <w:ind w:left="360"/>
              <w:jc w:val="both"/>
              <w:rPr>
                <w:rFonts w:cstheme="minorHAnsi"/>
                <w:bCs/>
                <w:color w:val="009889" w:themeColor="accent2"/>
                <w:sz w:val="20"/>
                <w:szCs w:val="20"/>
                <w:lang w:val="en-GB"/>
              </w:rPr>
            </w:pPr>
            <w:r w:rsidRPr="00C462A0">
              <w:rPr>
                <w:rFonts w:cstheme="minorHAnsi"/>
                <w:bCs/>
                <w:color w:val="009889" w:themeColor="accent2"/>
                <w:sz w:val="20"/>
                <w:szCs w:val="20"/>
                <w:lang w:val="en-GB"/>
              </w:rPr>
              <w:t xml:space="preserve">An ESG platform implements strong encryption and multi-factor authentication but does not conduct periodic access reviews for privileged users. Which governance risk remains most significant? </w:t>
            </w:r>
          </w:p>
          <w:p w14:paraId="0CD4BA82" w14:textId="77777777" w:rsidR="00475992" w:rsidRPr="00C462A0" w:rsidRDefault="00475992" w:rsidP="00475992">
            <w:pPr>
              <w:pStyle w:val="NoSpacing"/>
              <w:numPr>
                <w:ilvl w:val="0"/>
                <w:numId w:val="418"/>
              </w:numPr>
              <w:jc w:val="both"/>
              <w:rPr>
                <w:rFonts w:cstheme="minorHAnsi"/>
                <w:bCs/>
                <w:sz w:val="20"/>
                <w:szCs w:val="20"/>
                <w:lang w:val="en-GB"/>
              </w:rPr>
            </w:pPr>
            <w:r w:rsidRPr="00C462A0">
              <w:rPr>
                <w:rFonts w:cstheme="minorHAnsi"/>
                <w:bCs/>
                <w:sz w:val="20"/>
                <w:szCs w:val="20"/>
                <w:lang w:val="en-GB"/>
              </w:rPr>
              <w:t>Reduced encryption performance</w:t>
            </w:r>
          </w:p>
          <w:p w14:paraId="5803C6D8" w14:textId="77777777" w:rsidR="00475992" w:rsidRPr="00C462A0" w:rsidRDefault="00475992" w:rsidP="00475992">
            <w:pPr>
              <w:pStyle w:val="NoSpacing"/>
              <w:numPr>
                <w:ilvl w:val="0"/>
                <w:numId w:val="418"/>
              </w:numPr>
              <w:jc w:val="both"/>
              <w:rPr>
                <w:rFonts w:cstheme="minorHAnsi"/>
                <w:bCs/>
                <w:sz w:val="20"/>
                <w:szCs w:val="20"/>
                <w:lang w:val="en-GB"/>
              </w:rPr>
            </w:pPr>
            <w:r w:rsidRPr="00C462A0">
              <w:rPr>
                <w:rFonts w:cstheme="minorHAnsi"/>
                <w:bCs/>
                <w:sz w:val="20"/>
                <w:szCs w:val="20"/>
                <w:lang w:val="en-GB"/>
              </w:rPr>
              <w:t>Excessive network segmentation</w:t>
            </w:r>
          </w:p>
          <w:p w14:paraId="23F04076" w14:textId="77777777" w:rsidR="00475992" w:rsidRPr="00C462A0" w:rsidRDefault="00475992" w:rsidP="00475992">
            <w:pPr>
              <w:pStyle w:val="NoSpacing"/>
              <w:numPr>
                <w:ilvl w:val="0"/>
                <w:numId w:val="418"/>
              </w:numPr>
              <w:jc w:val="both"/>
              <w:rPr>
                <w:rFonts w:cstheme="minorHAnsi"/>
                <w:bCs/>
                <w:sz w:val="20"/>
                <w:szCs w:val="20"/>
                <w:lang w:val="en-GB"/>
              </w:rPr>
            </w:pPr>
            <w:r w:rsidRPr="00C462A0">
              <w:rPr>
                <w:rFonts w:cstheme="minorHAnsi"/>
                <w:bCs/>
                <w:sz w:val="20"/>
                <w:szCs w:val="20"/>
                <w:lang w:val="en-GB"/>
              </w:rPr>
              <w:t>Accumulation of unjustified privileges violating accountability principles</w:t>
            </w:r>
          </w:p>
          <w:p w14:paraId="6DF209E8" w14:textId="6D85BFCE" w:rsidR="00475992" w:rsidRPr="00C462A0" w:rsidRDefault="00475992" w:rsidP="00475992">
            <w:pPr>
              <w:pStyle w:val="NoSpacing"/>
              <w:numPr>
                <w:ilvl w:val="0"/>
                <w:numId w:val="418"/>
              </w:numPr>
              <w:jc w:val="both"/>
              <w:rPr>
                <w:rFonts w:cstheme="minorHAnsi"/>
                <w:bCs/>
                <w:sz w:val="20"/>
                <w:szCs w:val="20"/>
                <w:lang w:val="en-GB"/>
              </w:rPr>
            </w:pPr>
            <w:r w:rsidRPr="00C462A0">
              <w:rPr>
                <w:rFonts w:cstheme="minorHAnsi"/>
                <w:bCs/>
                <w:sz w:val="20"/>
                <w:szCs w:val="20"/>
                <w:lang w:val="en-GB"/>
              </w:rPr>
              <w:t>Elimination of data minimisation requirements.</w:t>
            </w:r>
          </w:p>
          <w:p w14:paraId="36A6136B" w14:textId="77777777" w:rsidR="00475992" w:rsidRPr="00C462A0" w:rsidRDefault="00475992" w:rsidP="00475992">
            <w:pPr>
              <w:pStyle w:val="NoSpacing"/>
              <w:ind w:left="720"/>
              <w:jc w:val="both"/>
              <w:rPr>
                <w:rFonts w:cstheme="minorHAnsi"/>
                <w:bCs/>
                <w:sz w:val="20"/>
                <w:szCs w:val="20"/>
                <w:lang w:val="en-GB"/>
              </w:rPr>
            </w:pPr>
          </w:p>
          <w:p w14:paraId="7972F9F8" w14:textId="6497734E" w:rsidR="00475992" w:rsidRPr="00C462A0" w:rsidRDefault="00475992" w:rsidP="00475992">
            <w:pPr>
              <w:pStyle w:val="NoSpacing"/>
              <w:numPr>
                <w:ilvl w:val="0"/>
                <w:numId w:val="413"/>
              </w:numPr>
              <w:ind w:left="360"/>
              <w:jc w:val="both"/>
              <w:rPr>
                <w:rFonts w:cstheme="minorHAnsi"/>
                <w:bCs/>
                <w:color w:val="009889" w:themeColor="accent2"/>
                <w:sz w:val="20"/>
                <w:szCs w:val="20"/>
                <w:lang w:val="en-GB"/>
              </w:rPr>
            </w:pPr>
            <w:r w:rsidRPr="00C462A0">
              <w:rPr>
                <w:rFonts w:cstheme="minorHAnsi"/>
                <w:bCs/>
                <w:color w:val="009889" w:themeColor="accent2"/>
                <w:sz w:val="20"/>
                <w:szCs w:val="20"/>
                <w:lang w:val="en-GB"/>
              </w:rPr>
              <w:t xml:space="preserve">True or False: Under a risk-based compliance model, technical safeguards such as encryption must be supported by documentation and demonstrable accountability mechanisms. </w:t>
            </w:r>
          </w:p>
          <w:p w14:paraId="73BBEBF0" w14:textId="212F56B9" w:rsidR="00475992" w:rsidRPr="00C462A0" w:rsidRDefault="00475992" w:rsidP="00475992">
            <w:pPr>
              <w:pStyle w:val="NoSpacing"/>
              <w:jc w:val="both"/>
              <w:rPr>
                <w:rFonts w:cstheme="minorHAnsi"/>
                <w:b/>
                <w:sz w:val="20"/>
                <w:szCs w:val="20"/>
                <w:lang w:val="en-GB"/>
              </w:rPr>
            </w:pPr>
          </w:p>
          <w:p w14:paraId="0B5750EC" w14:textId="7EB73E57" w:rsidR="00475992" w:rsidRPr="00C462A0" w:rsidRDefault="00475992" w:rsidP="00475992">
            <w:pPr>
              <w:pStyle w:val="NoSpacing"/>
              <w:numPr>
                <w:ilvl w:val="0"/>
                <w:numId w:val="413"/>
              </w:numPr>
              <w:ind w:left="360"/>
              <w:jc w:val="both"/>
              <w:rPr>
                <w:rFonts w:cstheme="minorHAnsi"/>
                <w:bCs/>
                <w:color w:val="009889" w:themeColor="accent2"/>
                <w:sz w:val="20"/>
                <w:szCs w:val="20"/>
                <w:lang w:val="en-GB"/>
              </w:rPr>
            </w:pPr>
            <w:r w:rsidRPr="00C462A0">
              <w:rPr>
                <w:rFonts w:cstheme="minorHAnsi"/>
                <w:bCs/>
                <w:color w:val="009889" w:themeColor="accent2"/>
                <w:sz w:val="20"/>
                <w:szCs w:val="20"/>
                <w:lang w:val="en-GB"/>
              </w:rPr>
              <w:t xml:space="preserve">A smart grid operator collects detailed household consumption data and stores audit logs indefinitely without reviewing necessity or retention requirements. Which combination of risks is most evident? </w:t>
            </w:r>
          </w:p>
          <w:p w14:paraId="2FC83598" w14:textId="77777777" w:rsidR="00475992" w:rsidRPr="00C462A0" w:rsidRDefault="00475992" w:rsidP="00475992">
            <w:pPr>
              <w:pStyle w:val="NoSpacing"/>
              <w:numPr>
                <w:ilvl w:val="0"/>
                <w:numId w:val="419"/>
              </w:numPr>
              <w:jc w:val="both"/>
              <w:rPr>
                <w:rFonts w:cstheme="minorHAnsi"/>
                <w:bCs/>
                <w:sz w:val="20"/>
                <w:szCs w:val="20"/>
                <w:lang w:val="en-GB"/>
              </w:rPr>
            </w:pPr>
            <w:r w:rsidRPr="00C462A0">
              <w:rPr>
                <w:rFonts w:cstheme="minorHAnsi"/>
                <w:bCs/>
                <w:sz w:val="20"/>
                <w:szCs w:val="20"/>
                <w:lang w:val="en-GB"/>
              </w:rPr>
              <w:t>Over-segmentation and encryption failure</w:t>
            </w:r>
          </w:p>
          <w:p w14:paraId="2EBCC31D" w14:textId="77777777" w:rsidR="00475992" w:rsidRPr="00C462A0" w:rsidRDefault="00475992" w:rsidP="00475992">
            <w:pPr>
              <w:pStyle w:val="NoSpacing"/>
              <w:numPr>
                <w:ilvl w:val="0"/>
                <w:numId w:val="419"/>
              </w:numPr>
              <w:jc w:val="both"/>
              <w:rPr>
                <w:rFonts w:cstheme="minorHAnsi"/>
                <w:bCs/>
                <w:sz w:val="20"/>
                <w:szCs w:val="20"/>
                <w:lang w:val="en-GB"/>
              </w:rPr>
            </w:pPr>
            <w:r w:rsidRPr="00C462A0">
              <w:rPr>
                <w:rFonts w:cstheme="minorHAnsi"/>
                <w:bCs/>
                <w:sz w:val="20"/>
                <w:szCs w:val="20"/>
                <w:lang w:val="en-GB"/>
              </w:rPr>
              <w:t>Violation of storage limitation and potential data minimisation concerns</w:t>
            </w:r>
          </w:p>
          <w:p w14:paraId="1A960089" w14:textId="77777777" w:rsidR="00475992" w:rsidRPr="00C462A0" w:rsidRDefault="00475992" w:rsidP="00475992">
            <w:pPr>
              <w:pStyle w:val="NoSpacing"/>
              <w:numPr>
                <w:ilvl w:val="0"/>
                <w:numId w:val="419"/>
              </w:numPr>
              <w:jc w:val="both"/>
              <w:rPr>
                <w:rFonts w:cstheme="minorHAnsi"/>
                <w:bCs/>
                <w:sz w:val="20"/>
                <w:szCs w:val="20"/>
                <w:lang w:val="en-GB"/>
              </w:rPr>
            </w:pPr>
            <w:r w:rsidRPr="00C462A0">
              <w:rPr>
                <w:rFonts w:cstheme="minorHAnsi"/>
                <w:bCs/>
                <w:sz w:val="20"/>
                <w:szCs w:val="20"/>
                <w:lang w:val="en-GB"/>
              </w:rPr>
              <w:t>Reduced system availability</w:t>
            </w:r>
          </w:p>
          <w:p w14:paraId="04B8FA28" w14:textId="7AB150D1" w:rsidR="00475992" w:rsidRPr="00C462A0" w:rsidRDefault="00475992" w:rsidP="00C462A0">
            <w:pPr>
              <w:pStyle w:val="NoSpacing"/>
              <w:numPr>
                <w:ilvl w:val="0"/>
                <w:numId w:val="419"/>
              </w:numPr>
              <w:jc w:val="both"/>
              <w:rPr>
                <w:rFonts w:cstheme="minorHAnsi"/>
                <w:bCs/>
                <w:sz w:val="20"/>
                <w:szCs w:val="20"/>
                <w:lang w:val="en-GB"/>
              </w:rPr>
            </w:pPr>
            <w:r w:rsidRPr="00C462A0">
              <w:rPr>
                <w:rFonts w:cstheme="minorHAnsi"/>
                <w:bCs/>
                <w:sz w:val="20"/>
                <w:szCs w:val="20"/>
                <w:lang w:val="en-GB"/>
              </w:rPr>
              <w:t>Excessive pseudonymization.</w:t>
            </w:r>
          </w:p>
          <w:p w14:paraId="00745089" w14:textId="45FEEE68" w:rsidR="00475992" w:rsidRPr="00C462A0" w:rsidRDefault="00475992" w:rsidP="00475992">
            <w:pPr>
              <w:pStyle w:val="NoSpacing"/>
              <w:numPr>
                <w:ilvl w:val="0"/>
                <w:numId w:val="413"/>
              </w:numPr>
              <w:ind w:left="360"/>
              <w:jc w:val="both"/>
              <w:rPr>
                <w:rFonts w:cstheme="minorHAnsi"/>
                <w:bCs/>
                <w:color w:val="009889" w:themeColor="accent2"/>
                <w:sz w:val="20"/>
                <w:szCs w:val="20"/>
                <w:lang w:val="en-GB"/>
              </w:rPr>
            </w:pPr>
            <w:r w:rsidRPr="00C462A0">
              <w:rPr>
                <w:rFonts w:cstheme="minorHAnsi"/>
                <w:bCs/>
                <w:color w:val="009889" w:themeColor="accent2"/>
                <w:sz w:val="20"/>
                <w:szCs w:val="20"/>
                <w:lang w:val="en-GB"/>
              </w:rPr>
              <w:lastRenderedPageBreak/>
              <w:t xml:space="preserve">Which scenario most clearly demonstrates the failure of the separation of duties? </w:t>
            </w:r>
          </w:p>
          <w:p w14:paraId="09424BEC" w14:textId="77777777" w:rsidR="00475992" w:rsidRPr="00C462A0" w:rsidRDefault="00475992" w:rsidP="00475992">
            <w:pPr>
              <w:pStyle w:val="NoSpacing"/>
              <w:numPr>
                <w:ilvl w:val="0"/>
                <w:numId w:val="420"/>
              </w:numPr>
              <w:jc w:val="both"/>
              <w:rPr>
                <w:rFonts w:cstheme="minorHAnsi"/>
                <w:bCs/>
                <w:sz w:val="20"/>
                <w:szCs w:val="20"/>
                <w:lang w:val="en-GB"/>
              </w:rPr>
            </w:pPr>
            <w:r w:rsidRPr="00C462A0">
              <w:rPr>
                <w:rFonts w:cstheme="minorHAnsi"/>
                <w:bCs/>
                <w:sz w:val="20"/>
                <w:szCs w:val="20"/>
                <w:lang w:val="en-GB"/>
              </w:rPr>
              <w:t>An administrator configures encryption parameters</w:t>
            </w:r>
          </w:p>
          <w:p w14:paraId="4F676065" w14:textId="77777777" w:rsidR="00475992" w:rsidRPr="00C462A0" w:rsidRDefault="00475992" w:rsidP="00475992">
            <w:pPr>
              <w:pStyle w:val="NoSpacing"/>
              <w:numPr>
                <w:ilvl w:val="0"/>
                <w:numId w:val="420"/>
              </w:numPr>
              <w:jc w:val="both"/>
              <w:rPr>
                <w:rFonts w:cstheme="minorHAnsi"/>
                <w:bCs/>
                <w:sz w:val="20"/>
                <w:szCs w:val="20"/>
                <w:lang w:val="en-GB"/>
              </w:rPr>
            </w:pPr>
            <w:r w:rsidRPr="00C462A0">
              <w:rPr>
                <w:rFonts w:cstheme="minorHAnsi"/>
                <w:bCs/>
                <w:sz w:val="20"/>
                <w:szCs w:val="20"/>
                <w:lang w:val="en-GB"/>
              </w:rPr>
              <w:t>A compliance officer reviews DPIA documentation</w:t>
            </w:r>
          </w:p>
          <w:p w14:paraId="4BE9E8DB" w14:textId="77777777" w:rsidR="00475992" w:rsidRPr="00C462A0" w:rsidRDefault="00475992" w:rsidP="00475992">
            <w:pPr>
              <w:pStyle w:val="NoSpacing"/>
              <w:numPr>
                <w:ilvl w:val="0"/>
                <w:numId w:val="420"/>
              </w:numPr>
              <w:jc w:val="both"/>
              <w:rPr>
                <w:rFonts w:cstheme="minorHAnsi"/>
                <w:bCs/>
                <w:sz w:val="20"/>
                <w:szCs w:val="20"/>
                <w:lang w:val="en-GB"/>
              </w:rPr>
            </w:pPr>
            <w:r w:rsidRPr="00C462A0">
              <w:rPr>
                <w:rFonts w:cstheme="minorHAnsi"/>
                <w:bCs/>
                <w:sz w:val="20"/>
                <w:szCs w:val="20"/>
                <w:lang w:val="en-GB"/>
              </w:rPr>
              <w:t>A single individual both modifies ESG sustainability metrics and approves the final regulatory disclosure</w:t>
            </w:r>
          </w:p>
          <w:p w14:paraId="6796F9C4" w14:textId="77777777" w:rsidR="00475992" w:rsidRPr="00C462A0" w:rsidRDefault="00475992" w:rsidP="00475992">
            <w:pPr>
              <w:pStyle w:val="NoSpacing"/>
              <w:numPr>
                <w:ilvl w:val="0"/>
                <w:numId w:val="420"/>
              </w:numPr>
              <w:jc w:val="both"/>
              <w:rPr>
                <w:rFonts w:cstheme="minorHAnsi"/>
                <w:bCs/>
                <w:sz w:val="20"/>
                <w:szCs w:val="20"/>
                <w:lang w:val="en-GB"/>
              </w:rPr>
            </w:pPr>
            <w:r w:rsidRPr="00C462A0">
              <w:rPr>
                <w:rFonts w:cstheme="minorHAnsi"/>
                <w:bCs/>
                <w:sz w:val="20"/>
                <w:szCs w:val="20"/>
                <w:lang w:val="en-GB"/>
              </w:rPr>
              <w:t>An IoT device authenticates using unique credentials</w:t>
            </w:r>
          </w:p>
          <w:p w14:paraId="25F8B6BC" w14:textId="77777777" w:rsidR="00475992" w:rsidRPr="00C462A0" w:rsidRDefault="00475992" w:rsidP="00475992">
            <w:pPr>
              <w:pStyle w:val="NoSpacing"/>
              <w:jc w:val="both"/>
              <w:rPr>
                <w:rFonts w:cstheme="minorHAnsi"/>
                <w:bCs/>
                <w:sz w:val="20"/>
                <w:szCs w:val="20"/>
                <w:lang w:val="en-GB"/>
              </w:rPr>
            </w:pPr>
          </w:p>
          <w:p w14:paraId="47B04DD4" w14:textId="29BD6933" w:rsidR="00475992" w:rsidRPr="00C462A0" w:rsidRDefault="00475992" w:rsidP="00475992">
            <w:pPr>
              <w:pStyle w:val="NoSpacing"/>
              <w:numPr>
                <w:ilvl w:val="0"/>
                <w:numId w:val="413"/>
              </w:numPr>
              <w:ind w:left="360"/>
              <w:jc w:val="both"/>
              <w:rPr>
                <w:rFonts w:cstheme="minorHAnsi"/>
                <w:bCs/>
                <w:color w:val="009889" w:themeColor="accent2"/>
                <w:sz w:val="20"/>
                <w:szCs w:val="20"/>
                <w:lang w:val="en-GB"/>
              </w:rPr>
            </w:pPr>
            <w:r w:rsidRPr="00C462A0">
              <w:rPr>
                <w:rFonts w:cstheme="minorHAnsi"/>
                <w:bCs/>
                <w:color w:val="009889" w:themeColor="accent2"/>
                <w:sz w:val="20"/>
                <w:szCs w:val="20"/>
                <w:lang w:val="en-GB"/>
              </w:rPr>
              <w:t xml:space="preserve">An organisation encrypts all IoT sensor communications but does not protect cryptographic keys from administrative access. What is the most accurate assessment? </w:t>
            </w:r>
          </w:p>
          <w:p w14:paraId="51A69156" w14:textId="77777777" w:rsidR="00475992" w:rsidRPr="00C462A0" w:rsidRDefault="00475992" w:rsidP="00475992">
            <w:pPr>
              <w:pStyle w:val="NoSpacing"/>
              <w:numPr>
                <w:ilvl w:val="0"/>
                <w:numId w:val="421"/>
              </w:numPr>
              <w:jc w:val="both"/>
              <w:rPr>
                <w:rFonts w:cstheme="minorHAnsi"/>
                <w:bCs/>
                <w:sz w:val="20"/>
                <w:szCs w:val="20"/>
                <w:lang w:val="en-GB"/>
              </w:rPr>
            </w:pPr>
            <w:r w:rsidRPr="00C462A0">
              <w:rPr>
                <w:rFonts w:cstheme="minorHAnsi"/>
                <w:bCs/>
                <w:sz w:val="20"/>
                <w:szCs w:val="20"/>
                <w:lang w:val="en-GB"/>
              </w:rPr>
              <w:t>Encryption eliminates confidentiality risk</w:t>
            </w:r>
          </w:p>
          <w:p w14:paraId="09357A57" w14:textId="77777777" w:rsidR="00475992" w:rsidRPr="00C462A0" w:rsidRDefault="00475992" w:rsidP="00475992">
            <w:pPr>
              <w:pStyle w:val="NoSpacing"/>
              <w:numPr>
                <w:ilvl w:val="0"/>
                <w:numId w:val="421"/>
              </w:numPr>
              <w:jc w:val="both"/>
              <w:rPr>
                <w:rFonts w:cstheme="minorHAnsi"/>
                <w:bCs/>
                <w:sz w:val="20"/>
                <w:szCs w:val="20"/>
                <w:lang w:val="en-GB"/>
              </w:rPr>
            </w:pPr>
            <w:r w:rsidRPr="00C462A0">
              <w:rPr>
                <w:rFonts w:cstheme="minorHAnsi"/>
                <w:bCs/>
                <w:sz w:val="20"/>
                <w:szCs w:val="20"/>
                <w:lang w:val="en-GB"/>
              </w:rPr>
              <w:t>Weak key governance undermines cryptographic protection</w:t>
            </w:r>
          </w:p>
          <w:p w14:paraId="63A30963" w14:textId="77777777" w:rsidR="00475992" w:rsidRPr="00C462A0" w:rsidRDefault="00475992" w:rsidP="00475992">
            <w:pPr>
              <w:pStyle w:val="NoSpacing"/>
              <w:numPr>
                <w:ilvl w:val="0"/>
                <w:numId w:val="421"/>
              </w:numPr>
              <w:jc w:val="both"/>
              <w:rPr>
                <w:rFonts w:cstheme="minorHAnsi"/>
                <w:bCs/>
                <w:sz w:val="20"/>
                <w:szCs w:val="20"/>
                <w:lang w:val="en-GB"/>
              </w:rPr>
            </w:pPr>
            <w:r w:rsidRPr="00C462A0">
              <w:rPr>
                <w:rFonts w:cstheme="minorHAnsi"/>
                <w:bCs/>
                <w:sz w:val="20"/>
                <w:szCs w:val="20"/>
                <w:lang w:val="en-GB"/>
              </w:rPr>
              <w:t>GDPR compliance is automatically achieved</w:t>
            </w:r>
          </w:p>
          <w:p w14:paraId="00ABF422" w14:textId="0A5DC0F4" w:rsidR="00475992" w:rsidRPr="00C462A0" w:rsidRDefault="00475992" w:rsidP="00475992">
            <w:pPr>
              <w:pStyle w:val="NoSpacing"/>
              <w:numPr>
                <w:ilvl w:val="0"/>
                <w:numId w:val="421"/>
              </w:numPr>
              <w:jc w:val="both"/>
              <w:rPr>
                <w:rFonts w:cstheme="minorHAnsi"/>
                <w:bCs/>
                <w:sz w:val="20"/>
                <w:szCs w:val="20"/>
                <w:lang w:val="en-GB"/>
              </w:rPr>
            </w:pPr>
            <w:r w:rsidRPr="00C462A0">
              <w:rPr>
                <w:rFonts w:cstheme="minorHAnsi"/>
                <w:bCs/>
                <w:sz w:val="20"/>
                <w:szCs w:val="20"/>
                <w:lang w:val="en-GB"/>
              </w:rPr>
              <w:t>Audit trails are unnecessary.</w:t>
            </w:r>
          </w:p>
          <w:p w14:paraId="5FC175AC" w14:textId="77777777" w:rsidR="00475992" w:rsidRPr="00C462A0" w:rsidRDefault="00475992" w:rsidP="00475992">
            <w:pPr>
              <w:pStyle w:val="NoSpacing"/>
              <w:ind w:left="1080"/>
              <w:jc w:val="both"/>
              <w:rPr>
                <w:rFonts w:cstheme="minorHAnsi"/>
                <w:bCs/>
                <w:sz w:val="20"/>
                <w:szCs w:val="20"/>
                <w:lang w:val="en-GB"/>
              </w:rPr>
            </w:pPr>
          </w:p>
          <w:p w14:paraId="00E52D44" w14:textId="01459AD0" w:rsidR="00475992" w:rsidRPr="00C462A0" w:rsidRDefault="00475992" w:rsidP="00475992">
            <w:pPr>
              <w:pStyle w:val="NoSpacing"/>
              <w:numPr>
                <w:ilvl w:val="0"/>
                <w:numId w:val="413"/>
              </w:numPr>
              <w:ind w:left="360"/>
              <w:jc w:val="both"/>
              <w:rPr>
                <w:rFonts w:cstheme="minorHAnsi"/>
                <w:bCs/>
                <w:color w:val="009889" w:themeColor="accent2"/>
                <w:sz w:val="20"/>
                <w:szCs w:val="20"/>
                <w:lang w:val="en-GB"/>
              </w:rPr>
            </w:pPr>
            <w:r w:rsidRPr="00C462A0">
              <w:rPr>
                <w:rFonts w:cstheme="minorHAnsi"/>
                <w:bCs/>
                <w:color w:val="009889" w:themeColor="accent2"/>
                <w:sz w:val="20"/>
                <w:szCs w:val="20"/>
                <w:lang w:val="en-GB"/>
              </w:rPr>
              <w:t xml:space="preserve">True or False: Audit trails that are securely stored but never analysed or correlated with monitoring systems provide limited value for proactive compliance and incident detection. </w:t>
            </w:r>
          </w:p>
          <w:p w14:paraId="730646C4" w14:textId="77777777" w:rsidR="00475992" w:rsidRPr="00C462A0" w:rsidRDefault="00475992" w:rsidP="00475992">
            <w:pPr>
              <w:pStyle w:val="NoSpacing"/>
              <w:ind w:left="720"/>
              <w:jc w:val="both"/>
              <w:rPr>
                <w:rFonts w:cstheme="minorHAnsi"/>
                <w:bCs/>
                <w:sz w:val="20"/>
                <w:szCs w:val="20"/>
                <w:lang w:val="en-GB"/>
              </w:rPr>
            </w:pPr>
          </w:p>
          <w:p w14:paraId="6F6C8988" w14:textId="678BC7F1" w:rsidR="00475992" w:rsidRPr="00C462A0" w:rsidRDefault="00475992" w:rsidP="00475992">
            <w:pPr>
              <w:pStyle w:val="NoSpacing"/>
              <w:numPr>
                <w:ilvl w:val="0"/>
                <w:numId w:val="413"/>
              </w:numPr>
              <w:ind w:left="360"/>
              <w:jc w:val="both"/>
              <w:rPr>
                <w:rFonts w:cstheme="minorHAnsi"/>
                <w:bCs/>
                <w:color w:val="009889" w:themeColor="accent2"/>
                <w:sz w:val="20"/>
                <w:szCs w:val="20"/>
                <w:lang w:val="en-GB"/>
              </w:rPr>
            </w:pPr>
            <w:r w:rsidRPr="00C462A0">
              <w:rPr>
                <w:rFonts w:cstheme="minorHAnsi"/>
                <w:bCs/>
                <w:color w:val="009889" w:themeColor="accent2"/>
                <w:sz w:val="20"/>
                <w:szCs w:val="20"/>
                <w:lang w:val="en-GB"/>
              </w:rPr>
              <w:t xml:space="preserve">Which combination most accurately reflects mature data protection governance in sustainable infrastructures? </w:t>
            </w:r>
          </w:p>
          <w:p w14:paraId="31E5238A" w14:textId="77777777" w:rsidR="00475992" w:rsidRPr="00C462A0" w:rsidRDefault="00475992" w:rsidP="00475992">
            <w:pPr>
              <w:pStyle w:val="NoSpacing"/>
              <w:numPr>
                <w:ilvl w:val="0"/>
                <w:numId w:val="422"/>
              </w:numPr>
              <w:jc w:val="both"/>
              <w:rPr>
                <w:rFonts w:cstheme="minorHAnsi"/>
                <w:sz w:val="20"/>
                <w:szCs w:val="20"/>
                <w:lang w:val="en-GB"/>
              </w:rPr>
            </w:pPr>
            <w:r w:rsidRPr="00C462A0">
              <w:rPr>
                <w:rFonts w:cstheme="minorHAnsi"/>
                <w:sz w:val="20"/>
                <w:szCs w:val="20"/>
                <w:lang w:val="en-GB"/>
              </w:rPr>
              <w:t>Isolated technical controls without documentation</w:t>
            </w:r>
          </w:p>
          <w:p w14:paraId="3E9125CC" w14:textId="77777777" w:rsidR="00475992" w:rsidRPr="00C462A0" w:rsidRDefault="00475992" w:rsidP="00475992">
            <w:pPr>
              <w:pStyle w:val="NoSpacing"/>
              <w:numPr>
                <w:ilvl w:val="0"/>
                <w:numId w:val="422"/>
              </w:numPr>
              <w:jc w:val="both"/>
              <w:rPr>
                <w:rFonts w:cstheme="minorHAnsi"/>
                <w:sz w:val="20"/>
                <w:szCs w:val="20"/>
                <w:lang w:val="en-GB"/>
              </w:rPr>
            </w:pPr>
            <w:r w:rsidRPr="00C462A0">
              <w:rPr>
                <w:rFonts w:cstheme="minorHAnsi"/>
                <w:sz w:val="20"/>
                <w:szCs w:val="20"/>
                <w:lang w:val="en-GB"/>
              </w:rPr>
              <w:t>Integrated access management, encryption, audit logging, DPIAs, and periodic compliance reviews</w:t>
            </w:r>
          </w:p>
          <w:p w14:paraId="6163D395" w14:textId="77777777" w:rsidR="00475992" w:rsidRPr="00C462A0" w:rsidRDefault="00475992" w:rsidP="00475992">
            <w:pPr>
              <w:pStyle w:val="NoSpacing"/>
              <w:numPr>
                <w:ilvl w:val="0"/>
                <w:numId w:val="422"/>
              </w:numPr>
              <w:jc w:val="both"/>
              <w:rPr>
                <w:rFonts w:cstheme="minorHAnsi"/>
                <w:sz w:val="20"/>
                <w:szCs w:val="20"/>
                <w:lang w:val="en-GB"/>
              </w:rPr>
            </w:pPr>
            <w:r w:rsidRPr="00C462A0">
              <w:rPr>
                <w:rFonts w:cstheme="minorHAnsi"/>
                <w:sz w:val="20"/>
                <w:szCs w:val="20"/>
                <w:lang w:val="en-GB"/>
              </w:rPr>
              <w:t>Encryption applied only to archived data</w:t>
            </w:r>
          </w:p>
          <w:p w14:paraId="4DB8D81D" w14:textId="555AAF1E" w:rsidR="00475992" w:rsidRPr="00C462A0" w:rsidRDefault="00475992" w:rsidP="00475992">
            <w:pPr>
              <w:pStyle w:val="NoSpacing"/>
              <w:numPr>
                <w:ilvl w:val="0"/>
                <w:numId w:val="422"/>
              </w:numPr>
              <w:jc w:val="both"/>
              <w:rPr>
                <w:rFonts w:cstheme="minorHAnsi"/>
                <w:sz w:val="20"/>
                <w:szCs w:val="20"/>
                <w:lang w:val="en-GB"/>
              </w:rPr>
            </w:pPr>
            <w:r w:rsidRPr="00C462A0">
              <w:rPr>
                <w:rFonts w:cstheme="minorHAnsi"/>
                <w:sz w:val="20"/>
                <w:szCs w:val="20"/>
                <w:lang w:val="en-GB"/>
              </w:rPr>
              <w:t>Delegation of compliance solely to the IT department.</w:t>
            </w:r>
          </w:p>
          <w:p w14:paraId="0B03ADD0" w14:textId="5C131D40" w:rsidR="00475992" w:rsidRPr="00C462A0" w:rsidRDefault="00475992" w:rsidP="00475992">
            <w:pPr>
              <w:pStyle w:val="NoSpacing"/>
              <w:jc w:val="both"/>
              <w:rPr>
                <w:rFonts w:cstheme="minorHAnsi"/>
                <w:i/>
                <w:iCs/>
                <w:sz w:val="20"/>
                <w:szCs w:val="20"/>
                <w:lang w:val="en-GB"/>
              </w:rPr>
            </w:pPr>
            <w:r w:rsidRPr="00C462A0">
              <w:rPr>
                <w:rFonts w:cstheme="minorHAnsi"/>
                <w:i/>
                <w:iCs/>
                <w:sz w:val="20"/>
                <w:szCs w:val="20"/>
                <w:lang w:val="en-GB"/>
              </w:rPr>
              <w:br/>
              <w:t>Answer key: 1. c); 2. true; 3. b); 4. c); 5. b); 6. true; 7. b).</w:t>
            </w:r>
          </w:p>
          <w:p w14:paraId="4747BA55" w14:textId="77777777" w:rsidR="00475992" w:rsidRPr="00C462A0" w:rsidRDefault="00475992" w:rsidP="00475992">
            <w:pPr>
              <w:pStyle w:val="NoSpacing"/>
              <w:ind w:left="1440"/>
              <w:jc w:val="both"/>
              <w:rPr>
                <w:rFonts w:cstheme="minorHAnsi"/>
                <w:sz w:val="20"/>
                <w:szCs w:val="20"/>
                <w:lang w:val="en-GB"/>
              </w:rPr>
            </w:pPr>
          </w:p>
          <w:p w14:paraId="25C43B01" w14:textId="13303150" w:rsidR="00475992" w:rsidRPr="00C462A0" w:rsidRDefault="00475992" w:rsidP="00475992">
            <w:pPr>
              <w:pStyle w:val="NoSpacing"/>
              <w:jc w:val="both"/>
              <w:rPr>
                <w:rFonts w:cstheme="minorHAnsi"/>
                <w:sz w:val="20"/>
                <w:szCs w:val="20"/>
                <w:lang w:val="en-GB"/>
              </w:rPr>
            </w:pPr>
            <w:r w:rsidRPr="00C462A0">
              <w:rPr>
                <w:rFonts w:cstheme="minorHAnsi"/>
                <w:b/>
                <w:color w:val="00AC4E" w:themeColor="accent1"/>
                <w:sz w:val="20"/>
                <w:szCs w:val="20"/>
                <w:lang w:val="en-GB"/>
              </w:rPr>
              <w:t>Applied Scenario:</w:t>
            </w:r>
          </w:p>
          <w:p w14:paraId="74184CF5" w14:textId="77777777" w:rsidR="00475992" w:rsidRPr="00C462A0" w:rsidRDefault="00475992" w:rsidP="00475992">
            <w:pPr>
              <w:pStyle w:val="NoSpacing"/>
              <w:jc w:val="both"/>
              <w:rPr>
                <w:rFonts w:cstheme="minorHAnsi"/>
                <w:b/>
                <w:bCs/>
                <w:sz w:val="20"/>
                <w:szCs w:val="20"/>
                <w:lang w:val="en-GB"/>
              </w:rPr>
            </w:pPr>
            <w:r w:rsidRPr="00C462A0">
              <w:rPr>
                <w:rFonts w:cstheme="minorHAnsi"/>
                <w:b/>
                <w:bCs/>
                <w:sz w:val="20"/>
                <w:szCs w:val="20"/>
                <w:lang w:val="en-GB"/>
              </w:rPr>
              <w:t>Scenario</w:t>
            </w:r>
          </w:p>
          <w:p w14:paraId="634D4AAA" w14:textId="77777777" w:rsidR="00475992" w:rsidRPr="00C462A0" w:rsidRDefault="00475992" w:rsidP="00475992">
            <w:pPr>
              <w:pStyle w:val="NoSpacing"/>
              <w:jc w:val="both"/>
              <w:rPr>
                <w:rFonts w:cstheme="minorHAnsi"/>
                <w:sz w:val="20"/>
                <w:szCs w:val="20"/>
                <w:lang w:val="en-GB"/>
              </w:rPr>
            </w:pPr>
            <w:r w:rsidRPr="00C462A0">
              <w:rPr>
                <w:rFonts w:cstheme="minorHAnsi"/>
                <w:sz w:val="20"/>
                <w:szCs w:val="20"/>
                <w:lang w:val="en-GB"/>
              </w:rPr>
              <w:t>A regional renewable energy provider operates:</w:t>
            </w:r>
          </w:p>
          <w:p w14:paraId="273638BF" w14:textId="77777777" w:rsidR="00475992" w:rsidRPr="00C462A0" w:rsidRDefault="00475992" w:rsidP="00475992">
            <w:pPr>
              <w:pStyle w:val="NoSpacing"/>
              <w:numPr>
                <w:ilvl w:val="0"/>
                <w:numId w:val="408"/>
              </w:numPr>
              <w:jc w:val="both"/>
              <w:rPr>
                <w:rFonts w:cstheme="minorHAnsi"/>
                <w:sz w:val="20"/>
                <w:szCs w:val="20"/>
                <w:lang w:val="en-GB"/>
              </w:rPr>
            </w:pPr>
            <w:r w:rsidRPr="00C462A0">
              <w:rPr>
                <w:rFonts w:cstheme="minorHAnsi"/>
                <w:sz w:val="20"/>
                <w:szCs w:val="20"/>
                <w:lang w:val="en-GB"/>
              </w:rPr>
              <w:t>IoT-enabled smart meters</w:t>
            </w:r>
          </w:p>
          <w:p w14:paraId="662BBAD2" w14:textId="77777777" w:rsidR="00475992" w:rsidRPr="00C462A0" w:rsidRDefault="00475992" w:rsidP="00475992">
            <w:pPr>
              <w:pStyle w:val="NoSpacing"/>
              <w:numPr>
                <w:ilvl w:val="0"/>
                <w:numId w:val="408"/>
              </w:numPr>
              <w:jc w:val="both"/>
              <w:rPr>
                <w:rFonts w:cstheme="minorHAnsi"/>
                <w:sz w:val="20"/>
                <w:szCs w:val="20"/>
                <w:lang w:val="en-GB"/>
              </w:rPr>
            </w:pPr>
            <w:r w:rsidRPr="00C462A0">
              <w:rPr>
                <w:rFonts w:cstheme="minorHAnsi"/>
                <w:sz w:val="20"/>
                <w:szCs w:val="20"/>
                <w:lang w:val="en-GB"/>
              </w:rPr>
              <w:t>A smart grid control centre</w:t>
            </w:r>
          </w:p>
          <w:p w14:paraId="36AAF669" w14:textId="77777777" w:rsidR="00475992" w:rsidRPr="00C462A0" w:rsidRDefault="00475992" w:rsidP="00475992">
            <w:pPr>
              <w:pStyle w:val="NoSpacing"/>
              <w:numPr>
                <w:ilvl w:val="0"/>
                <w:numId w:val="408"/>
              </w:numPr>
              <w:jc w:val="both"/>
              <w:rPr>
                <w:rFonts w:cstheme="minorHAnsi"/>
                <w:sz w:val="20"/>
                <w:szCs w:val="20"/>
                <w:lang w:val="en-GB"/>
              </w:rPr>
            </w:pPr>
            <w:r w:rsidRPr="00C462A0">
              <w:rPr>
                <w:rFonts w:cstheme="minorHAnsi"/>
                <w:sz w:val="20"/>
                <w:szCs w:val="20"/>
                <w:lang w:val="en-GB"/>
              </w:rPr>
              <w:t>A cloud-based ESG reporting platform</w:t>
            </w:r>
          </w:p>
          <w:p w14:paraId="57BBF81A" w14:textId="77777777" w:rsidR="00475992" w:rsidRPr="00C462A0" w:rsidRDefault="00475992" w:rsidP="00475992">
            <w:pPr>
              <w:pStyle w:val="NoSpacing"/>
              <w:jc w:val="both"/>
              <w:rPr>
                <w:rFonts w:cstheme="minorHAnsi"/>
                <w:sz w:val="20"/>
                <w:szCs w:val="20"/>
                <w:lang w:val="en-GB"/>
              </w:rPr>
            </w:pPr>
            <w:r w:rsidRPr="00C462A0">
              <w:rPr>
                <w:rFonts w:cstheme="minorHAnsi"/>
                <w:sz w:val="20"/>
                <w:szCs w:val="20"/>
                <w:lang w:val="en-GB"/>
              </w:rPr>
              <w:t>Recent findings reveal:</w:t>
            </w:r>
          </w:p>
          <w:p w14:paraId="6129F51B" w14:textId="77777777" w:rsidR="00475992" w:rsidRPr="00C462A0" w:rsidRDefault="00475992" w:rsidP="00475992">
            <w:pPr>
              <w:pStyle w:val="NoSpacing"/>
              <w:numPr>
                <w:ilvl w:val="0"/>
                <w:numId w:val="409"/>
              </w:numPr>
              <w:jc w:val="both"/>
              <w:rPr>
                <w:rFonts w:cstheme="minorHAnsi"/>
                <w:sz w:val="20"/>
                <w:szCs w:val="20"/>
                <w:lang w:val="en-GB"/>
              </w:rPr>
            </w:pPr>
            <w:r w:rsidRPr="00C462A0">
              <w:rPr>
                <w:rFonts w:cstheme="minorHAnsi"/>
                <w:sz w:val="20"/>
                <w:szCs w:val="20"/>
                <w:lang w:val="en-GB"/>
              </w:rPr>
              <w:t>Excessive administrative privileges in the ESG platform</w:t>
            </w:r>
          </w:p>
          <w:p w14:paraId="21ACE9B9" w14:textId="77777777" w:rsidR="00475992" w:rsidRPr="00C462A0" w:rsidRDefault="00475992" w:rsidP="00475992">
            <w:pPr>
              <w:pStyle w:val="NoSpacing"/>
              <w:numPr>
                <w:ilvl w:val="0"/>
                <w:numId w:val="409"/>
              </w:numPr>
              <w:jc w:val="both"/>
              <w:rPr>
                <w:rFonts w:cstheme="minorHAnsi"/>
                <w:sz w:val="20"/>
                <w:szCs w:val="20"/>
                <w:lang w:val="en-GB"/>
              </w:rPr>
            </w:pPr>
            <w:r w:rsidRPr="00C462A0">
              <w:rPr>
                <w:rFonts w:cstheme="minorHAnsi"/>
                <w:sz w:val="20"/>
                <w:szCs w:val="20"/>
                <w:lang w:val="en-GB"/>
              </w:rPr>
              <w:t>Outdated cryptographic algorithms in IoT firmware</w:t>
            </w:r>
          </w:p>
          <w:p w14:paraId="018F1AAE" w14:textId="77777777" w:rsidR="00475992" w:rsidRPr="00C462A0" w:rsidRDefault="00475992" w:rsidP="00475992">
            <w:pPr>
              <w:pStyle w:val="NoSpacing"/>
              <w:numPr>
                <w:ilvl w:val="0"/>
                <w:numId w:val="409"/>
              </w:numPr>
              <w:jc w:val="both"/>
              <w:rPr>
                <w:rFonts w:cstheme="minorHAnsi"/>
                <w:sz w:val="20"/>
                <w:szCs w:val="20"/>
                <w:lang w:val="en-GB"/>
              </w:rPr>
            </w:pPr>
            <w:r w:rsidRPr="00C462A0">
              <w:rPr>
                <w:rFonts w:cstheme="minorHAnsi"/>
                <w:sz w:val="20"/>
                <w:szCs w:val="20"/>
                <w:lang w:val="en-GB"/>
              </w:rPr>
              <w:t>Incomplete audit logging in substation systems</w:t>
            </w:r>
          </w:p>
          <w:p w14:paraId="69FF28BA" w14:textId="77777777" w:rsidR="00475992" w:rsidRPr="00C462A0" w:rsidRDefault="00475992" w:rsidP="00475992">
            <w:pPr>
              <w:pStyle w:val="NoSpacing"/>
              <w:numPr>
                <w:ilvl w:val="0"/>
                <w:numId w:val="409"/>
              </w:numPr>
              <w:jc w:val="both"/>
              <w:rPr>
                <w:rFonts w:cstheme="minorHAnsi"/>
                <w:sz w:val="20"/>
                <w:szCs w:val="20"/>
                <w:lang w:val="en-GB"/>
              </w:rPr>
            </w:pPr>
            <w:r w:rsidRPr="00C462A0">
              <w:rPr>
                <w:rFonts w:cstheme="minorHAnsi"/>
                <w:sz w:val="20"/>
                <w:szCs w:val="20"/>
                <w:lang w:val="en-GB"/>
              </w:rPr>
              <w:t>No documented Data Protection Impact Assessment for granular household data processing</w:t>
            </w:r>
          </w:p>
          <w:p w14:paraId="7CCA4527" w14:textId="42384A53" w:rsidR="00475992" w:rsidRPr="00C462A0" w:rsidRDefault="00475992" w:rsidP="00475992">
            <w:pPr>
              <w:pStyle w:val="NoSpacing"/>
              <w:jc w:val="both"/>
              <w:rPr>
                <w:rFonts w:cstheme="minorHAnsi"/>
                <w:b/>
                <w:bCs/>
                <w:sz w:val="20"/>
                <w:szCs w:val="20"/>
                <w:lang w:val="en-GB"/>
              </w:rPr>
            </w:pPr>
            <w:r w:rsidRPr="00C462A0">
              <w:rPr>
                <w:rFonts w:cstheme="minorHAnsi"/>
                <w:b/>
                <w:bCs/>
                <w:sz w:val="20"/>
                <w:szCs w:val="20"/>
                <w:lang w:val="en-GB"/>
              </w:rPr>
              <w:t>Learner Task:</w:t>
            </w:r>
          </w:p>
          <w:p w14:paraId="76CBEFD0" w14:textId="77777777" w:rsidR="00475992" w:rsidRPr="00C462A0" w:rsidRDefault="00475992" w:rsidP="00475992">
            <w:pPr>
              <w:pStyle w:val="NoSpacing"/>
              <w:numPr>
                <w:ilvl w:val="0"/>
                <w:numId w:val="410"/>
              </w:numPr>
              <w:jc w:val="both"/>
              <w:rPr>
                <w:rFonts w:cstheme="minorHAnsi"/>
                <w:sz w:val="20"/>
                <w:szCs w:val="20"/>
                <w:lang w:val="en-GB"/>
              </w:rPr>
            </w:pPr>
            <w:r w:rsidRPr="00C462A0">
              <w:rPr>
                <w:rFonts w:cstheme="minorHAnsi"/>
                <w:sz w:val="20"/>
                <w:szCs w:val="20"/>
                <w:lang w:val="en-GB"/>
              </w:rPr>
              <w:t>Identify two compliance risks and two cybersecurity risks.</w:t>
            </w:r>
          </w:p>
          <w:p w14:paraId="08BBE824" w14:textId="77777777" w:rsidR="00475992" w:rsidRPr="00C462A0" w:rsidRDefault="00475992" w:rsidP="00475992">
            <w:pPr>
              <w:pStyle w:val="NoSpacing"/>
              <w:numPr>
                <w:ilvl w:val="0"/>
                <w:numId w:val="410"/>
              </w:numPr>
              <w:jc w:val="both"/>
              <w:rPr>
                <w:rFonts w:cstheme="minorHAnsi"/>
                <w:sz w:val="20"/>
                <w:szCs w:val="20"/>
                <w:lang w:val="en-GB"/>
              </w:rPr>
            </w:pPr>
            <w:r w:rsidRPr="00C462A0">
              <w:rPr>
                <w:rFonts w:cstheme="minorHAnsi"/>
                <w:sz w:val="20"/>
                <w:szCs w:val="20"/>
                <w:lang w:val="en-GB"/>
              </w:rPr>
              <w:t>Explain how these risks intersect.</w:t>
            </w:r>
          </w:p>
          <w:p w14:paraId="2BC55E02" w14:textId="77777777" w:rsidR="00475992" w:rsidRPr="00C462A0" w:rsidRDefault="00475992" w:rsidP="00475992">
            <w:pPr>
              <w:pStyle w:val="NoSpacing"/>
              <w:numPr>
                <w:ilvl w:val="0"/>
                <w:numId w:val="410"/>
              </w:numPr>
              <w:jc w:val="both"/>
              <w:rPr>
                <w:rFonts w:cstheme="minorHAnsi"/>
                <w:sz w:val="20"/>
                <w:szCs w:val="20"/>
                <w:lang w:val="en-GB"/>
              </w:rPr>
            </w:pPr>
            <w:r w:rsidRPr="00C462A0">
              <w:rPr>
                <w:rFonts w:cstheme="minorHAnsi"/>
                <w:sz w:val="20"/>
                <w:szCs w:val="20"/>
                <w:lang w:val="en-GB"/>
              </w:rPr>
              <w:t>Propose one corrective action aligned with access control, one with encryption governance, and one with audit trail management.</w:t>
            </w:r>
          </w:p>
          <w:p w14:paraId="4DB43DA8" w14:textId="77777777" w:rsidR="00475992" w:rsidRPr="00C462A0" w:rsidRDefault="00475992" w:rsidP="00475992">
            <w:pPr>
              <w:pStyle w:val="NoSpacing"/>
              <w:numPr>
                <w:ilvl w:val="0"/>
                <w:numId w:val="410"/>
              </w:numPr>
              <w:jc w:val="both"/>
              <w:rPr>
                <w:rFonts w:cstheme="minorHAnsi"/>
                <w:sz w:val="20"/>
                <w:szCs w:val="20"/>
                <w:lang w:val="en-GB"/>
              </w:rPr>
            </w:pPr>
            <w:r w:rsidRPr="00C462A0">
              <w:rPr>
                <w:rFonts w:cstheme="minorHAnsi"/>
                <w:sz w:val="20"/>
                <w:szCs w:val="20"/>
                <w:lang w:val="en-GB"/>
              </w:rPr>
              <w:t>Justify how these actions demonstrate GDPR accountability and risk-based compliance.</w:t>
            </w:r>
          </w:p>
          <w:p w14:paraId="357C06EF" w14:textId="04881EA8" w:rsidR="00475992" w:rsidRPr="00C462A0" w:rsidRDefault="00475992" w:rsidP="00475992">
            <w:pPr>
              <w:spacing w:line="276" w:lineRule="auto"/>
              <w:jc w:val="both"/>
              <w:rPr>
                <w:rFonts w:cstheme="minorHAnsi"/>
                <w:color w:val="009889" w:themeColor="accent2"/>
                <w:szCs w:val="20"/>
              </w:rPr>
            </w:pPr>
            <w:r w:rsidRPr="00C462A0">
              <w:rPr>
                <w:rFonts w:cstheme="minorHAnsi"/>
                <w:szCs w:val="20"/>
              </w:rPr>
              <w:t>Respond in 12–15 structured sentences integrating concepts from Topics 3.1–3.4.</w:t>
            </w:r>
          </w:p>
        </w:tc>
      </w:tr>
    </w:tbl>
    <w:p w14:paraId="5E0C6860" w14:textId="66A3FBD6" w:rsidR="00531361" w:rsidRPr="00C462A0" w:rsidRDefault="00531361" w:rsidP="00475992">
      <w:pPr>
        <w:pStyle w:val="Heading1"/>
        <w:numPr>
          <w:ilvl w:val="0"/>
          <w:numId w:val="0"/>
        </w:numPr>
      </w:pPr>
      <w:bookmarkStart w:id="62" w:name="_Toc227623418"/>
      <w:r w:rsidRPr="00C462A0">
        <w:lastRenderedPageBreak/>
        <w:t>References:</w:t>
      </w:r>
      <w:bookmarkEnd w:id="62"/>
    </w:p>
    <w:p w14:paraId="1D7BD87D" w14:textId="1150413D" w:rsidR="00475992" w:rsidRPr="00C462A0" w:rsidRDefault="00475992" w:rsidP="00475992">
      <w:pPr>
        <w:pStyle w:val="ListParagraph"/>
        <w:numPr>
          <w:ilvl w:val="0"/>
          <w:numId w:val="409"/>
        </w:numPr>
        <w:spacing w:after="0" w:line="240" w:lineRule="auto"/>
        <w:rPr>
          <w:rFonts w:eastAsia="Times New Roman" w:cstheme="minorHAnsi"/>
          <w:szCs w:val="20"/>
          <w:lang w:eastAsia="hr-HR"/>
        </w:rPr>
      </w:pPr>
      <w:r w:rsidRPr="00C462A0">
        <w:rPr>
          <w:rFonts w:eastAsia="Times New Roman" w:cstheme="minorHAnsi"/>
          <w:szCs w:val="20"/>
          <w:lang w:eastAsia="hr-HR"/>
        </w:rPr>
        <w:t xml:space="preserve">ENISA – Cryptographic Guidance, </w:t>
      </w:r>
      <w:hyperlink r:id="rId108" w:tgtFrame="_new" w:history="1">
        <w:r w:rsidRPr="00C462A0">
          <w:rPr>
            <w:rFonts w:eastAsia="Times New Roman" w:cstheme="minorHAnsi"/>
            <w:color w:val="00AC4E" w:themeColor="accent1"/>
            <w:szCs w:val="20"/>
            <w:u w:val="single"/>
            <w:lang w:eastAsia="hr-HR"/>
          </w:rPr>
          <w:t>https://www.enisa.europa.eu/topics/digital-identity-and-data-protection/cryptography</w:t>
        </w:r>
      </w:hyperlink>
      <w:r w:rsidRPr="00C462A0">
        <w:rPr>
          <w:rFonts w:eastAsia="Times New Roman" w:cstheme="minorHAnsi"/>
          <w:color w:val="00AC4E" w:themeColor="accent1"/>
          <w:szCs w:val="20"/>
          <w:lang w:eastAsia="hr-HR"/>
        </w:rPr>
        <w:t xml:space="preserve"> </w:t>
      </w:r>
    </w:p>
    <w:p w14:paraId="332CE6F6" w14:textId="6D6A2D7A" w:rsidR="00475992" w:rsidRPr="00C462A0" w:rsidRDefault="00475992" w:rsidP="00475992">
      <w:pPr>
        <w:pStyle w:val="ListParagraph"/>
        <w:numPr>
          <w:ilvl w:val="0"/>
          <w:numId w:val="409"/>
        </w:numPr>
        <w:spacing w:after="0" w:line="240" w:lineRule="auto"/>
        <w:rPr>
          <w:rFonts w:eastAsia="Times New Roman" w:cstheme="minorHAnsi"/>
          <w:szCs w:val="20"/>
          <w:lang w:eastAsia="hr-HR"/>
        </w:rPr>
      </w:pPr>
      <w:r w:rsidRPr="00C462A0">
        <w:rPr>
          <w:rFonts w:eastAsia="Times New Roman" w:cstheme="minorHAnsi"/>
          <w:szCs w:val="20"/>
          <w:lang w:eastAsia="hr-HR"/>
        </w:rPr>
        <w:t xml:space="preserve">ENISA Threat Landscape 2025, </w:t>
      </w:r>
      <w:hyperlink r:id="rId109" w:tgtFrame="_new" w:history="1">
        <w:r w:rsidRPr="00C462A0">
          <w:rPr>
            <w:rFonts w:eastAsia="Times New Roman" w:cstheme="minorHAnsi"/>
            <w:color w:val="00AC4E" w:themeColor="accent1"/>
            <w:szCs w:val="20"/>
            <w:u w:val="single"/>
            <w:lang w:eastAsia="hr-HR"/>
          </w:rPr>
          <w:t>https://www.enisa.europa.eu/sites/default/files/2026-01/ENISA%20Threat%20Landscape%202025_v1.2.pdf</w:t>
        </w:r>
      </w:hyperlink>
      <w:r w:rsidRPr="00C462A0">
        <w:rPr>
          <w:rFonts w:eastAsia="Times New Roman" w:cstheme="minorHAnsi"/>
          <w:color w:val="00AC4E" w:themeColor="accent1"/>
          <w:szCs w:val="20"/>
          <w:lang w:eastAsia="hr-HR"/>
        </w:rPr>
        <w:t xml:space="preserve"> </w:t>
      </w:r>
    </w:p>
    <w:p w14:paraId="5CA54402" w14:textId="559089A7" w:rsidR="00475992" w:rsidRPr="00C462A0" w:rsidRDefault="00475992" w:rsidP="00475992">
      <w:pPr>
        <w:pStyle w:val="ListParagraph"/>
        <w:numPr>
          <w:ilvl w:val="0"/>
          <w:numId w:val="409"/>
        </w:numPr>
        <w:spacing w:after="0" w:line="240" w:lineRule="auto"/>
        <w:rPr>
          <w:rFonts w:eastAsia="Times New Roman" w:cstheme="minorHAnsi"/>
          <w:szCs w:val="20"/>
          <w:lang w:eastAsia="hr-HR"/>
        </w:rPr>
      </w:pPr>
      <w:r w:rsidRPr="00C462A0">
        <w:rPr>
          <w:rFonts w:eastAsia="Times New Roman" w:cstheme="minorHAnsi"/>
          <w:szCs w:val="20"/>
          <w:lang w:eastAsia="hr-HR"/>
        </w:rPr>
        <w:t>European Commission – Critical Infrastructure and Cybersecurity (Energy).</w:t>
      </w:r>
      <w:r w:rsidRPr="00C462A0">
        <w:rPr>
          <w:rFonts w:eastAsia="Times New Roman" w:cstheme="minorHAnsi"/>
          <w:szCs w:val="20"/>
          <w:lang w:eastAsia="hr-HR"/>
        </w:rPr>
        <w:br/>
      </w:r>
      <w:hyperlink r:id="rId110" w:tgtFrame="_new" w:history="1">
        <w:r w:rsidRPr="00C462A0">
          <w:rPr>
            <w:rFonts w:eastAsia="Times New Roman" w:cstheme="minorHAnsi"/>
            <w:color w:val="00AC4E" w:themeColor="accent1"/>
            <w:szCs w:val="20"/>
            <w:u w:val="single"/>
            <w:lang w:eastAsia="hr-HR"/>
          </w:rPr>
          <w:t>https://energy.ec.europa.eu/topics/energy-security/critical-infrastructure-and-cybersecurity_en</w:t>
        </w:r>
      </w:hyperlink>
      <w:r w:rsidRPr="00C462A0">
        <w:rPr>
          <w:rFonts w:eastAsia="Times New Roman" w:cstheme="minorHAnsi"/>
          <w:color w:val="00AC4E" w:themeColor="accent1"/>
          <w:szCs w:val="20"/>
          <w:lang w:eastAsia="hr-HR"/>
        </w:rPr>
        <w:t xml:space="preserve"> </w:t>
      </w:r>
    </w:p>
    <w:p w14:paraId="4B2ED5FF" w14:textId="268DCE66" w:rsidR="00475992" w:rsidRPr="00C462A0" w:rsidRDefault="00475992" w:rsidP="00475992">
      <w:pPr>
        <w:pStyle w:val="ListParagraph"/>
        <w:numPr>
          <w:ilvl w:val="0"/>
          <w:numId w:val="409"/>
        </w:numPr>
        <w:spacing w:after="0" w:line="240" w:lineRule="auto"/>
        <w:rPr>
          <w:rFonts w:eastAsia="Times New Roman" w:cstheme="minorHAnsi"/>
          <w:szCs w:val="20"/>
          <w:lang w:eastAsia="hr-HR"/>
        </w:rPr>
      </w:pPr>
      <w:r w:rsidRPr="00C462A0">
        <w:rPr>
          <w:rFonts w:eastAsia="Times New Roman" w:cstheme="minorHAnsi"/>
          <w:szCs w:val="20"/>
          <w:lang w:eastAsia="hr-HR"/>
        </w:rPr>
        <w:t xml:space="preserve">European Commission – Data Governance Act (Regulation (EU) 2022/868), </w:t>
      </w:r>
      <w:hyperlink r:id="rId111" w:tgtFrame="_new" w:history="1">
        <w:r w:rsidRPr="00C462A0">
          <w:rPr>
            <w:rFonts w:eastAsia="Times New Roman" w:cstheme="minorHAnsi"/>
            <w:color w:val="00AC4E" w:themeColor="accent1"/>
            <w:szCs w:val="20"/>
            <w:u w:val="single"/>
            <w:lang w:eastAsia="hr-HR"/>
          </w:rPr>
          <w:t>https://eur-lex.europa.eu/eli/reg/2022/868/oj</w:t>
        </w:r>
      </w:hyperlink>
      <w:r w:rsidRPr="00C462A0">
        <w:rPr>
          <w:rFonts w:eastAsia="Times New Roman" w:cstheme="minorHAnsi"/>
          <w:color w:val="00AC4E" w:themeColor="accent1"/>
          <w:szCs w:val="20"/>
          <w:lang w:eastAsia="hr-HR"/>
        </w:rPr>
        <w:t xml:space="preserve"> </w:t>
      </w:r>
    </w:p>
    <w:p w14:paraId="5ED4663C" w14:textId="1945D3D7" w:rsidR="00475992" w:rsidRPr="00C462A0" w:rsidRDefault="00475992" w:rsidP="00475992">
      <w:pPr>
        <w:pStyle w:val="ListParagraph"/>
        <w:numPr>
          <w:ilvl w:val="0"/>
          <w:numId w:val="409"/>
        </w:numPr>
        <w:spacing w:after="0" w:line="240" w:lineRule="auto"/>
        <w:rPr>
          <w:rFonts w:eastAsia="Times New Roman" w:cstheme="minorHAnsi"/>
          <w:szCs w:val="20"/>
          <w:lang w:eastAsia="hr-HR"/>
        </w:rPr>
      </w:pPr>
      <w:r w:rsidRPr="00C462A0">
        <w:rPr>
          <w:rFonts w:eastAsia="Times New Roman" w:cstheme="minorHAnsi"/>
          <w:szCs w:val="20"/>
          <w:lang w:eastAsia="hr-HR"/>
        </w:rPr>
        <w:t xml:space="preserve">Framework for Improving Critical Infrastructure Cybersecurity (NIST Cybersecurity Framework), </w:t>
      </w:r>
      <w:hyperlink r:id="rId112" w:tgtFrame="_new" w:history="1">
        <w:r w:rsidRPr="00C462A0">
          <w:rPr>
            <w:rFonts w:eastAsia="Times New Roman" w:cstheme="minorHAnsi"/>
            <w:color w:val="00AC4E" w:themeColor="accent1"/>
            <w:szCs w:val="20"/>
            <w:u w:val="single"/>
            <w:lang w:eastAsia="hr-HR"/>
          </w:rPr>
          <w:t>https://nvlpubs.nist.gov/nistpubs/CSWP/NIST.CSWP.29.pdf</w:t>
        </w:r>
      </w:hyperlink>
      <w:r w:rsidRPr="00C462A0">
        <w:rPr>
          <w:rFonts w:eastAsia="Times New Roman" w:cstheme="minorHAnsi"/>
          <w:color w:val="00AC4E" w:themeColor="accent1"/>
          <w:szCs w:val="20"/>
          <w:lang w:eastAsia="hr-HR"/>
        </w:rPr>
        <w:t xml:space="preserve"> </w:t>
      </w:r>
    </w:p>
    <w:p w14:paraId="1562FA65" w14:textId="3879ED7A" w:rsidR="00475992" w:rsidRPr="00C462A0" w:rsidRDefault="00475992" w:rsidP="00475992">
      <w:pPr>
        <w:pStyle w:val="ListParagraph"/>
        <w:numPr>
          <w:ilvl w:val="0"/>
          <w:numId w:val="409"/>
        </w:numPr>
        <w:spacing w:after="0" w:line="240" w:lineRule="auto"/>
        <w:rPr>
          <w:rFonts w:eastAsia="Times New Roman" w:cstheme="minorHAnsi"/>
          <w:szCs w:val="20"/>
          <w:lang w:eastAsia="hr-HR"/>
        </w:rPr>
      </w:pPr>
      <w:r w:rsidRPr="00C462A0">
        <w:rPr>
          <w:rFonts w:eastAsia="Times New Roman" w:cstheme="minorHAnsi"/>
          <w:szCs w:val="20"/>
          <w:lang w:eastAsia="hr-HR"/>
        </w:rPr>
        <w:t xml:space="preserve">Legal framework of EU data protection, </w:t>
      </w:r>
      <w:hyperlink r:id="rId113" w:tgtFrame="_new" w:history="1">
        <w:r w:rsidRPr="00C462A0">
          <w:rPr>
            <w:rFonts w:eastAsia="Times New Roman" w:cstheme="minorHAnsi"/>
            <w:color w:val="00AC4E" w:themeColor="accent1"/>
            <w:szCs w:val="20"/>
            <w:u w:val="single"/>
            <w:lang w:eastAsia="hr-HR"/>
          </w:rPr>
          <w:t>https://commission.europa.eu/law/law-topic/data-protection/legal-framework-eu-data-protection_en</w:t>
        </w:r>
      </w:hyperlink>
      <w:r w:rsidRPr="00C462A0">
        <w:rPr>
          <w:rFonts w:eastAsia="Times New Roman" w:cstheme="minorHAnsi"/>
          <w:color w:val="00AC4E" w:themeColor="accent1"/>
          <w:szCs w:val="20"/>
          <w:lang w:eastAsia="hr-HR"/>
        </w:rPr>
        <w:t xml:space="preserve"> </w:t>
      </w:r>
    </w:p>
    <w:p w14:paraId="112CAC11" w14:textId="00B9F522" w:rsidR="00475992" w:rsidRPr="00C462A0" w:rsidRDefault="00475992" w:rsidP="00475992">
      <w:pPr>
        <w:pStyle w:val="ListParagraph"/>
        <w:numPr>
          <w:ilvl w:val="0"/>
          <w:numId w:val="409"/>
        </w:numPr>
        <w:spacing w:after="0" w:line="240" w:lineRule="auto"/>
        <w:rPr>
          <w:rFonts w:eastAsia="Times New Roman" w:cstheme="minorHAnsi"/>
          <w:szCs w:val="20"/>
          <w:lang w:eastAsia="hr-HR"/>
        </w:rPr>
      </w:pPr>
      <w:r w:rsidRPr="00C462A0">
        <w:rPr>
          <w:rFonts w:eastAsia="Times New Roman" w:cstheme="minorHAnsi"/>
          <w:szCs w:val="20"/>
          <w:lang w:eastAsia="hr-HR"/>
        </w:rPr>
        <w:t xml:space="preserve">MITRE ATT&amp;CK – Enterprise Matrix, </w:t>
      </w:r>
      <w:hyperlink r:id="rId114" w:tgtFrame="_new" w:history="1">
        <w:r w:rsidRPr="00C462A0">
          <w:rPr>
            <w:rFonts w:eastAsia="Times New Roman" w:cstheme="minorHAnsi"/>
            <w:color w:val="00AC4E" w:themeColor="accent1"/>
            <w:szCs w:val="20"/>
            <w:u w:val="single"/>
            <w:lang w:eastAsia="hr-HR"/>
          </w:rPr>
          <w:t>https://attack.mitre.org/matrices/enterprise/</w:t>
        </w:r>
      </w:hyperlink>
      <w:r w:rsidRPr="00C462A0">
        <w:rPr>
          <w:rFonts w:eastAsia="Times New Roman" w:cstheme="minorHAnsi"/>
          <w:color w:val="00AC4E" w:themeColor="accent1"/>
          <w:szCs w:val="20"/>
          <w:lang w:eastAsia="hr-HR"/>
        </w:rPr>
        <w:t xml:space="preserve"> </w:t>
      </w:r>
    </w:p>
    <w:p w14:paraId="4BC158E0" w14:textId="67BC4149" w:rsidR="009B17D6" w:rsidRPr="00C462A0" w:rsidRDefault="00475992" w:rsidP="00475992">
      <w:pPr>
        <w:pStyle w:val="ListParagraph"/>
        <w:numPr>
          <w:ilvl w:val="0"/>
          <w:numId w:val="409"/>
        </w:numPr>
        <w:shd w:val="clear" w:color="auto" w:fill="FFFFFF"/>
        <w:spacing w:after="105" w:line="315" w:lineRule="atLeast"/>
        <w:rPr>
          <w:rFonts w:eastAsia="Times New Roman" w:cstheme="minorHAnsi"/>
          <w:b/>
          <w:bCs/>
          <w:color w:val="2B2D31"/>
          <w:szCs w:val="20"/>
          <w:lang w:eastAsia="hr-HR"/>
        </w:rPr>
      </w:pPr>
      <w:r w:rsidRPr="00C462A0">
        <w:rPr>
          <w:rFonts w:eastAsia="Times New Roman" w:cstheme="minorHAnsi"/>
          <w:szCs w:val="20"/>
          <w:lang w:eastAsia="hr-HR"/>
        </w:rPr>
        <w:t xml:space="preserve">OWASP – OWASP Top 10 (Web Applications), </w:t>
      </w:r>
      <w:hyperlink r:id="rId115" w:tgtFrame="_new" w:history="1">
        <w:r w:rsidRPr="00C462A0">
          <w:rPr>
            <w:rFonts w:eastAsia="Times New Roman" w:cstheme="minorHAnsi"/>
            <w:color w:val="00AC4E" w:themeColor="accent1"/>
            <w:szCs w:val="20"/>
            <w:u w:val="single"/>
            <w:lang w:eastAsia="hr-HR"/>
          </w:rPr>
          <w:t>https://owasp.org/Top10</w:t>
        </w:r>
      </w:hyperlink>
    </w:p>
    <w:p w14:paraId="0E263D9F" w14:textId="537B5B7F" w:rsidR="00531361" w:rsidRPr="00C462A0" w:rsidRDefault="00531361" w:rsidP="00475992">
      <w:pPr>
        <w:spacing w:line="276" w:lineRule="auto"/>
        <w:rPr>
          <w:rFonts w:cstheme="minorHAnsi"/>
          <w:szCs w:val="20"/>
        </w:rPr>
      </w:pPr>
    </w:p>
    <w:p w14:paraId="6C16B555" w14:textId="77777777" w:rsidR="00531361" w:rsidRPr="00C462A0" w:rsidRDefault="00531361" w:rsidP="00980D68">
      <w:pPr>
        <w:spacing w:line="276" w:lineRule="auto"/>
        <w:rPr>
          <w:rFonts w:cstheme="minorHAnsi"/>
          <w:szCs w:val="20"/>
        </w:rPr>
      </w:pPr>
    </w:p>
    <w:p w14:paraId="3E375D0A" w14:textId="77777777" w:rsidR="00531361" w:rsidRPr="00C462A0" w:rsidRDefault="00531361" w:rsidP="00980D68">
      <w:pPr>
        <w:spacing w:line="276" w:lineRule="auto"/>
        <w:rPr>
          <w:rFonts w:cstheme="minorHAnsi"/>
          <w:szCs w:val="20"/>
        </w:rPr>
      </w:pPr>
    </w:p>
    <w:p w14:paraId="25A12737" w14:textId="5036AEF7" w:rsidR="00091F56" w:rsidRPr="00C462A0" w:rsidRDefault="00091F56" w:rsidP="00980D68">
      <w:pPr>
        <w:spacing w:line="276" w:lineRule="auto"/>
        <w:rPr>
          <w:rFonts w:cstheme="minorHAnsi"/>
          <w:szCs w:val="20"/>
        </w:rPr>
      </w:pPr>
    </w:p>
    <w:p w14:paraId="209844D2" w14:textId="77777777" w:rsidR="00091F56" w:rsidRPr="00C462A0" w:rsidRDefault="00091F56" w:rsidP="00980D68">
      <w:pPr>
        <w:spacing w:line="276" w:lineRule="auto"/>
        <w:rPr>
          <w:rFonts w:cstheme="minorHAnsi"/>
          <w:szCs w:val="20"/>
        </w:rPr>
      </w:pPr>
    </w:p>
    <w:p w14:paraId="5EB81780" w14:textId="2BACD4E0" w:rsidR="00E04709" w:rsidRPr="00C462A0" w:rsidRDefault="00E04709" w:rsidP="00980D68">
      <w:pPr>
        <w:spacing w:line="276" w:lineRule="auto"/>
        <w:rPr>
          <w:szCs w:val="20"/>
        </w:rPr>
        <w:sectPr w:rsidR="00E04709" w:rsidRPr="00C462A0">
          <w:headerReference w:type="even" r:id="rId116"/>
          <w:headerReference w:type="default" r:id="rId117"/>
          <w:footerReference w:type="even" r:id="rId118"/>
          <w:footerReference w:type="default" r:id="rId119"/>
          <w:headerReference w:type="first" r:id="rId120"/>
          <w:footerReference w:type="first" r:id="rId121"/>
          <w:pgSz w:w="11906" w:h="16838"/>
          <w:pgMar w:top="1417" w:right="1134" w:bottom="1134" w:left="1134" w:header="510" w:footer="397" w:gutter="0"/>
          <w:pgNumType w:start="0"/>
          <w:cols w:space="708"/>
          <w:titlePg/>
        </w:sectPr>
      </w:pPr>
    </w:p>
    <w:p w14:paraId="576A7DA3" w14:textId="77777777" w:rsidR="00E04709" w:rsidRPr="00C462A0" w:rsidRDefault="00E04709" w:rsidP="00980D68">
      <w:pPr>
        <w:spacing w:line="276" w:lineRule="auto"/>
        <w:rPr>
          <w:szCs w:val="20"/>
        </w:rPr>
      </w:pPr>
    </w:p>
    <w:sectPr w:rsidR="00E04709" w:rsidRPr="00C462A0">
      <w:headerReference w:type="first" r:id="rId122"/>
      <w:footerReference w:type="first" r:id="rId123"/>
      <w:pgSz w:w="11906" w:h="16838"/>
      <w:pgMar w:top="1417" w:right="1134" w:bottom="1134" w:left="1134" w:header="510" w:footer="510" w:gutter="0"/>
      <w:pgNumType w:start="0"/>
      <w:cols w:space="708"/>
      <w:titlePg/>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7" w:author="Bogdan Costel Mocanu" w:date="2026-03-03T20:38:00Z" w:initials="BCM">
    <w:p w14:paraId="4AC80A22" w14:textId="77777777" w:rsidR="001243BF" w:rsidRDefault="001243BF">
      <w:pPr>
        <w:spacing w:after="0" w:line="240" w:lineRule="auto"/>
      </w:pPr>
      <w:r>
        <w:rPr>
          <w:rStyle w:val="CommentReference"/>
        </w:rPr>
        <w:annotationRef/>
      </w:r>
      <w:r>
        <w:rPr>
          <w:rFonts w:ascii="Arial" w:eastAsia="Arial" w:hAnsi="Arial" w:cs="Arial"/>
          <w:sz w:val="22"/>
        </w:rPr>
        <w:t>in the rist place we need to talck about encryption</w:t>
      </w:r>
    </w:p>
  </w:comment>
  <w:comment w:id="8" w:author="Alessia Libertucci" w:date="2026-03-05T15:19:00Z" w:initials="AL">
    <w:p w14:paraId="773996BC" w14:textId="77777777" w:rsidR="001243BF" w:rsidRDefault="001243BF">
      <w:pPr>
        <w:spacing w:after="0" w:line="240" w:lineRule="auto"/>
      </w:pPr>
      <w:r>
        <w:rPr>
          <w:rStyle w:val="CommentReference"/>
        </w:rPr>
        <w:annotationRef/>
      </w:r>
      <w:r>
        <w:rPr>
          <w:rFonts w:ascii="Arial" w:eastAsia="Arial" w:hAnsi="Arial" w:cs="Arial"/>
          <w:sz w:val="22"/>
        </w:rPr>
        <w:t>We'll explore the topic of encryption in more depth in the third module (topic 3.2).</w:t>
      </w:r>
    </w:p>
  </w:comment>
  <w:comment w:id="9" w:author="Bogdan Costel Mocanu" w:date="2026-03-03T20:39:00Z" w:initials="BCM">
    <w:p w14:paraId="7758A913" w14:textId="77777777" w:rsidR="001243BF" w:rsidRDefault="001243BF">
      <w:pPr>
        <w:spacing w:after="0" w:line="240" w:lineRule="auto"/>
      </w:pPr>
      <w:r>
        <w:rPr>
          <w:rStyle w:val="CommentReference"/>
        </w:rPr>
        <w:annotationRef/>
      </w:r>
      <w:r>
        <w:rPr>
          <w:rFonts w:ascii="Arial" w:eastAsia="Arial" w:hAnsi="Arial" w:cs="Arial"/>
          <w:sz w:val="22"/>
        </w:rPr>
        <w:t>symetric encryption / asymetric encryption</w:t>
      </w:r>
    </w:p>
  </w:comment>
  <w:comment w:id="47" w:author="Bogdan Costel Mocanu" w:date="2026-03-03T20:54:00Z" w:initials="BCM">
    <w:p w14:paraId="1D1D664C" w14:textId="77777777" w:rsidR="00954ED6" w:rsidRDefault="00954ED6">
      <w:pPr>
        <w:spacing w:after="0" w:line="240" w:lineRule="auto"/>
      </w:pPr>
      <w:r>
        <w:rPr>
          <w:rStyle w:val="CommentReference"/>
        </w:rPr>
        <w:annotationRef/>
      </w:r>
      <w:r>
        <w:rPr>
          <w:rFonts w:ascii="Arial" w:eastAsia="Arial" w:hAnsi="Arial" w:cs="Arial"/>
          <w:sz w:val="22"/>
        </w:rPr>
        <w:t>e. IAM Identity Access Management</w:t>
      </w:r>
    </w:p>
  </w:comment>
  <w:comment w:id="50" w:author="Bogdan Costel Mocanu" w:date="2026-03-03T20:55:00Z" w:initials="BCM">
    <w:p w14:paraId="317BEC2A" w14:textId="77777777" w:rsidR="006B0DE2" w:rsidRDefault="006B0DE2">
      <w:pPr>
        <w:spacing w:after="0" w:line="240" w:lineRule="auto"/>
      </w:pPr>
      <w:r>
        <w:rPr>
          <w:rStyle w:val="CommentReference"/>
        </w:rPr>
        <w:annotationRef/>
      </w:r>
      <w:r>
        <w:rPr>
          <w:rFonts w:ascii="Arial" w:eastAsia="Arial" w:hAnsi="Arial" w:cs="Arial"/>
          <w:sz w:val="22"/>
        </w:rPr>
        <w:t>hash</w:t>
      </w:r>
    </w:p>
  </w:comment>
  <w:comment w:id="51" w:author="Alessia Libertucci" w:date="2026-03-06T09:28:00Z" w:initials="AL">
    <w:p w14:paraId="7A1FE643" w14:textId="77777777" w:rsidR="006B0DE2" w:rsidRDefault="006B0DE2">
      <w:pPr>
        <w:spacing w:after="0" w:line="240" w:lineRule="auto"/>
      </w:pPr>
      <w:r>
        <w:rPr>
          <w:rStyle w:val="CommentReference"/>
        </w:rPr>
        <w:annotationRef/>
      </w:r>
      <w:r>
        <w:rPr>
          <w:rFonts w:ascii="Arial" w:eastAsia="Arial" w:hAnsi="Arial" w:cs="Arial"/>
          <w:sz w:val="22"/>
        </w:rPr>
        <w:t>Here we are talking about encryption; hashing is part of cryptography but not encryption.</w:t>
      </w:r>
    </w:p>
  </w:comment>
  <w:comment w:id="54" w:author="Bogdan Costel Mocanu" w:date="2026-03-03T20:58:00Z" w:initials="BCM">
    <w:p w14:paraId="672C9975" w14:textId="77777777" w:rsidR="006B0DE2" w:rsidRDefault="006B0DE2">
      <w:pPr>
        <w:spacing w:after="0" w:line="240" w:lineRule="auto"/>
      </w:pPr>
      <w:r>
        <w:rPr>
          <w:rStyle w:val="CommentReference"/>
        </w:rPr>
        <w:annotationRef/>
      </w:r>
      <w:r>
        <w:rPr>
          <w:rFonts w:ascii="Arial" w:eastAsia="Arial" w:hAnsi="Arial" w:cs="Arial"/>
          <w:sz w:val="22"/>
        </w:rPr>
        <w:t>length of the key</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4AC80A22" w15:done="1"/>
  <w15:commentEx w15:paraId="773996BC" w15:paraIdParent="4AC80A22" w15:done="1"/>
  <w15:commentEx w15:paraId="7758A913" w15:done="1"/>
  <w15:commentEx w15:paraId="1D1D664C" w15:done="1"/>
  <w15:commentEx w15:paraId="317BEC2A" w15:done="1"/>
  <w15:commentEx w15:paraId="7A1FE643" w15:paraIdParent="317BEC2A" w15:done="1"/>
  <w15:commentEx w15:paraId="672C9975"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3C27D1DD" w16cex:dateUtc="2026-03-03T19:38:00Z"/>
  <w16cex:commentExtensible w16cex:durableId="41462944" w16cex:dateUtc="2026-03-05T14:19:00Z"/>
  <w16cex:commentExtensible w16cex:durableId="51013FB8" w16cex:dateUtc="2026-03-03T19:39:00Z"/>
  <w16cex:commentExtensible w16cex:durableId="6D37A13F" w16cex:dateUtc="2026-03-03T19:54:00Z"/>
  <w16cex:commentExtensible w16cex:durableId="507088EE" w16cex:dateUtc="2026-03-03T19:55:00Z"/>
  <w16cex:commentExtensible w16cex:durableId="3A2A312C" w16cex:dateUtc="2026-03-06T08:28:00Z"/>
  <w16cex:commentExtensible w16cex:durableId="63C680A3" w16cex:dateUtc="2026-03-03T19:5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4AC80A22" w16cid:durableId="3C27D1DD"/>
  <w16cid:commentId w16cid:paraId="773996BC" w16cid:durableId="41462944"/>
  <w16cid:commentId w16cid:paraId="7758A913" w16cid:durableId="51013FB8"/>
  <w16cid:commentId w16cid:paraId="1D1D664C" w16cid:durableId="6D37A13F"/>
  <w16cid:commentId w16cid:paraId="317BEC2A" w16cid:durableId="507088EE"/>
  <w16cid:commentId w16cid:paraId="7A1FE643" w16cid:durableId="3A2A312C"/>
  <w16cid:commentId w16cid:paraId="672C9975" w16cid:durableId="63C680A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AA111E" w14:textId="77777777" w:rsidR="005D758B" w:rsidRDefault="005D758B">
      <w:pPr>
        <w:spacing w:after="0" w:line="240" w:lineRule="auto"/>
      </w:pPr>
      <w:r>
        <w:separator/>
      </w:r>
    </w:p>
    <w:p w14:paraId="0C5FADC1" w14:textId="77777777" w:rsidR="005D758B" w:rsidRDefault="005D758B"/>
    <w:p w14:paraId="4D997059" w14:textId="77777777" w:rsidR="005D758B" w:rsidRDefault="005D758B"/>
    <w:p w14:paraId="1277D8C2" w14:textId="77777777" w:rsidR="005D758B" w:rsidRDefault="005D758B"/>
  </w:endnote>
  <w:endnote w:type="continuationSeparator" w:id="0">
    <w:p w14:paraId="4E0D183F" w14:textId="77777777" w:rsidR="005D758B" w:rsidRDefault="005D758B">
      <w:pPr>
        <w:spacing w:after="0" w:line="240" w:lineRule="auto"/>
      </w:pPr>
      <w:r>
        <w:continuationSeparator/>
      </w:r>
    </w:p>
    <w:p w14:paraId="6767F862" w14:textId="77777777" w:rsidR="005D758B" w:rsidRDefault="005D758B"/>
    <w:p w14:paraId="1AB0BD17" w14:textId="77777777" w:rsidR="005D758B" w:rsidRDefault="005D758B"/>
    <w:p w14:paraId="0952EE01" w14:textId="77777777" w:rsidR="005D758B" w:rsidRDefault="005D758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ork Sans SemiBold">
    <w:charset w:val="EE"/>
    <w:family w:val="auto"/>
    <w:pitch w:val="variable"/>
    <w:sig w:usb0="A00000FF" w:usb1="5000E07B" w:usb2="00000000" w:usb3="00000000" w:csb0="00000193" w:csb1="00000000"/>
  </w:font>
  <w:font w:name="Poppins">
    <w:charset w:val="EE"/>
    <w:family w:val="auto"/>
    <w:pitch w:val="variable"/>
    <w:sig w:usb0="00008007" w:usb1="00000000" w:usb2="00000000" w:usb3="00000000" w:csb0="00000093" w:csb1="00000000"/>
  </w:font>
  <w:font w:name="Titillium Web Bold">
    <w:altName w:val="Titillium Web"/>
    <w:panose1 w:val="00000000000000000000"/>
    <w:charset w:val="00"/>
    <w:family w:val="roman"/>
    <w:notTrueType/>
    <w:pitch w:val="default"/>
  </w:font>
  <w:font w:name="Poppins SemiBold">
    <w:charset w:val="EE"/>
    <w:family w:val="auto"/>
    <w:pitch w:val="variable"/>
    <w:sig w:usb0="00008007" w:usb1="00000000" w:usb2="00000000" w:usb3="00000000" w:csb0="00000093" w:csb1="00000000"/>
  </w:font>
  <w:font w:name="Work Sans">
    <w:charset w:val="EE"/>
    <w:family w:val="auto"/>
    <w:pitch w:val="variable"/>
    <w:sig w:usb0="A00000FF" w:usb1="5000E07B" w:usb2="00000000" w:usb3="00000000" w:csb0="00000193" w:csb1="00000000"/>
  </w:font>
  <w:font w:name="Fira Sans Extra Condensed">
    <w:charset w:val="00"/>
    <w:family w:val="swiss"/>
    <w:pitch w:val="variable"/>
    <w:sig w:usb0="600002FF" w:usb1="00000001" w:usb2="00000000" w:usb3="00000000" w:csb0="0000019F" w:csb1="00000000"/>
  </w:font>
  <w:font w:name="Noto Sans JP">
    <w:charset w:val="00"/>
    <w:family w:val="auto"/>
    <w:pitch w:val="default"/>
  </w:font>
  <w:font w:name="Hind Madurai">
    <w:charset w:val="EE"/>
    <w:family w:val="auto"/>
    <w:pitch w:val="variable"/>
    <w:sig w:usb0="00100007" w:usb1="00000000" w:usb2="00000000" w:usb3="00000000" w:csb0="00000093" w:csb1="00000000"/>
  </w:font>
  <w:font w:name="Titillium Web Light">
    <w:charset w:val="EE"/>
    <w:family w:val="auto"/>
    <w:pitch w:val="variable"/>
    <w:sig w:usb0="00000007" w:usb1="00000001"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5901FE" w14:textId="77777777" w:rsidR="00243017" w:rsidRDefault="0024301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9E0528" w14:textId="0E3DF807" w:rsidR="00E04709" w:rsidRDefault="00000000">
    <w:pPr>
      <w:pStyle w:val="Header"/>
      <w:jc w:val="both"/>
    </w:pPr>
    <w:r>
      <w:rPr>
        <w:noProof/>
      </w:rPr>
      <w:drawing>
        <wp:anchor distT="0" distB="0" distL="114300" distR="114300" simplePos="0" relativeHeight="251680256" behindDoc="1" locked="0" layoutInCell="1" allowOverlap="1" wp14:anchorId="5AA7D2BB" wp14:editId="21C31393">
          <wp:simplePos x="0" y="0"/>
          <wp:positionH relativeFrom="column">
            <wp:posOffset>4518660</wp:posOffset>
          </wp:positionH>
          <wp:positionV relativeFrom="paragraph">
            <wp:posOffset>-209550</wp:posOffset>
          </wp:positionV>
          <wp:extent cx="1615440" cy="358775"/>
          <wp:effectExtent l="0" t="0" r="0" b="3175"/>
          <wp:wrapNone/>
          <wp:docPr id="6" name="Picture 1" descr="Blue text on a black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Picture 2" descr="Blue text on a black background&#10;&#10;Description automatically generated"/>
                  <pic:cNvPicPr/>
                </pic:nvPicPr>
                <pic:blipFill>
                  <a:blip r:embed="rId1"/>
                  <a:stretch/>
                </pic:blipFill>
                <pic:spPr bwMode="auto">
                  <a:xfrm>
                    <a:off x="0" y="0"/>
                    <a:ext cx="1615440" cy="358775"/>
                  </a:xfrm>
                  <a:prstGeom prst="rect">
                    <a:avLst/>
                  </a:prstGeom>
                  <a:noFill/>
                  <a:ln>
                    <a:noFill/>
                  </a:ln>
                </pic:spPr>
              </pic:pic>
            </a:graphicData>
          </a:graphic>
          <wp14:sizeRelH relativeFrom="page">
            <wp14:pctWidth>0</wp14:pctWidth>
          </wp14:sizeRelH>
          <wp14:sizeRelV relativeFrom="page">
            <wp14:pctHeight>0</wp14:pctHeight>
          </wp14:sizeRelV>
        </wp:anchor>
      </w:drawing>
    </w:r>
    <w:r w:rsidR="00243017">
      <w:rPr>
        <w:color w:val="A6A6A6" w:themeColor="background1" w:themeShade="A6"/>
        <w:lang w:val="it-IT"/>
      </w:rPr>
      <w:t>Cybersecurity for Sustanable Systems</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705DB" w14:textId="77777777" w:rsidR="00E04709" w:rsidRDefault="00E04709">
    <w:pPr>
      <w:pStyle w:val="Footer"/>
    </w:pPr>
  </w:p>
  <w:p w14:paraId="475889BC" w14:textId="77777777" w:rsidR="00E04709" w:rsidRDefault="00E04709">
    <w:pPr>
      <w:pStyle w:val="Footer"/>
    </w:pPr>
  </w:p>
  <w:p w14:paraId="2AA8CFC8" w14:textId="77777777" w:rsidR="00E04709" w:rsidRDefault="00E04709">
    <w:pPr>
      <w:pStyle w:val="Footer"/>
    </w:pPr>
  </w:p>
  <w:p w14:paraId="2938075F" w14:textId="77777777" w:rsidR="00E04709" w:rsidRDefault="00000000">
    <w:pPr>
      <w:pStyle w:val="Footer"/>
    </w:pPr>
    <w:r>
      <w:rPr>
        <w:noProof/>
      </w:rPr>
      <mc:AlternateContent>
        <mc:Choice Requires="wpg">
          <w:drawing>
            <wp:anchor distT="0" distB="0" distL="114300" distR="114300" simplePos="0" relativeHeight="251679232" behindDoc="1" locked="0" layoutInCell="1" allowOverlap="1" wp14:anchorId="36F83940" wp14:editId="6BB9233D">
              <wp:simplePos x="0" y="0"/>
              <wp:positionH relativeFrom="column">
                <wp:posOffset>4566285</wp:posOffset>
              </wp:positionH>
              <wp:positionV relativeFrom="paragraph">
                <wp:posOffset>62468</wp:posOffset>
              </wp:positionV>
              <wp:extent cx="1610995" cy="337978"/>
              <wp:effectExtent l="0" t="0" r="8255" b="5080"/>
              <wp:wrapNone/>
              <wp:docPr id="740835535" name="Picture 1"/>
              <wp:cNvGraphicFramePr/>
              <a:graphic xmlns:a="http://schemas.openxmlformats.org/drawingml/2006/main">
                <a:graphicData uri="http://schemas.openxmlformats.org/drawingml/2006/picture">
                  <pic:pic xmlns:pic="http://schemas.openxmlformats.org/drawingml/2006/picture">
                    <pic:nvPicPr>
                      <pic:cNvPr id="391857708" name="Picture 1"/>
                      <pic:cNvPicPr/>
                    </pic:nvPicPr>
                    <pic:blipFill>
                      <a:blip r:embed="rId1"/>
                      <a:stretch/>
                    </pic:blipFill>
                    <pic:spPr bwMode="auto">
                      <a:xfrm>
                        <a:off x="0" y="0"/>
                        <a:ext cx="1610995" cy="337978"/>
                      </a:xfrm>
                      <a:prstGeom prst="rect">
                        <a:avLst/>
                      </a:prstGeom>
                      <a:noFill/>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position:absolute;z-index:-251679232;o:allowoverlap:true;o:allowincell:true;mso-position-horizontal-relative:text;margin-left:359.55pt;mso-position-horizontal:absolute;mso-position-vertical-relative:text;margin-top:4.92pt;mso-position-vertical:absolute;width:126.85pt;height:26.61pt;mso-wrap-distance-left:9.00pt;mso-wrap-distance-top:0.00pt;mso-wrap-distance-right:9.00pt;mso-wrap-distance-bottom:0.00pt;z-index:1;" stroked="f">
              <v:imagedata r:id="rId2" o:title=""/>
              <o:lock v:ext="edit" rotation="t"/>
            </v:shape>
          </w:pict>
        </mc:Fallback>
      </mc:AlternateContent>
    </w:r>
  </w:p>
  <w:p w14:paraId="6880F7DA" w14:textId="58B4A164" w:rsidR="00E04709" w:rsidRDefault="001243BF">
    <w:pPr>
      <w:pStyle w:val="Footer"/>
      <w:tabs>
        <w:tab w:val="clear" w:pos="4819"/>
        <w:tab w:val="clear" w:pos="9638"/>
        <w:tab w:val="left" w:pos="1440"/>
      </w:tabs>
    </w:pPr>
    <w:r w:rsidRPr="001243BF">
      <w:rPr>
        <w:caps/>
        <w:color w:val="808080" w:themeColor="background1" w:themeShade="80"/>
        <w:szCs w:val="20"/>
        <w:lang w:val="en-IE"/>
      </w:rPr>
      <w:t>Cybersecurity for Sustainable Systems</w:t>
    </w:r>
  </w:p>
  <w:p w14:paraId="36B16427" w14:textId="093C31A4" w:rsidR="00E04709" w:rsidRDefault="00000000" w:rsidP="00725F35">
    <w:pPr>
      <w:pStyle w:val="Footer"/>
      <w:tabs>
        <w:tab w:val="clear" w:pos="4819"/>
        <w:tab w:val="clear" w:pos="9638"/>
        <w:tab w:val="left" w:pos="1440"/>
        <w:tab w:val="left" w:pos="3945"/>
      </w:tabs>
    </w:pPr>
    <w:r>
      <w:tab/>
    </w:r>
    <w:r w:rsidR="00725F35">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051326" w14:textId="77777777" w:rsidR="00E04709" w:rsidRDefault="00000000">
    <w:pPr>
      <w:pStyle w:val="Header"/>
      <w:jc w:val="both"/>
    </w:pPr>
    <w:r>
      <w:rPr>
        <w:color w:val="A6A6A6" w:themeColor="background1" w:themeShade="A6"/>
      </w:rPr>
      <w:tab/>
    </w:r>
    <w:r>
      <w:rPr>
        <w:color w:val="A6A6A6" w:themeColor="background1" w:themeShade="A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737C7A" w14:textId="77777777" w:rsidR="005D758B" w:rsidRDefault="005D758B">
      <w:pPr>
        <w:spacing w:after="0" w:line="240" w:lineRule="auto"/>
      </w:pPr>
      <w:r>
        <w:separator/>
      </w:r>
    </w:p>
  </w:footnote>
  <w:footnote w:type="continuationSeparator" w:id="0">
    <w:p w14:paraId="75CF41C6" w14:textId="77777777" w:rsidR="005D758B" w:rsidRDefault="005D758B">
      <w:pPr>
        <w:spacing w:after="0" w:line="240" w:lineRule="auto"/>
      </w:pPr>
      <w:r>
        <w:continuationSeparator/>
      </w:r>
    </w:p>
    <w:p w14:paraId="2B1B3A00" w14:textId="77777777" w:rsidR="005D758B" w:rsidRDefault="005D758B"/>
    <w:p w14:paraId="4E8CC939" w14:textId="77777777" w:rsidR="005D758B" w:rsidRDefault="005D758B"/>
    <w:p w14:paraId="0A106488" w14:textId="77777777" w:rsidR="005D758B" w:rsidRDefault="005D758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1E8128" w14:textId="77777777" w:rsidR="00243017" w:rsidRDefault="0024301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4442B0" w14:textId="77777777" w:rsidR="00E04709" w:rsidRDefault="00000000">
    <w:pPr>
      <w:pStyle w:val="Header"/>
    </w:pPr>
    <w:r>
      <w:rPr>
        <w:noProof/>
        <w:color w:val="283A97" w:themeColor="accent3"/>
      </w:rPr>
      <mc:AlternateContent>
        <mc:Choice Requires="wpg">
          <w:drawing>
            <wp:anchor distT="0" distB="0" distL="114300" distR="114300" simplePos="0" relativeHeight="251659264" behindDoc="0" locked="0" layoutInCell="1" allowOverlap="1" wp14:anchorId="750FA868" wp14:editId="74BC8EFF">
              <wp:simplePos x="0" y="0"/>
              <wp:positionH relativeFrom="margin">
                <wp:posOffset>5857137</wp:posOffset>
              </wp:positionH>
              <wp:positionV relativeFrom="paragraph">
                <wp:posOffset>-122440</wp:posOffset>
              </wp:positionV>
              <wp:extent cx="722072" cy="612285"/>
              <wp:effectExtent l="0" t="0" r="1905" b="0"/>
              <wp:wrapNone/>
              <wp:docPr id="176869504" name="Graphic 1496204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204477" name="Graphic 1496204477"/>
                      <pic:cNvPicPr>
                        <a:picLocks noChangeAspect="1"/>
                      </pic:cNvPicPr>
                    </pic:nvPicPr>
                    <pic:blipFill>
                      <a:blip r:embed="rId1"/>
                      <a:srcRect l="-2498" t="-3118" r="1" b="-1876"/>
                      <a:stretch/>
                    </pic:blipFill>
                    <pic:spPr bwMode="auto">
                      <a:xfrm>
                        <a:off x="0" y="0"/>
                        <a:ext cx="722072" cy="612285"/>
                      </a:xfrm>
                      <a:prstGeom prst="rect">
                        <a:avLst/>
                      </a:prstGeom>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51659264;o:allowoverlap:true;o:allowincell:true;mso-position-horizontal-relative:margin;margin-left:461.19pt;mso-position-horizontal:absolute;mso-position-vertical-relative:text;margin-top:-9.64pt;mso-position-vertical:absolute;width:56.86pt;height:48.21pt;mso-wrap-distance-left:9.00pt;mso-wrap-distance-top:0.00pt;mso-wrap-distance-right:9.00pt;mso-wrap-distance-bottom:0.00pt;z-index:1;" stroked="f">
              <v:imagedata r:id="rId2" o:title=""/>
              <o:lock v:ext="edit" rotation="t"/>
            </v:shape>
          </w:pict>
        </mc:Fallback>
      </mc:AlternateContent>
    </w:r>
    <w:r>
      <w:rPr>
        <w:noProof/>
      </w:rPr>
      <mc:AlternateContent>
        <mc:Choice Requires="wpg">
          <w:drawing>
            <wp:inline distT="0" distB="0" distL="0" distR="0" wp14:anchorId="00C6B82A" wp14:editId="6293C98B">
              <wp:extent cx="1486403" cy="267552"/>
              <wp:effectExtent l="0" t="0" r="0" b="0"/>
              <wp:docPr id="17439131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pic:cNvPicPr>
                    </pic:nvPicPr>
                    <pic:blipFill>
                      <a:blip r:embed="rId3"/>
                      <a:stretch/>
                    </pic:blipFill>
                    <pic:spPr bwMode="auto">
                      <a:xfrm>
                        <a:off x="0" y="0"/>
                        <a:ext cx="1486403" cy="267552"/>
                      </a:xfrm>
                      <a:prstGeom prst="rect">
                        <a:avLst/>
                      </a:prstGeom>
                      <a:noFill/>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17.04pt;height:21.07pt;mso-wrap-distance-left:0.00pt;mso-wrap-distance-top:0.00pt;mso-wrap-distance-right:0.00pt;mso-wrap-distance-bottom:0.00pt;z-index:1;" stroked="f">
              <v:imagedata r:id="rId4" o:title=""/>
              <o:lock v:ext="edit" rotation="t"/>
            </v:shape>
          </w:pict>
        </mc:Fallback>
      </mc:AlternateContent>
    </w:r>
    <w:r>
      <w:t xml:space="preserve">     </w:t>
    </w:r>
  </w:p>
  <w:p w14:paraId="50BF38A5" w14:textId="77777777" w:rsidR="00E04709" w:rsidRDefault="00E04709">
    <w:pPr>
      <w:pStyle w:val="Header"/>
    </w:pPr>
  </w:p>
  <w:p w14:paraId="52ED028F" w14:textId="77777777" w:rsidR="00E04709" w:rsidRDefault="00E0470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14BDBB" w14:textId="77777777" w:rsidR="00E04709" w:rsidRDefault="00000000">
    <w:pPr>
      <w:pStyle w:val="Header"/>
      <w:jc w:val="right"/>
    </w:pPr>
    <w:r>
      <w:rPr>
        <w:noProof/>
      </w:rPr>
      <mc:AlternateContent>
        <mc:Choice Requires="wpg">
          <w:drawing>
            <wp:anchor distT="0" distB="0" distL="114300" distR="114300" simplePos="0" relativeHeight="251668992" behindDoc="1" locked="0" layoutInCell="1" allowOverlap="1" wp14:anchorId="4D07F5CC" wp14:editId="456D7A96">
              <wp:simplePos x="0" y="0"/>
              <wp:positionH relativeFrom="column">
                <wp:posOffset>-739140</wp:posOffset>
              </wp:positionH>
              <wp:positionV relativeFrom="paragraph">
                <wp:posOffset>-377190</wp:posOffset>
              </wp:positionV>
              <wp:extent cx="7582535" cy="10720705"/>
              <wp:effectExtent l="0" t="0" r="0" b="4445"/>
              <wp:wrapNone/>
              <wp:docPr id="238237911" name="Picture 149025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546384" name="Picture 2035546384"/>
                      <pic:cNvPicPr>
                        <a:picLocks noChangeAspect="1"/>
                      </pic:cNvPicPr>
                    </pic:nvPicPr>
                    <pic:blipFill>
                      <a:blip r:embed="rId1"/>
                      <a:stretch/>
                    </pic:blipFill>
                    <pic:spPr bwMode="auto">
                      <a:xfrm>
                        <a:off x="0" y="0"/>
                        <a:ext cx="7582535" cy="10720705"/>
                      </a:xfrm>
                      <a:prstGeom prst="rect">
                        <a:avLst/>
                      </a:prstGeom>
                      <a:noFill/>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68992;o:allowoverlap:true;o:allowincell:true;mso-position-horizontal-relative:text;margin-left:-58.20pt;mso-position-horizontal:absolute;mso-position-vertical-relative:text;margin-top:-29.70pt;mso-position-vertical:absolute;width:597.05pt;height:844.15pt;mso-wrap-distance-left:9.00pt;mso-wrap-distance-top:0.00pt;mso-wrap-distance-right:9.00pt;mso-wrap-distance-bottom:0.00pt;z-index:1;" stroked="f">
              <v:imagedata r:id="rId2" o:title=""/>
              <o:lock v:ext="edit" rotation="t"/>
            </v:shape>
          </w:pict>
        </mc:Fallback>
      </mc:AlternateContent>
    </w:r>
    <w:r>
      <w:t xml:space="preserve">                                                                                                                                                                </w:t>
    </w:r>
  </w:p>
  <w:p w14:paraId="52BF956F" w14:textId="77777777" w:rsidR="00E04709" w:rsidRDefault="00000000">
    <w:pPr>
      <w:pStyle w:val="Header"/>
      <w:jc w:val="right"/>
    </w:pPr>
    <w:r>
      <w:rPr>
        <w:noProof/>
      </w:rPr>
      <mc:AlternateContent>
        <mc:Choice Requires="wpg">
          <w:drawing>
            <wp:inline distT="0" distB="0" distL="0" distR="0" wp14:anchorId="1404A06A" wp14:editId="108AC6C5">
              <wp:extent cx="1349597" cy="973397"/>
              <wp:effectExtent l="0" t="0" r="3175" b="0"/>
              <wp:docPr id="91803885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1"/>
                      <pic:cNvPicPr>
                        <a:picLocks noChangeAspect="1"/>
                      </pic:cNvPicPr>
                    </pic:nvPicPr>
                    <pic:blipFill>
                      <a:blip r:embed="rId3"/>
                      <a:stretch/>
                    </pic:blipFill>
                    <pic:spPr bwMode="auto">
                      <a:xfrm>
                        <a:off x="0" y="0"/>
                        <a:ext cx="1349597" cy="973397"/>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106.27pt;height:76.65pt;mso-wrap-distance-left:0.00pt;mso-wrap-distance-top:0.00pt;mso-wrap-distance-right:0.00pt;mso-wrap-distance-bottom:0.00pt;z-index:1;" stroked="false">
              <v:imagedata r:id="rId4" o:title=""/>
              <o:lock v:ext="edit" rotation="t"/>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90D83E" w14:textId="77777777" w:rsidR="00E04709" w:rsidRDefault="00000000">
    <w:pPr>
      <w:tabs>
        <w:tab w:val="left" w:pos="8676"/>
      </w:tabs>
      <w:rPr>
        <w:color w:val="FFFFFF" w:themeColor="background1"/>
      </w:rPr>
    </w:pPr>
    <w:r>
      <w:rPr>
        <w:noProof/>
      </w:rPr>
      <mc:AlternateContent>
        <mc:Choice Requires="wpg">
          <w:drawing>
            <wp:anchor distT="0" distB="0" distL="114300" distR="114300" simplePos="0" relativeHeight="251658239" behindDoc="1" locked="0" layoutInCell="1" allowOverlap="1" wp14:anchorId="3889D6F1" wp14:editId="1B07B817">
              <wp:simplePos x="0" y="0"/>
              <wp:positionH relativeFrom="column">
                <wp:posOffset>-720090</wp:posOffset>
              </wp:positionH>
              <wp:positionV relativeFrom="paragraph">
                <wp:posOffset>-323850</wp:posOffset>
              </wp:positionV>
              <wp:extent cx="7600950" cy="10801350"/>
              <wp:effectExtent l="0" t="0" r="19050" b="19050"/>
              <wp:wrapNone/>
              <wp:docPr id="5" name="Rectangle 1669171747"/>
              <wp:cNvGraphicFramePr/>
              <a:graphic xmlns:a="http://schemas.openxmlformats.org/drawingml/2006/main">
                <a:graphicData uri="http://schemas.microsoft.com/office/word/2010/wordprocessingShape">
                  <wps:wsp>
                    <wps:cNvSpPr/>
                    <wps:spPr bwMode="auto">
                      <a:xfrm>
                        <a:off x="0" y="0"/>
                        <a:ext cx="7600950" cy="10801350"/>
                      </a:xfrm>
                      <a:prstGeom prst="rect">
                        <a:avLst/>
                      </a:prstGeom>
                      <a:blipFill>
                        <a:blip r:embed="rId1"/>
                        <a:stretch/>
                      </a:blipFill>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shape id="shape 4" o:spid="_x0000_s4" o:spt="1" type="#_x0000_t1" style="position:absolute;z-index:-251658239;o:allowoverlap:true;o:allowincell:true;mso-position-horizontal-relative:text;margin-left:-56.70pt;mso-position-horizontal:absolute;mso-position-vertical-relative:text;margin-top:-25.50pt;mso-position-vertical:absolute;width:598.50pt;height:850.50pt;mso-wrap-distance-left:9.00pt;mso-wrap-distance-top:0.00pt;mso-wrap-distance-right:9.00pt;mso-wrap-distance-bottom:0.00pt;visibility:visible;" strokecolor="#005627" strokeweight="1.00pt">
              <v:fill r:id="rId2" o:title="" type="frame"/>
              <v:stroke dashstyle="solid"/>
            </v:shape>
          </w:pict>
        </mc:Fallback>
      </mc:AlternateContent>
    </w:r>
    <w:r>
      <w:rPr>
        <w:color w:val="FFFFFF" w:themeColor="background1"/>
      </w:rPr>
      <w:tab/>
    </w:r>
  </w:p>
  <w:p w14:paraId="4AC48582" w14:textId="77777777" w:rsidR="00E04709" w:rsidRDefault="00E04709">
    <w:pPr>
      <w:jc w:val="right"/>
    </w:pPr>
  </w:p>
  <w:p w14:paraId="7042B4E6" w14:textId="77777777" w:rsidR="00E04709" w:rsidRDefault="00000000">
    <w:pPr>
      <w:tabs>
        <w:tab w:val="left" w:pos="8940"/>
      </w:tabs>
    </w:pPr>
    <w:r>
      <w:tab/>
    </w:r>
  </w:p>
  <w:p w14:paraId="4A22D23E" w14:textId="77777777" w:rsidR="00E04709" w:rsidRDefault="00000000">
    <w:pPr>
      <w:rPr>
        <w:rFonts w:cstheme="minorHAnsi"/>
        <w:b/>
        <w:bCs/>
        <w:color w:val="F5F5F6" w:themeColor="background2"/>
        <w:szCs w:val="20"/>
      </w:rPr>
    </w:pPr>
    <w:r>
      <w:rPr>
        <w:rFonts w:cstheme="minorHAnsi"/>
        <w:b/>
        <w:bCs/>
        <w:color w:val="F5F5F6" w:themeColor="background2"/>
        <w:szCs w:val="20"/>
      </w:rPr>
      <w:t xml:space="preserve">Disclaimer </w:t>
    </w:r>
  </w:p>
  <w:p w14:paraId="34E86393" w14:textId="77777777" w:rsidR="00E04709" w:rsidRDefault="00000000">
    <w:pPr>
      <w:rPr>
        <w:color w:val="FFFFFF" w:themeColor="background1"/>
        <w:szCs w:val="20"/>
      </w:rPr>
    </w:pPr>
    <w:r>
      <w:rPr>
        <w:rFonts w:cstheme="minorHAnsi"/>
        <w:i/>
        <w:iCs/>
        <w:color w:val="F5F5F6" w:themeColor="background2"/>
        <w:szCs w:val="20"/>
      </w:rPr>
      <w:t>Funded by the European Union. Views and opinions expressed are however those of the author(s) only and do not necessarily reflect those of the European Union or the European Education and Culture Executive Agency (EACEA). Neither the European Union nor EACEA can be held responsible for them</w:t>
    </w:r>
    <w:r>
      <w:rPr>
        <w:rFonts w:asciiTheme="majorHAnsi" w:hAnsiTheme="majorHAnsi"/>
        <w:i/>
        <w:iCs/>
        <w:color w:val="F5F5F6" w:themeColor="background2"/>
        <w:sz w:val="22"/>
        <w:szCs w:val="22"/>
      </w:rPr>
      <w:t>.</w:t>
    </w:r>
    <w:r>
      <w:rPr>
        <w:rStyle w:val="SubtleEmphasis"/>
        <w:color w:val="FFFFFF" w:themeColor="background1"/>
      </w:rPr>
      <w:t xml:space="preserve"> The resources contained herein are publicly available under the Creative Commons license 4.0 B.Y."</w:t>
    </w:r>
  </w:p>
  <w:p w14:paraId="5240CA14" w14:textId="77777777" w:rsidR="00E04709" w:rsidRDefault="00E04709">
    <w:pPr>
      <w:rPr>
        <w:szCs w:val="20"/>
      </w:rPr>
    </w:pPr>
  </w:p>
  <w:p w14:paraId="1A954CA4" w14:textId="77777777" w:rsidR="00E04709" w:rsidRDefault="00000000">
    <w:pPr>
      <w:pStyle w:val="NoSpacing"/>
      <w:rPr>
        <w:color w:val="F5F5F6" w:themeColor="background2"/>
      </w:rPr>
    </w:pPr>
    <w:r>
      <w:rPr>
        <w:color w:val="F5F5F6" w:themeColor="background2"/>
      </w:rPr>
      <w:t>Project: 101140316 — D4Sustainability — ERASMUS-EDU-2023-PI-ALL-INNO</w:t>
    </w:r>
  </w:p>
  <w:p w14:paraId="6CA9EE37" w14:textId="77777777" w:rsidR="00E04709" w:rsidRDefault="00000000">
    <w:pPr>
      <w:pStyle w:val="NoSpacing"/>
      <w:rPr>
        <w:color w:val="F5F5F6" w:themeColor="background2"/>
      </w:rPr>
    </w:pPr>
    <w:r>
      <w:rPr>
        <w:color w:val="F5F5F6" w:themeColor="background2"/>
      </w:rPr>
      <w:t>Copyright © 2024 by D4Sustainability Consortium</w:t>
    </w:r>
  </w:p>
  <w:p w14:paraId="4E24AE7D" w14:textId="77777777" w:rsidR="00E04709" w:rsidRDefault="00000000">
    <w:pPr>
      <w:pStyle w:val="NoSpacing"/>
    </w:pPr>
    <w:r>
      <w:rPr>
        <w:color w:val="F5F5F6" w:themeColor="background2"/>
      </w:rPr>
      <w:t>All rights reserved</w:t>
    </w:r>
  </w:p>
  <w:p w14:paraId="7046CAA6" w14:textId="77777777" w:rsidR="00E04709" w:rsidRDefault="00E0470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13B9E"/>
    <w:multiLevelType w:val="multilevel"/>
    <w:tmpl w:val="BA3AEA26"/>
    <w:lvl w:ilvl="0">
      <w:start w:val="1"/>
      <w:numFmt w:val="bullet"/>
      <w:lvlText w:val="·"/>
      <w:lvlJc w:val="left"/>
      <w:pPr>
        <w:ind w:left="0" w:hanging="360"/>
      </w:pPr>
      <w:rPr>
        <w:rFonts w:ascii="Symbol" w:eastAsia="Symbol" w:hAnsi="Symbol" w:cs="Symbol" w:hint="default"/>
      </w:rPr>
    </w:lvl>
    <w:lvl w:ilvl="1">
      <w:start w:val="1"/>
      <w:numFmt w:val="bullet"/>
      <w:lvlText w:val="o"/>
      <w:lvlJc w:val="left"/>
      <w:pPr>
        <w:ind w:left="720" w:hanging="360"/>
      </w:pPr>
      <w:rPr>
        <w:rFonts w:ascii="Courier New" w:eastAsia="Courier New" w:hAnsi="Courier New" w:cs="Courier New" w:hint="default"/>
      </w:rPr>
    </w:lvl>
    <w:lvl w:ilvl="2">
      <w:start w:val="1"/>
      <w:numFmt w:val="bullet"/>
      <w:lvlText w:val="§"/>
      <w:lvlJc w:val="left"/>
      <w:pPr>
        <w:ind w:left="1440" w:hanging="360"/>
      </w:pPr>
      <w:rPr>
        <w:rFonts w:ascii="Wingdings" w:eastAsia="Wingdings" w:hAnsi="Wingdings" w:cs="Wingdings" w:hint="default"/>
      </w:rPr>
    </w:lvl>
    <w:lvl w:ilvl="3">
      <w:start w:val="1"/>
      <w:numFmt w:val="bullet"/>
      <w:lvlText w:val="·"/>
      <w:lvlJc w:val="left"/>
      <w:pPr>
        <w:ind w:left="2160" w:hanging="360"/>
      </w:pPr>
      <w:rPr>
        <w:rFonts w:ascii="Symbol" w:eastAsia="Symbol" w:hAnsi="Symbol" w:cs="Symbol" w:hint="default"/>
      </w:rPr>
    </w:lvl>
    <w:lvl w:ilvl="4">
      <w:start w:val="1"/>
      <w:numFmt w:val="bullet"/>
      <w:lvlText w:val="o"/>
      <w:lvlJc w:val="left"/>
      <w:pPr>
        <w:ind w:left="2880" w:hanging="360"/>
      </w:pPr>
      <w:rPr>
        <w:rFonts w:ascii="Courier New" w:eastAsia="Courier New" w:hAnsi="Courier New" w:cs="Courier New" w:hint="default"/>
      </w:rPr>
    </w:lvl>
    <w:lvl w:ilvl="5">
      <w:start w:val="1"/>
      <w:numFmt w:val="bullet"/>
      <w:lvlText w:val="§"/>
      <w:lvlJc w:val="left"/>
      <w:pPr>
        <w:ind w:left="3600" w:hanging="360"/>
      </w:pPr>
      <w:rPr>
        <w:rFonts w:ascii="Wingdings" w:eastAsia="Wingdings" w:hAnsi="Wingdings" w:cs="Wingdings" w:hint="default"/>
      </w:rPr>
    </w:lvl>
    <w:lvl w:ilvl="6">
      <w:start w:val="1"/>
      <w:numFmt w:val="bullet"/>
      <w:lvlText w:val="·"/>
      <w:lvlJc w:val="left"/>
      <w:pPr>
        <w:ind w:left="4320" w:hanging="360"/>
      </w:pPr>
      <w:rPr>
        <w:rFonts w:ascii="Symbol" w:eastAsia="Symbol" w:hAnsi="Symbol" w:cs="Symbol" w:hint="default"/>
      </w:rPr>
    </w:lvl>
    <w:lvl w:ilvl="7">
      <w:start w:val="1"/>
      <w:numFmt w:val="bullet"/>
      <w:lvlText w:val="o"/>
      <w:lvlJc w:val="left"/>
      <w:pPr>
        <w:ind w:left="5040" w:hanging="360"/>
      </w:pPr>
      <w:rPr>
        <w:rFonts w:ascii="Courier New" w:eastAsia="Courier New" w:hAnsi="Courier New" w:cs="Courier New" w:hint="default"/>
      </w:rPr>
    </w:lvl>
    <w:lvl w:ilvl="8">
      <w:start w:val="1"/>
      <w:numFmt w:val="bullet"/>
      <w:lvlText w:val="§"/>
      <w:lvlJc w:val="left"/>
      <w:pPr>
        <w:ind w:left="5760" w:hanging="360"/>
      </w:pPr>
      <w:rPr>
        <w:rFonts w:ascii="Wingdings" w:eastAsia="Wingdings" w:hAnsi="Wingdings" w:cs="Wingdings" w:hint="default"/>
      </w:rPr>
    </w:lvl>
  </w:abstractNum>
  <w:abstractNum w:abstractNumId="1" w15:restartNumberingAfterBreak="0">
    <w:nsid w:val="001318B9"/>
    <w:multiLevelType w:val="multilevel"/>
    <w:tmpl w:val="448ACE34"/>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 w15:restartNumberingAfterBreak="0">
    <w:nsid w:val="002B303D"/>
    <w:multiLevelType w:val="multilevel"/>
    <w:tmpl w:val="A142DDC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005A21EE"/>
    <w:multiLevelType w:val="multilevel"/>
    <w:tmpl w:val="75641A7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 w15:restartNumberingAfterBreak="0">
    <w:nsid w:val="00A2778E"/>
    <w:multiLevelType w:val="multilevel"/>
    <w:tmpl w:val="A11C159A"/>
    <w:lvl w:ilvl="0">
      <w:start w:val="1"/>
      <w:numFmt w:val="lowerLetter"/>
      <w:lvlText w:val="%1."/>
      <w:lvlJc w:val="left"/>
      <w:pPr>
        <w:ind w:left="1446" w:hanging="360"/>
      </w:pPr>
    </w:lvl>
    <w:lvl w:ilvl="1">
      <w:start w:val="1"/>
      <w:numFmt w:val="lowerLetter"/>
      <w:lvlText w:val="%2."/>
      <w:lvlJc w:val="left"/>
      <w:pPr>
        <w:ind w:left="2166" w:hanging="360"/>
      </w:pPr>
    </w:lvl>
    <w:lvl w:ilvl="2">
      <w:start w:val="1"/>
      <w:numFmt w:val="lowerRoman"/>
      <w:lvlText w:val="%3."/>
      <w:lvlJc w:val="right"/>
      <w:pPr>
        <w:ind w:left="2886" w:hanging="180"/>
      </w:pPr>
    </w:lvl>
    <w:lvl w:ilvl="3">
      <w:start w:val="1"/>
      <w:numFmt w:val="decimal"/>
      <w:lvlText w:val="%4."/>
      <w:lvlJc w:val="left"/>
      <w:pPr>
        <w:ind w:left="3606" w:hanging="360"/>
      </w:pPr>
    </w:lvl>
    <w:lvl w:ilvl="4">
      <w:start w:val="1"/>
      <w:numFmt w:val="lowerLetter"/>
      <w:lvlText w:val="%5."/>
      <w:lvlJc w:val="left"/>
      <w:pPr>
        <w:ind w:left="4326" w:hanging="360"/>
      </w:pPr>
    </w:lvl>
    <w:lvl w:ilvl="5">
      <w:start w:val="1"/>
      <w:numFmt w:val="lowerRoman"/>
      <w:lvlText w:val="%6."/>
      <w:lvlJc w:val="right"/>
      <w:pPr>
        <w:ind w:left="5046" w:hanging="180"/>
      </w:pPr>
    </w:lvl>
    <w:lvl w:ilvl="6">
      <w:start w:val="1"/>
      <w:numFmt w:val="decimal"/>
      <w:lvlText w:val="%7."/>
      <w:lvlJc w:val="left"/>
      <w:pPr>
        <w:ind w:left="5766" w:hanging="360"/>
      </w:pPr>
    </w:lvl>
    <w:lvl w:ilvl="7">
      <w:start w:val="1"/>
      <w:numFmt w:val="lowerLetter"/>
      <w:lvlText w:val="%8."/>
      <w:lvlJc w:val="left"/>
      <w:pPr>
        <w:ind w:left="6486" w:hanging="360"/>
      </w:pPr>
    </w:lvl>
    <w:lvl w:ilvl="8">
      <w:start w:val="1"/>
      <w:numFmt w:val="lowerRoman"/>
      <w:lvlText w:val="%9."/>
      <w:lvlJc w:val="right"/>
      <w:pPr>
        <w:ind w:left="7206" w:hanging="180"/>
      </w:pPr>
    </w:lvl>
  </w:abstractNum>
  <w:abstractNum w:abstractNumId="5" w15:restartNumberingAfterBreak="0">
    <w:nsid w:val="00A56305"/>
    <w:multiLevelType w:val="multilevel"/>
    <w:tmpl w:val="E6B07EC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00B00B62"/>
    <w:multiLevelType w:val="multilevel"/>
    <w:tmpl w:val="B102181E"/>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 w15:restartNumberingAfterBreak="0">
    <w:nsid w:val="01AC6247"/>
    <w:multiLevelType w:val="multilevel"/>
    <w:tmpl w:val="84BC8144"/>
    <w:lvl w:ilvl="0">
      <w:start w:val="1"/>
      <w:numFmt w:val="bullet"/>
      <w:lvlText w:val="•"/>
      <w:lvlJc w:val="left"/>
      <w:pPr>
        <w:tabs>
          <w:tab w:val="num" w:pos="720"/>
        </w:tabs>
        <w:ind w:left="720" w:hanging="360"/>
      </w:pPr>
      <w:rPr>
        <w:rFonts w:ascii="Arial" w:hAnsi="Arial" w:hint="default"/>
      </w:rPr>
    </w:lvl>
    <w:lvl w:ilvl="1">
      <w:start w:val="1"/>
      <w:numFmt w:val="bullet"/>
      <w:lvlText w:val="•"/>
      <w:lvlJc w:val="left"/>
      <w:pPr>
        <w:tabs>
          <w:tab w:val="num" w:pos="1440"/>
        </w:tabs>
        <w:ind w:left="1440" w:hanging="360"/>
      </w:pPr>
      <w:rPr>
        <w:rFonts w:ascii="Arial" w:hAnsi="Arial" w:hint="default"/>
      </w:rPr>
    </w:lvl>
    <w:lvl w:ilvl="2">
      <w:start w:val="1"/>
      <w:numFmt w:val="bullet"/>
      <w:lvlText w:val="•"/>
      <w:lvlJc w:val="left"/>
      <w:pPr>
        <w:tabs>
          <w:tab w:val="num" w:pos="2160"/>
        </w:tabs>
        <w:ind w:left="2160" w:hanging="360"/>
      </w:pPr>
      <w:rPr>
        <w:rFonts w:ascii="Arial" w:hAnsi="Arial" w:hint="default"/>
      </w:rPr>
    </w:lvl>
    <w:lvl w:ilvl="3">
      <w:start w:val="1"/>
      <w:numFmt w:val="bullet"/>
      <w:lvlText w:val="•"/>
      <w:lvlJc w:val="left"/>
      <w:pPr>
        <w:tabs>
          <w:tab w:val="num" w:pos="2880"/>
        </w:tabs>
        <w:ind w:left="2880" w:hanging="360"/>
      </w:pPr>
      <w:rPr>
        <w:rFonts w:ascii="Arial" w:hAnsi="Arial" w:hint="default"/>
      </w:rPr>
    </w:lvl>
    <w:lvl w:ilvl="4">
      <w:start w:val="1"/>
      <w:numFmt w:val="bullet"/>
      <w:lvlText w:val="•"/>
      <w:lvlJc w:val="left"/>
      <w:pPr>
        <w:tabs>
          <w:tab w:val="num" w:pos="3600"/>
        </w:tabs>
        <w:ind w:left="3600" w:hanging="360"/>
      </w:pPr>
      <w:rPr>
        <w:rFonts w:ascii="Arial" w:hAnsi="Arial" w:hint="default"/>
      </w:rPr>
    </w:lvl>
    <w:lvl w:ilvl="5">
      <w:start w:val="1"/>
      <w:numFmt w:val="bullet"/>
      <w:lvlText w:val="•"/>
      <w:lvlJc w:val="left"/>
      <w:pPr>
        <w:tabs>
          <w:tab w:val="num" w:pos="4320"/>
        </w:tabs>
        <w:ind w:left="4320" w:hanging="360"/>
      </w:pPr>
      <w:rPr>
        <w:rFonts w:ascii="Arial" w:hAnsi="Arial" w:hint="default"/>
      </w:rPr>
    </w:lvl>
    <w:lvl w:ilvl="6">
      <w:start w:val="1"/>
      <w:numFmt w:val="bullet"/>
      <w:lvlText w:val="•"/>
      <w:lvlJc w:val="left"/>
      <w:pPr>
        <w:tabs>
          <w:tab w:val="num" w:pos="5040"/>
        </w:tabs>
        <w:ind w:left="5040" w:hanging="360"/>
      </w:pPr>
      <w:rPr>
        <w:rFonts w:ascii="Arial" w:hAnsi="Arial" w:hint="default"/>
      </w:rPr>
    </w:lvl>
    <w:lvl w:ilvl="7">
      <w:start w:val="1"/>
      <w:numFmt w:val="bullet"/>
      <w:lvlText w:val="•"/>
      <w:lvlJc w:val="left"/>
      <w:pPr>
        <w:tabs>
          <w:tab w:val="num" w:pos="5760"/>
        </w:tabs>
        <w:ind w:left="5760" w:hanging="360"/>
      </w:pPr>
      <w:rPr>
        <w:rFonts w:ascii="Arial" w:hAnsi="Arial" w:hint="default"/>
      </w:rPr>
    </w:lvl>
    <w:lvl w:ilvl="8">
      <w:start w:val="1"/>
      <w:numFmt w:val="bullet"/>
      <w:lvlText w:val="•"/>
      <w:lvlJc w:val="left"/>
      <w:pPr>
        <w:tabs>
          <w:tab w:val="num" w:pos="6480"/>
        </w:tabs>
        <w:ind w:left="6480" w:hanging="360"/>
      </w:pPr>
      <w:rPr>
        <w:rFonts w:ascii="Arial" w:hAnsi="Arial" w:hint="default"/>
      </w:rPr>
    </w:lvl>
  </w:abstractNum>
  <w:abstractNum w:abstractNumId="8" w15:restartNumberingAfterBreak="0">
    <w:nsid w:val="02052FD2"/>
    <w:multiLevelType w:val="hybridMultilevel"/>
    <w:tmpl w:val="A06008D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026210F3"/>
    <w:multiLevelType w:val="multilevel"/>
    <w:tmpl w:val="B8D8DA9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29710B3"/>
    <w:multiLevelType w:val="multilevel"/>
    <w:tmpl w:val="9D7E819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35C02D9"/>
    <w:multiLevelType w:val="multilevel"/>
    <w:tmpl w:val="F4588544"/>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2" w15:restartNumberingAfterBreak="0">
    <w:nsid w:val="035C7E6A"/>
    <w:multiLevelType w:val="hybridMultilevel"/>
    <w:tmpl w:val="02668358"/>
    <w:lvl w:ilvl="0" w:tplc="041A0017">
      <w:start w:val="1"/>
      <w:numFmt w:val="lowerLetter"/>
      <w:lvlText w:val="%1)"/>
      <w:lvlJc w:val="left"/>
      <w:pPr>
        <w:ind w:left="720" w:hanging="360"/>
      </w:pPr>
    </w:lvl>
    <w:lvl w:ilvl="1" w:tplc="3B12B5EC">
      <w:start w:val="1"/>
      <w:numFmt w:val="upperLetter"/>
      <w:lvlText w:val="%2)"/>
      <w:lvlJc w:val="left"/>
      <w:pPr>
        <w:ind w:left="1440" w:hanging="360"/>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15:restartNumberingAfterBreak="0">
    <w:nsid w:val="037D03DA"/>
    <w:multiLevelType w:val="multilevel"/>
    <w:tmpl w:val="C4D839B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0421079A"/>
    <w:multiLevelType w:val="hybridMultilevel"/>
    <w:tmpl w:val="E00270C8"/>
    <w:lvl w:ilvl="0" w:tplc="8E98081E">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15:restartNumberingAfterBreak="0">
    <w:nsid w:val="04C51FE0"/>
    <w:multiLevelType w:val="hybridMultilevel"/>
    <w:tmpl w:val="128E24F0"/>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15:restartNumberingAfterBreak="0">
    <w:nsid w:val="051B18FB"/>
    <w:multiLevelType w:val="multilevel"/>
    <w:tmpl w:val="33221B92"/>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7" w15:restartNumberingAfterBreak="0">
    <w:nsid w:val="056F1A0B"/>
    <w:multiLevelType w:val="hybridMultilevel"/>
    <w:tmpl w:val="B43875EA"/>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15:restartNumberingAfterBreak="0">
    <w:nsid w:val="05D86601"/>
    <w:multiLevelType w:val="multilevel"/>
    <w:tmpl w:val="076C05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05E13463"/>
    <w:multiLevelType w:val="hybridMultilevel"/>
    <w:tmpl w:val="3B6024A4"/>
    <w:lvl w:ilvl="0" w:tplc="FFC25876">
      <w:start w:val="1"/>
      <w:numFmt w:val="decimal"/>
      <w:lvlText w:val="%1."/>
      <w:lvlJc w:val="left"/>
      <w:pPr>
        <w:ind w:left="360" w:hanging="360"/>
      </w:pPr>
      <w:rPr>
        <w:rFonts w:hint="default"/>
        <w:b w:val="0"/>
        <w:bCs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20" w15:restartNumberingAfterBreak="0">
    <w:nsid w:val="061B65EA"/>
    <w:multiLevelType w:val="multilevel"/>
    <w:tmpl w:val="222A2DF4"/>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1" w15:restartNumberingAfterBreak="0">
    <w:nsid w:val="067744EF"/>
    <w:multiLevelType w:val="multilevel"/>
    <w:tmpl w:val="6C5EE8F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06AC2872"/>
    <w:multiLevelType w:val="multilevel"/>
    <w:tmpl w:val="8DE046A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06D71538"/>
    <w:multiLevelType w:val="hybridMultilevel"/>
    <w:tmpl w:val="79787378"/>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06D84A6E"/>
    <w:multiLevelType w:val="hybridMultilevel"/>
    <w:tmpl w:val="D8528400"/>
    <w:lvl w:ilvl="0" w:tplc="041A0017">
      <w:start w:val="1"/>
      <w:numFmt w:val="lowerLetter"/>
      <w:lvlText w:val="%1)"/>
      <w:lvlJc w:val="left"/>
      <w:pPr>
        <w:ind w:left="720" w:hanging="360"/>
      </w:pPr>
    </w:lvl>
    <w:lvl w:ilvl="1" w:tplc="FFFFFFFF">
      <w:start w:val="1"/>
      <w:numFmt w:val="lowerLetter"/>
      <w:lvlText w:val="%2)"/>
      <w:lvlJc w:val="left"/>
      <w:pPr>
        <w:ind w:left="1440" w:hanging="360"/>
      </w:pPr>
      <w:rPr>
        <w:rFonts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077A73AF"/>
    <w:multiLevelType w:val="multilevel"/>
    <w:tmpl w:val="841811E2"/>
    <w:lvl w:ilvl="0">
      <w:start w:val="2"/>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6" w15:restartNumberingAfterBreak="0">
    <w:nsid w:val="078E7FBC"/>
    <w:multiLevelType w:val="multilevel"/>
    <w:tmpl w:val="3C38BC9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07987F93"/>
    <w:multiLevelType w:val="multilevel"/>
    <w:tmpl w:val="4B30D618"/>
    <w:lvl w:ilvl="0">
      <w:start w:val="1"/>
      <w:numFmt w:val="low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8" w15:restartNumberingAfterBreak="0">
    <w:nsid w:val="07DA6568"/>
    <w:multiLevelType w:val="multilevel"/>
    <w:tmpl w:val="0452143A"/>
    <w:lvl w:ilvl="0">
      <w:start w:val="1"/>
      <w:numFmt w:val="lowerLetter"/>
      <w:lvlText w:val="%1."/>
      <w:lvlJc w:val="left"/>
      <w:pPr>
        <w:ind w:left="1446" w:hanging="360"/>
      </w:pPr>
    </w:lvl>
    <w:lvl w:ilvl="1">
      <w:start w:val="1"/>
      <w:numFmt w:val="lowerLetter"/>
      <w:lvlText w:val="%2."/>
      <w:lvlJc w:val="left"/>
      <w:pPr>
        <w:ind w:left="2166" w:hanging="360"/>
      </w:pPr>
    </w:lvl>
    <w:lvl w:ilvl="2">
      <w:start w:val="1"/>
      <w:numFmt w:val="lowerRoman"/>
      <w:lvlText w:val="%3."/>
      <w:lvlJc w:val="right"/>
      <w:pPr>
        <w:ind w:left="2886" w:hanging="180"/>
      </w:pPr>
    </w:lvl>
    <w:lvl w:ilvl="3">
      <w:start w:val="1"/>
      <w:numFmt w:val="decimal"/>
      <w:lvlText w:val="%4."/>
      <w:lvlJc w:val="left"/>
      <w:pPr>
        <w:ind w:left="3606" w:hanging="360"/>
      </w:pPr>
    </w:lvl>
    <w:lvl w:ilvl="4">
      <w:start w:val="1"/>
      <w:numFmt w:val="lowerLetter"/>
      <w:lvlText w:val="%5."/>
      <w:lvlJc w:val="left"/>
      <w:pPr>
        <w:ind w:left="4326" w:hanging="360"/>
      </w:pPr>
    </w:lvl>
    <w:lvl w:ilvl="5">
      <w:start w:val="1"/>
      <w:numFmt w:val="lowerRoman"/>
      <w:lvlText w:val="%6."/>
      <w:lvlJc w:val="right"/>
      <w:pPr>
        <w:ind w:left="5046" w:hanging="180"/>
      </w:pPr>
    </w:lvl>
    <w:lvl w:ilvl="6">
      <w:start w:val="1"/>
      <w:numFmt w:val="decimal"/>
      <w:lvlText w:val="%7."/>
      <w:lvlJc w:val="left"/>
      <w:pPr>
        <w:ind w:left="5766" w:hanging="360"/>
      </w:pPr>
    </w:lvl>
    <w:lvl w:ilvl="7">
      <w:start w:val="1"/>
      <w:numFmt w:val="lowerLetter"/>
      <w:lvlText w:val="%8."/>
      <w:lvlJc w:val="left"/>
      <w:pPr>
        <w:ind w:left="6486" w:hanging="360"/>
      </w:pPr>
    </w:lvl>
    <w:lvl w:ilvl="8">
      <w:start w:val="1"/>
      <w:numFmt w:val="lowerRoman"/>
      <w:lvlText w:val="%9."/>
      <w:lvlJc w:val="right"/>
      <w:pPr>
        <w:ind w:left="7206" w:hanging="180"/>
      </w:pPr>
    </w:lvl>
  </w:abstractNum>
  <w:abstractNum w:abstractNumId="29" w15:restartNumberingAfterBreak="0">
    <w:nsid w:val="07DC3D50"/>
    <w:multiLevelType w:val="multilevel"/>
    <w:tmpl w:val="E08A97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7E34BDD"/>
    <w:multiLevelType w:val="multilevel"/>
    <w:tmpl w:val="2368C7E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081F3B0A"/>
    <w:multiLevelType w:val="multilevel"/>
    <w:tmpl w:val="F13E7F8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09134254"/>
    <w:multiLevelType w:val="multilevel"/>
    <w:tmpl w:val="84BC8144"/>
    <w:lvl w:ilvl="0">
      <w:start w:val="1"/>
      <w:numFmt w:val="bullet"/>
      <w:lvlText w:val="•"/>
      <w:lvlJc w:val="left"/>
      <w:pPr>
        <w:tabs>
          <w:tab w:val="num" w:pos="720"/>
        </w:tabs>
        <w:ind w:left="720" w:hanging="360"/>
      </w:pPr>
      <w:rPr>
        <w:rFonts w:ascii="Arial" w:hAnsi="Arial" w:hint="default"/>
      </w:rPr>
    </w:lvl>
    <w:lvl w:ilvl="1">
      <w:start w:val="1"/>
      <w:numFmt w:val="bullet"/>
      <w:lvlText w:val="•"/>
      <w:lvlJc w:val="left"/>
      <w:pPr>
        <w:tabs>
          <w:tab w:val="num" w:pos="1440"/>
        </w:tabs>
        <w:ind w:left="1440" w:hanging="360"/>
      </w:pPr>
      <w:rPr>
        <w:rFonts w:ascii="Arial" w:hAnsi="Arial" w:hint="default"/>
      </w:rPr>
    </w:lvl>
    <w:lvl w:ilvl="2">
      <w:start w:val="1"/>
      <w:numFmt w:val="bullet"/>
      <w:lvlText w:val="•"/>
      <w:lvlJc w:val="left"/>
      <w:pPr>
        <w:tabs>
          <w:tab w:val="num" w:pos="2160"/>
        </w:tabs>
        <w:ind w:left="2160" w:hanging="360"/>
      </w:pPr>
      <w:rPr>
        <w:rFonts w:ascii="Arial" w:hAnsi="Arial" w:hint="default"/>
      </w:rPr>
    </w:lvl>
    <w:lvl w:ilvl="3">
      <w:start w:val="1"/>
      <w:numFmt w:val="bullet"/>
      <w:lvlText w:val="•"/>
      <w:lvlJc w:val="left"/>
      <w:pPr>
        <w:tabs>
          <w:tab w:val="num" w:pos="2880"/>
        </w:tabs>
        <w:ind w:left="2880" w:hanging="360"/>
      </w:pPr>
      <w:rPr>
        <w:rFonts w:ascii="Arial" w:hAnsi="Arial" w:hint="default"/>
      </w:rPr>
    </w:lvl>
    <w:lvl w:ilvl="4">
      <w:start w:val="1"/>
      <w:numFmt w:val="bullet"/>
      <w:lvlText w:val="•"/>
      <w:lvlJc w:val="left"/>
      <w:pPr>
        <w:tabs>
          <w:tab w:val="num" w:pos="3600"/>
        </w:tabs>
        <w:ind w:left="3600" w:hanging="360"/>
      </w:pPr>
      <w:rPr>
        <w:rFonts w:ascii="Arial" w:hAnsi="Arial" w:hint="default"/>
      </w:rPr>
    </w:lvl>
    <w:lvl w:ilvl="5">
      <w:start w:val="1"/>
      <w:numFmt w:val="bullet"/>
      <w:lvlText w:val="•"/>
      <w:lvlJc w:val="left"/>
      <w:pPr>
        <w:tabs>
          <w:tab w:val="num" w:pos="4320"/>
        </w:tabs>
        <w:ind w:left="4320" w:hanging="360"/>
      </w:pPr>
      <w:rPr>
        <w:rFonts w:ascii="Arial" w:hAnsi="Arial" w:hint="default"/>
      </w:rPr>
    </w:lvl>
    <w:lvl w:ilvl="6">
      <w:start w:val="1"/>
      <w:numFmt w:val="bullet"/>
      <w:lvlText w:val="•"/>
      <w:lvlJc w:val="left"/>
      <w:pPr>
        <w:tabs>
          <w:tab w:val="num" w:pos="5040"/>
        </w:tabs>
        <w:ind w:left="5040" w:hanging="360"/>
      </w:pPr>
      <w:rPr>
        <w:rFonts w:ascii="Arial" w:hAnsi="Arial" w:hint="default"/>
      </w:rPr>
    </w:lvl>
    <w:lvl w:ilvl="7">
      <w:start w:val="1"/>
      <w:numFmt w:val="bullet"/>
      <w:lvlText w:val="•"/>
      <w:lvlJc w:val="left"/>
      <w:pPr>
        <w:tabs>
          <w:tab w:val="num" w:pos="5760"/>
        </w:tabs>
        <w:ind w:left="5760" w:hanging="360"/>
      </w:pPr>
      <w:rPr>
        <w:rFonts w:ascii="Arial" w:hAnsi="Arial" w:hint="default"/>
      </w:rPr>
    </w:lvl>
    <w:lvl w:ilvl="8">
      <w:start w:val="1"/>
      <w:numFmt w:val="bullet"/>
      <w:lvlText w:val="•"/>
      <w:lvlJc w:val="left"/>
      <w:pPr>
        <w:tabs>
          <w:tab w:val="num" w:pos="6480"/>
        </w:tabs>
        <w:ind w:left="6480" w:hanging="360"/>
      </w:pPr>
      <w:rPr>
        <w:rFonts w:ascii="Arial" w:hAnsi="Arial" w:hint="default"/>
      </w:rPr>
    </w:lvl>
  </w:abstractNum>
  <w:abstractNum w:abstractNumId="33" w15:restartNumberingAfterBreak="0">
    <w:nsid w:val="0969300A"/>
    <w:multiLevelType w:val="hybridMultilevel"/>
    <w:tmpl w:val="40EC300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098E4838"/>
    <w:multiLevelType w:val="multilevel"/>
    <w:tmpl w:val="041A92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099A7889"/>
    <w:multiLevelType w:val="multilevel"/>
    <w:tmpl w:val="354ACC6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09A53D1E"/>
    <w:multiLevelType w:val="multilevel"/>
    <w:tmpl w:val="4384B2E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0AE65144"/>
    <w:multiLevelType w:val="multilevel"/>
    <w:tmpl w:val="DFA093BC"/>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8" w15:restartNumberingAfterBreak="0">
    <w:nsid w:val="0B30730D"/>
    <w:multiLevelType w:val="multilevel"/>
    <w:tmpl w:val="060E7F3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15:restartNumberingAfterBreak="0">
    <w:nsid w:val="0BEE6B77"/>
    <w:multiLevelType w:val="multilevel"/>
    <w:tmpl w:val="FBBAA5D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 w15:restartNumberingAfterBreak="0">
    <w:nsid w:val="0C1B1B7A"/>
    <w:multiLevelType w:val="hybridMultilevel"/>
    <w:tmpl w:val="5D1A2762"/>
    <w:lvl w:ilvl="0" w:tplc="FFFFFFFF">
      <w:start w:val="1"/>
      <w:numFmt w:val="lowerLetter"/>
      <w:lvlText w:val="%1)"/>
      <w:lvlJc w:val="left"/>
      <w:pPr>
        <w:ind w:left="720" w:hanging="360"/>
      </w:pPr>
    </w:lvl>
    <w:lvl w:ilvl="1" w:tplc="041A0017">
      <w:start w:val="1"/>
      <w:numFmt w:val="lowerLetter"/>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0C1E7E85"/>
    <w:multiLevelType w:val="multilevel"/>
    <w:tmpl w:val="16D44C5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0C584A4C"/>
    <w:multiLevelType w:val="multilevel"/>
    <w:tmpl w:val="2C922E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0C6D675D"/>
    <w:multiLevelType w:val="multilevel"/>
    <w:tmpl w:val="69BCD97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4" w15:restartNumberingAfterBreak="0">
    <w:nsid w:val="0CDE4B43"/>
    <w:multiLevelType w:val="hybridMultilevel"/>
    <w:tmpl w:val="AB08D14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5" w15:restartNumberingAfterBreak="0">
    <w:nsid w:val="0CEC5CC4"/>
    <w:multiLevelType w:val="multilevel"/>
    <w:tmpl w:val="06AC45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0CF41A38"/>
    <w:multiLevelType w:val="multilevel"/>
    <w:tmpl w:val="3F040A30"/>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7" w15:restartNumberingAfterBreak="0">
    <w:nsid w:val="0CF41D16"/>
    <w:multiLevelType w:val="multilevel"/>
    <w:tmpl w:val="FC504B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0D093755"/>
    <w:multiLevelType w:val="multilevel"/>
    <w:tmpl w:val="092A04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0D8F5EEC"/>
    <w:multiLevelType w:val="multilevel"/>
    <w:tmpl w:val="5ABC75E0"/>
    <w:lvl w:ilvl="0">
      <w:start w:val="1"/>
      <w:numFmt w:val="decimal"/>
      <w:lvlText w:val="%1."/>
      <w:lvlJc w:val="left"/>
      <w:pPr>
        <w:ind w:left="720" w:hanging="360"/>
      </w:pPr>
      <w:rPr>
        <w:rFonts w:hint="default"/>
        <w:b/>
        <w:bCs/>
        <w:color w:val="009889" w:themeColor="accent2"/>
        <w:position w:val="-2"/>
        <w:sz w:val="20"/>
        <w:szCs w:val="20"/>
        <w:lang w:val="en-GB"/>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0" w15:restartNumberingAfterBreak="0">
    <w:nsid w:val="0DCA291F"/>
    <w:multiLevelType w:val="multilevel"/>
    <w:tmpl w:val="73308C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15:restartNumberingAfterBreak="0">
    <w:nsid w:val="0E381FF1"/>
    <w:multiLevelType w:val="multilevel"/>
    <w:tmpl w:val="1C101C0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2" w15:restartNumberingAfterBreak="0">
    <w:nsid w:val="0E760870"/>
    <w:multiLevelType w:val="multilevel"/>
    <w:tmpl w:val="041A924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0E9F2069"/>
    <w:multiLevelType w:val="multilevel"/>
    <w:tmpl w:val="430C75D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0F9D3F57"/>
    <w:multiLevelType w:val="multilevel"/>
    <w:tmpl w:val="2020AC6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0FD76CFA"/>
    <w:multiLevelType w:val="multilevel"/>
    <w:tmpl w:val="84BC8144"/>
    <w:lvl w:ilvl="0">
      <w:start w:val="1"/>
      <w:numFmt w:val="bullet"/>
      <w:lvlText w:val="•"/>
      <w:lvlJc w:val="left"/>
      <w:pPr>
        <w:tabs>
          <w:tab w:val="num" w:pos="720"/>
        </w:tabs>
        <w:ind w:left="720" w:hanging="360"/>
      </w:pPr>
      <w:rPr>
        <w:rFonts w:ascii="Arial" w:hAnsi="Arial" w:hint="default"/>
      </w:rPr>
    </w:lvl>
    <w:lvl w:ilvl="1">
      <w:start w:val="1"/>
      <w:numFmt w:val="bullet"/>
      <w:lvlText w:val="•"/>
      <w:lvlJc w:val="left"/>
      <w:pPr>
        <w:tabs>
          <w:tab w:val="num" w:pos="1440"/>
        </w:tabs>
        <w:ind w:left="1440" w:hanging="360"/>
      </w:pPr>
      <w:rPr>
        <w:rFonts w:ascii="Arial" w:hAnsi="Arial" w:hint="default"/>
      </w:rPr>
    </w:lvl>
    <w:lvl w:ilvl="2">
      <w:start w:val="1"/>
      <w:numFmt w:val="bullet"/>
      <w:lvlText w:val="•"/>
      <w:lvlJc w:val="left"/>
      <w:pPr>
        <w:tabs>
          <w:tab w:val="num" w:pos="2160"/>
        </w:tabs>
        <w:ind w:left="2160" w:hanging="360"/>
      </w:pPr>
      <w:rPr>
        <w:rFonts w:ascii="Arial" w:hAnsi="Arial" w:hint="default"/>
      </w:rPr>
    </w:lvl>
    <w:lvl w:ilvl="3">
      <w:start w:val="1"/>
      <w:numFmt w:val="bullet"/>
      <w:lvlText w:val="•"/>
      <w:lvlJc w:val="left"/>
      <w:pPr>
        <w:tabs>
          <w:tab w:val="num" w:pos="2880"/>
        </w:tabs>
        <w:ind w:left="2880" w:hanging="360"/>
      </w:pPr>
      <w:rPr>
        <w:rFonts w:ascii="Arial" w:hAnsi="Arial" w:hint="default"/>
      </w:rPr>
    </w:lvl>
    <w:lvl w:ilvl="4">
      <w:start w:val="1"/>
      <w:numFmt w:val="bullet"/>
      <w:lvlText w:val="•"/>
      <w:lvlJc w:val="left"/>
      <w:pPr>
        <w:tabs>
          <w:tab w:val="num" w:pos="3600"/>
        </w:tabs>
        <w:ind w:left="3600" w:hanging="360"/>
      </w:pPr>
      <w:rPr>
        <w:rFonts w:ascii="Arial" w:hAnsi="Arial" w:hint="default"/>
      </w:rPr>
    </w:lvl>
    <w:lvl w:ilvl="5">
      <w:start w:val="1"/>
      <w:numFmt w:val="bullet"/>
      <w:lvlText w:val="•"/>
      <w:lvlJc w:val="left"/>
      <w:pPr>
        <w:tabs>
          <w:tab w:val="num" w:pos="4320"/>
        </w:tabs>
        <w:ind w:left="4320" w:hanging="360"/>
      </w:pPr>
      <w:rPr>
        <w:rFonts w:ascii="Arial" w:hAnsi="Arial" w:hint="default"/>
      </w:rPr>
    </w:lvl>
    <w:lvl w:ilvl="6">
      <w:start w:val="1"/>
      <w:numFmt w:val="bullet"/>
      <w:lvlText w:val="•"/>
      <w:lvlJc w:val="left"/>
      <w:pPr>
        <w:tabs>
          <w:tab w:val="num" w:pos="5040"/>
        </w:tabs>
        <w:ind w:left="5040" w:hanging="360"/>
      </w:pPr>
      <w:rPr>
        <w:rFonts w:ascii="Arial" w:hAnsi="Arial" w:hint="default"/>
      </w:rPr>
    </w:lvl>
    <w:lvl w:ilvl="7">
      <w:start w:val="1"/>
      <w:numFmt w:val="bullet"/>
      <w:lvlText w:val="•"/>
      <w:lvlJc w:val="left"/>
      <w:pPr>
        <w:tabs>
          <w:tab w:val="num" w:pos="5760"/>
        </w:tabs>
        <w:ind w:left="5760" w:hanging="360"/>
      </w:pPr>
      <w:rPr>
        <w:rFonts w:ascii="Arial" w:hAnsi="Arial" w:hint="default"/>
      </w:rPr>
    </w:lvl>
    <w:lvl w:ilvl="8">
      <w:start w:val="1"/>
      <w:numFmt w:val="bullet"/>
      <w:lvlText w:val="•"/>
      <w:lvlJc w:val="left"/>
      <w:pPr>
        <w:tabs>
          <w:tab w:val="num" w:pos="6480"/>
        </w:tabs>
        <w:ind w:left="6480" w:hanging="360"/>
      </w:pPr>
      <w:rPr>
        <w:rFonts w:ascii="Arial" w:hAnsi="Arial" w:hint="default"/>
      </w:rPr>
    </w:lvl>
  </w:abstractNum>
  <w:abstractNum w:abstractNumId="56" w15:restartNumberingAfterBreak="0">
    <w:nsid w:val="101F1EFC"/>
    <w:multiLevelType w:val="hybridMultilevel"/>
    <w:tmpl w:val="444697A4"/>
    <w:lvl w:ilvl="0" w:tplc="041A000F">
      <w:start w:val="1"/>
      <w:numFmt w:val="decimal"/>
      <w:lvlText w:val="%1."/>
      <w:lvlJc w:val="left"/>
      <w:pPr>
        <w:ind w:left="720" w:hanging="360"/>
      </w:pPr>
    </w:lvl>
    <w:lvl w:ilvl="1" w:tplc="E86AD65A">
      <w:start w:val="1"/>
      <w:numFmt w:val="lowerLetter"/>
      <w:lvlText w:val="%2)"/>
      <w:lvlJc w:val="left"/>
      <w:pPr>
        <w:ind w:left="1440" w:hanging="360"/>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7" w15:restartNumberingAfterBreak="0">
    <w:nsid w:val="10390AF2"/>
    <w:multiLevelType w:val="multilevel"/>
    <w:tmpl w:val="347CD97C"/>
    <w:lvl w:ilvl="0">
      <w:start w:val="1"/>
      <w:numFmt w:val="decimal"/>
      <w:lvlText w:val="%1."/>
      <w:lvlJc w:val="left"/>
      <w:pPr>
        <w:ind w:left="720" w:hanging="360"/>
      </w:pPr>
      <w:rPr>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105D616B"/>
    <w:multiLevelType w:val="multilevel"/>
    <w:tmpl w:val="A10602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11E53501"/>
    <w:multiLevelType w:val="multilevel"/>
    <w:tmpl w:val="480AF6D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0" w15:restartNumberingAfterBreak="0">
    <w:nsid w:val="11F10B5B"/>
    <w:multiLevelType w:val="multilevel"/>
    <w:tmpl w:val="104C71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 w15:restartNumberingAfterBreak="0">
    <w:nsid w:val="11FB0FEB"/>
    <w:multiLevelType w:val="multilevel"/>
    <w:tmpl w:val="C6400448"/>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2" w15:restartNumberingAfterBreak="0">
    <w:nsid w:val="123702A8"/>
    <w:multiLevelType w:val="multilevel"/>
    <w:tmpl w:val="27C88BE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 w15:restartNumberingAfterBreak="0">
    <w:nsid w:val="124D45BC"/>
    <w:multiLevelType w:val="multilevel"/>
    <w:tmpl w:val="0C6A7D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12D64125"/>
    <w:multiLevelType w:val="multilevel"/>
    <w:tmpl w:val="B85AE9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12F869A3"/>
    <w:multiLevelType w:val="multilevel"/>
    <w:tmpl w:val="D066831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6" w15:restartNumberingAfterBreak="0">
    <w:nsid w:val="13960F75"/>
    <w:multiLevelType w:val="multilevel"/>
    <w:tmpl w:val="46EC4F8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7" w15:restartNumberingAfterBreak="0">
    <w:nsid w:val="13D32E68"/>
    <w:multiLevelType w:val="multilevel"/>
    <w:tmpl w:val="FA842B22"/>
    <w:lvl w:ilvl="0">
      <w:start w:val="1"/>
      <w:numFmt w:val="bullet"/>
      <w:lvlText w:val="·"/>
      <w:lvlJc w:val="left"/>
      <w:pPr>
        <w:ind w:left="709" w:hanging="360"/>
      </w:pPr>
      <w:rPr>
        <w:rFonts w:ascii="Symbol" w:eastAsia="Symbol" w:hAnsi="Symbol" w:cs="Symbol" w:hint="default"/>
        <w:color w:val="1A1C1E"/>
        <w:sz w:val="21"/>
      </w:rPr>
    </w:lvl>
    <w:lvl w:ilvl="1">
      <w:start w:val="1"/>
      <w:numFmt w:val="bullet"/>
      <w:lvlText w:val="·"/>
      <w:lvlJc w:val="left"/>
      <w:pPr>
        <w:ind w:left="1429" w:hanging="360"/>
      </w:pPr>
      <w:rPr>
        <w:rFonts w:ascii="Symbol" w:eastAsia="Symbol" w:hAnsi="Symbol" w:cs="Symbol" w:hint="default"/>
        <w:color w:val="1A1C1E"/>
        <w:sz w:val="21"/>
      </w:rPr>
    </w:lvl>
    <w:lvl w:ilvl="2">
      <w:start w:val="1"/>
      <w:numFmt w:val="bullet"/>
      <w:lvlText w:val="·"/>
      <w:lvlJc w:val="left"/>
      <w:pPr>
        <w:ind w:left="2149" w:hanging="360"/>
      </w:pPr>
      <w:rPr>
        <w:rFonts w:ascii="Symbol" w:eastAsia="Symbol" w:hAnsi="Symbol" w:cs="Symbol" w:hint="default"/>
        <w:color w:val="1A1C1E"/>
        <w:sz w:val="21"/>
      </w:rPr>
    </w:lvl>
    <w:lvl w:ilvl="3">
      <w:start w:val="1"/>
      <w:numFmt w:val="bullet"/>
      <w:lvlText w:val="·"/>
      <w:lvlJc w:val="left"/>
      <w:pPr>
        <w:ind w:left="2869" w:hanging="360"/>
      </w:pPr>
      <w:rPr>
        <w:rFonts w:ascii="Symbol" w:eastAsia="Symbol" w:hAnsi="Symbol" w:cs="Symbol" w:hint="default"/>
        <w:color w:val="1A1C1E"/>
        <w:sz w:val="21"/>
      </w:rPr>
    </w:lvl>
    <w:lvl w:ilvl="4">
      <w:start w:val="1"/>
      <w:numFmt w:val="bullet"/>
      <w:lvlText w:val="·"/>
      <w:lvlJc w:val="left"/>
      <w:pPr>
        <w:ind w:left="3589" w:hanging="360"/>
      </w:pPr>
      <w:rPr>
        <w:rFonts w:ascii="Symbol" w:eastAsia="Symbol" w:hAnsi="Symbol" w:cs="Symbol" w:hint="default"/>
        <w:color w:val="1A1C1E"/>
        <w:sz w:val="21"/>
      </w:rPr>
    </w:lvl>
    <w:lvl w:ilvl="5">
      <w:start w:val="1"/>
      <w:numFmt w:val="bullet"/>
      <w:lvlText w:val="·"/>
      <w:lvlJc w:val="left"/>
      <w:pPr>
        <w:ind w:left="4309" w:hanging="360"/>
      </w:pPr>
      <w:rPr>
        <w:rFonts w:ascii="Symbol" w:eastAsia="Symbol" w:hAnsi="Symbol" w:cs="Symbol" w:hint="default"/>
        <w:color w:val="1A1C1E"/>
        <w:sz w:val="21"/>
      </w:rPr>
    </w:lvl>
    <w:lvl w:ilvl="6">
      <w:start w:val="1"/>
      <w:numFmt w:val="bullet"/>
      <w:lvlText w:val="·"/>
      <w:lvlJc w:val="left"/>
      <w:pPr>
        <w:ind w:left="5029" w:hanging="360"/>
      </w:pPr>
      <w:rPr>
        <w:rFonts w:ascii="Symbol" w:eastAsia="Symbol" w:hAnsi="Symbol" w:cs="Symbol" w:hint="default"/>
        <w:color w:val="1A1C1E"/>
        <w:sz w:val="21"/>
      </w:rPr>
    </w:lvl>
    <w:lvl w:ilvl="7">
      <w:start w:val="1"/>
      <w:numFmt w:val="bullet"/>
      <w:lvlText w:val="·"/>
      <w:lvlJc w:val="left"/>
      <w:pPr>
        <w:ind w:left="5749" w:hanging="360"/>
      </w:pPr>
      <w:rPr>
        <w:rFonts w:ascii="Symbol" w:eastAsia="Symbol" w:hAnsi="Symbol" w:cs="Symbol" w:hint="default"/>
        <w:color w:val="1A1C1E"/>
        <w:sz w:val="21"/>
      </w:rPr>
    </w:lvl>
    <w:lvl w:ilvl="8">
      <w:start w:val="1"/>
      <w:numFmt w:val="bullet"/>
      <w:lvlText w:val="·"/>
      <w:lvlJc w:val="left"/>
      <w:pPr>
        <w:ind w:left="6469" w:hanging="360"/>
      </w:pPr>
      <w:rPr>
        <w:rFonts w:ascii="Symbol" w:eastAsia="Symbol" w:hAnsi="Symbol" w:cs="Symbol" w:hint="default"/>
        <w:color w:val="1A1C1E"/>
        <w:sz w:val="21"/>
      </w:rPr>
    </w:lvl>
  </w:abstractNum>
  <w:abstractNum w:abstractNumId="68" w15:restartNumberingAfterBreak="0">
    <w:nsid w:val="13F420C8"/>
    <w:multiLevelType w:val="hybridMultilevel"/>
    <w:tmpl w:val="88A0E12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15:restartNumberingAfterBreak="0">
    <w:nsid w:val="13F95CDE"/>
    <w:multiLevelType w:val="multilevel"/>
    <w:tmpl w:val="D1E0377C"/>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0" w15:restartNumberingAfterBreak="0">
    <w:nsid w:val="148E346E"/>
    <w:multiLevelType w:val="multilevel"/>
    <w:tmpl w:val="2BDE352C"/>
    <w:lvl w:ilvl="0">
      <w:start w:val="1"/>
      <w:numFmt w:val="decimal"/>
      <w:lvlText w:val="%1."/>
      <w:lvlJc w:val="right"/>
      <w:pPr>
        <w:ind w:left="709" w:hanging="360"/>
      </w:pPr>
      <w:rPr>
        <w:rFonts w:ascii="Arial" w:eastAsia="Arial" w:hAnsi="Arial" w:cs="Arial"/>
        <w:color w:val="000000"/>
        <w:sz w:val="21"/>
      </w:rPr>
    </w:lvl>
    <w:lvl w:ilvl="1">
      <w:start w:val="1"/>
      <w:numFmt w:val="decimal"/>
      <w:lvlText w:val="%2."/>
      <w:lvlJc w:val="right"/>
      <w:pPr>
        <w:ind w:left="1429" w:hanging="360"/>
      </w:pPr>
    </w:lvl>
    <w:lvl w:ilvl="2">
      <w:start w:val="1"/>
      <w:numFmt w:val="decimal"/>
      <w:lvlText w:val="%3."/>
      <w:lvlJc w:val="right"/>
      <w:pPr>
        <w:ind w:left="2149" w:hanging="180"/>
      </w:pPr>
    </w:lvl>
    <w:lvl w:ilvl="3">
      <w:start w:val="1"/>
      <w:numFmt w:val="decimal"/>
      <w:lvlText w:val="%4."/>
      <w:lvlJc w:val="right"/>
      <w:pPr>
        <w:ind w:left="2869" w:hanging="360"/>
      </w:pPr>
    </w:lvl>
    <w:lvl w:ilvl="4">
      <w:start w:val="1"/>
      <w:numFmt w:val="decimal"/>
      <w:lvlText w:val="%5."/>
      <w:lvlJc w:val="right"/>
      <w:pPr>
        <w:ind w:left="3589" w:hanging="360"/>
      </w:pPr>
    </w:lvl>
    <w:lvl w:ilvl="5">
      <w:start w:val="1"/>
      <w:numFmt w:val="decimal"/>
      <w:lvlText w:val="%6."/>
      <w:lvlJc w:val="right"/>
      <w:pPr>
        <w:ind w:left="4309" w:hanging="180"/>
      </w:pPr>
    </w:lvl>
    <w:lvl w:ilvl="6">
      <w:start w:val="1"/>
      <w:numFmt w:val="decimal"/>
      <w:lvlText w:val="%7."/>
      <w:lvlJc w:val="right"/>
      <w:pPr>
        <w:ind w:left="5029" w:hanging="360"/>
      </w:pPr>
    </w:lvl>
    <w:lvl w:ilvl="7">
      <w:start w:val="1"/>
      <w:numFmt w:val="decimal"/>
      <w:lvlText w:val="%8."/>
      <w:lvlJc w:val="right"/>
      <w:pPr>
        <w:ind w:left="5749" w:hanging="360"/>
      </w:pPr>
    </w:lvl>
    <w:lvl w:ilvl="8">
      <w:start w:val="1"/>
      <w:numFmt w:val="decimal"/>
      <w:lvlText w:val="%9."/>
      <w:lvlJc w:val="right"/>
      <w:pPr>
        <w:ind w:left="6469" w:hanging="180"/>
      </w:pPr>
    </w:lvl>
  </w:abstractNum>
  <w:abstractNum w:abstractNumId="71" w15:restartNumberingAfterBreak="0">
    <w:nsid w:val="14B75C87"/>
    <w:multiLevelType w:val="multilevel"/>
    <w:tmpl w:val="FF5E4854"/>
    <w:lvl w:ilvl="0">
      <w:start w:val="1"/>
      <w:numFmt w:val="lowerLetter"/>
      <w:lvlText w:val="%1."/>
      <w:lvlJc w:val="left"/>
      <w:pPr>
        <w:ind w:left="1446" w:hanging="360"/>
      </w:pPr>
    </w:lvl>
    <w:lvl w:ilvl="1">
      <w:start w:val="1"/>
      <w:numFmt w:val="lowerLetter"/>
      <w:lvlText w:val="%2."/>
      <w:lvlJc w:val="left"/>
      <w:pPr>
        <w:ind w:left="2166" w:hanging="360"/>
      </w:pPr>
    </w:lvl>
    <w:lvl w:ilvl="2">
      <w:start w:val="1"/>
      <w:numFmt w:val="lowerRoman"/>
      <w:lvlText w:val="%3."/>
      <w:lvlJc w:val="right"/>
      <w:pPr>
        <w:ind w:left="2886" w:hanging="180"/>
      </w:pPr>
    </w:lvl>
    <w:lvl w:ilvl="3">
      <w:start w:val="1"/>
      <w:numFmt w:val="decimal"/>
      <w:lvlText w:val="%4."/>
      <w:lvlJc w:val="left"/>
      <w:pPr>
        <w:ind w:left="3606" w:hanging="360"/>
      </w:pPr>
    </w:lvl>
    <w:lvl w:ilvl="4">
      <w:start w:val="1"/>
      <w:numFmt w:val="lowerLetter"/>
      <w:lvlText w:val="%5."/>
      <w:lvlJc w:val="left"/>
      <w:pPr>
        <w:ind w:left="4326" w:hanging="360"/>
      </w:pPr>
    </w:lvl>
    <w:lvl w:ilvl="5">
      <w:start w:val="1"/>
      <w:numFmt w:val="lowerRoman"/>
      <w:lvlText w:val="%6."/>
      <w:lvlJc w:val="right"/>
      <w:pPr>
        <w:ind w:left="5046" w:hanging="180"/>
      </w:pPr>
    </w:lvl>
    <w:lvl w:ilvl="6">
      <w:start w:val="1"/>
      <w:numFmt w:val="decimal"/>
      <w:lvlText w:val="%7."/>
      <w:lvlJc w:val="left"/>
      <w:pPr>
        <w:ind w:left="5766" w:hanging="360"/>
      </w:pPr>
    </w:lvl>
    <w:lvl w:ilvl="7">
      <w:start w:val="1"/>
      <w:numFmt w:val="lowerLetter"/>
      <w:lvlText w:val="%8."/>
      <w:lvlJc w:val="left"/>
      <w:pPr>
        <w:ind w:left="6486" w:hanging="360"/>
      </w:pPr>
    </w:lvl>
    <w:lvl w:ilvl="8">
      <w:start w:val="1"/>
      <w:numFmt w:val="lowerRoman"/>
      <w:lvlText w:val="%9."/>
      <w:lvlJc w:val="right"/>
      <w:pPr>
        <w:ind w:left="7206" w:hanging="180"/>
      </w:pPr>
    </w:lvl>
  </w:abstractNum>
  <w:abstractNum w:abstractNumId="72" w15:restartNumberingAfterBreak="0">
    <w:nsid w:val="163F185F"/>
    <w:multiLevelType w:val="multilevel"/>
    <w:tmpl w:val="4896F5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 w15:restartNumberingAfterBreak="0">
    <w:nsid w:val="16A86A90"/>
    <w:multiLevelType w:val="hybridMultilevel"/>
    <w:tmpl w:val="B0263BB4"/>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4" w15:restartNumberingAfterBreak="0">
    <w:nsid w:val="16D648A9"/>
    <w:multiLevelType w:val="multilevel"/>
    <w:tmpl w:val="8112F89E"/>
    <w:lvl w:ilvl="0">
      <w:start w:val="1"/>
      <w:numFmt w:val="lowerLetter"/>
      <w:lvlText w:val="%1)"/>
      <w:lvlJc w:val="left"/>
      <w:pPr>
        <w:ind w:left="1446" w:hanging="360"/>
      </w:pPr>
    </w:lvl>
    <w:lvl w:ilvl="1">
      <w:start w:val="1"/>
      <w:numFmt w:val="lowerLetter"/>
      <w:lvlText w:val="%2."/>
      <w:lvlJc w:val="left"/>
      <w:pPr>
        <w:ind w:left="2166" w:hanging="360"/>
      </w:pPr>
    </w:lvl>
    <w:lvl w:ilvl="2">
      <w:start w:val="1"/>
      <w:numFmt w:val="lowerRoman"/>
      <w:lvlText w:val="%3."/>
      <w:lvlJc w:val="right"/>
      <w:pPr>
        <w:ind w:left="2886" w:hanging="180"/>
      </w:pPr>
    </w:lvl>
    <w:lvl w:ilvl="3">
      <w:start w:val="1"/>
      <w:numFmt w:val="decimal"/>
      <w:lvlText w:val="%4."/>
      <w:lvlJc w:val="left"/>
      <w:pPr>
        <w:ind w:left="3606" w:hanging="360"/>
      </w:pPr>
    </w:lvl>
    <w:lvl w:ilvl="4">
      <w:start w:val="1"/>
      <w:numFmt w:val="lowerLetter"/>
      <w:lvlText w:val="%5."/>
      <w:lvlJc w:val="left"/>
      <w:pPr>
        <w:ind w:left="4326" w:hanging="360"/>
      </w:pPr>
    </w:lvl>
    <w:lvl w:ilvl="5">
      <w:start w:val="1"/>
      <w:numFmt w:val="lowerRoman"/>
      <w:lvlText w:val="%6."/>
      <w:lvlJc w:val="right"/>
      <w:pPr>
        <w:ind w:left="5046" w:hanging="180"/>
      </w:pPr>
    </w:lvl>
    <w:lvl w:ilvl="6">
      <w:start w:val="1"/>
      <w:numFmt w:val="decimal"/>
      <w:lvlText w:val="%7."/>
      <w:lvlJc w:val="left"/>
      <w:pPr>
        <w:ind w:left="5766" w:hanging="360"/>
      </w:pPr>
    </w:lvl>
    <w:lvl w:ilvl="7">
      <w:start w:val="1"/>
      <w:numFmt w:val="lowerLetter"/>
      <w:lvlText w:val="%8."/>
      <w:lvlJc w:val="left"/>
      <w:pPr>
        <w:ind w:left="6486" w:hanging="360"/>
      </w:pPr>
    </w:lvl>
    <w:lvl w:ilvl="8">
      <w:start w:val="1"/>
      <w:numFmt w:val="lowerRoman"/>
      <w:lvlText w:val="%9."/>
      <w:lvlJc w:val="right"/>
      <w:pPr>
        <w:ind w:left="7206" w:hanging="180"/>
      </w:pPr>
    </w:lvl>
  </w:abstractNum>
  <w:abstractNum w:abstractNumId="75" w15:restartNumberingAfterBreak="0">
    <w:nsid w:val="17252E28"/>
    <w:multiLevelType w:val="hybridMultilevel"/>
    <w:tmpl w:val="FA1CB024"/>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6" w15:restartNumberingAfterBreak="0">
    <w:nsid w:val="17374D01"/>
    <w:multiLevelType w:val="multilevel"/>
    <w:tmpl w:val="B110467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7" w15:restartNumberingAfterBreak="0">
    <w:nsid w:val="17F96C4D"/>
    <w:multiLevelType w:val="multilevel"/>
    <w:tmpl w:val="2F30BFC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8" w15:restartNumberingAfterBreak="0">
    <w:nsid w:val="18077450"/>
    <w:multiLevelType w:val="multilevel"/>
    <w:tmpl w:val="ED1E1548"/>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9" w15:restartNumberingAfterBreak="0">
    <w:nsid w:val="183974C9"/>
    <w:multiLevelType w:val="hybridMultilevel"/>
    <w:tmpl w:val="F4B8C75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0" w15:restartNumberingAfterBreak="0">
    <w:nsid w:val="18470A8A"/>
    <w:multiLevelType w:val="multilevel"/>
    <w:tmpl w:val="E4F8A2BC"/>
    <w:lvl w:ilvl="0">
      <w:start w:val="1"/>
      <w:numFmt w:val="lowerLetter"/>
      <w:lvlText w:val="%1."/>
      <w:lvlJc w:val="left"/>
      <w:pPr>
        <w:ind w:left="1446" w:hanging="360"/>
      </w:pPr>
    </w:lvl>
    <w:lvl w:ilvl="1">
      <w:start w:val="1"/>
      <w:numFmt w:val="lowerLetter"/>
      <w:lvlText w:val="%2."/>
      <w:lvlJc w:val="left"/>
      <w:pPr>
        <w:ind w:left="2166" w:hanging="360"/>
      </w:pPr>
    </w:lvl>
    <w:lvl w:ilvl="2">
      <w:start w:val="1"/>
      <w:numFmt w:val="lowerRoman"/>
      <w:lvlText w:val="%3."/>
      <w:lvlJc w:val="right"/>
      <w:pPr>
        <w:ind w:left="2886" w:hanging="180"/>
      </w:pPr>
    </w:lvl>
    <w:lvl w:ilvl="3">
      <w:start w:val="1"/>
      <w:numFmt w:val="decimal"/>
      <w:lvlText w:val="%4."/>
      <w:lvlJc w:val="left"/>
      <w:pPr>
        <w:ind w:left="3606" w:hanging="360"/>
      </w:pPr>
    </w:lvl>
    <w:lvl w:ilvl="4">
      <w:start w:val="1"/>
      <w:numFmt w:val="lowerLetter"/>
      <w:lvlText w:val="%5."/>
      <w:lvlJc w:val="left"/>
      <w:pPr>
        <w:ind w:left="4326" w:hanging="360"/>
      </w:pPr>
    </w:lvl>
    <w:lvl w:ilvl="5">
      <w:start w:val="1"/>
      <w:numFmt w:val="lowerRoman"/>
      <w:lvlText w:val="%6."/>
      <w:lvlJc w:val="right"/>
      <w:pPr>
        <w:ind w:left="5046" w:hanging="180"/>
      </w:pPr>
    </w:lvl>
    <w:lvl w:ilvl="6">
      <w:start w:val="1"/>
      <w:numFmt w:val="decimal"/>
      <w:lvlText w:val="%7."/>
      <w:lvlJc w:val="left"/>
      <w:pPr>
        <w:ind w:left="5766" w:hanging="360"/>
      </w:pPr>
    </w:lvl>
    <w:lvl w:ilvl="7">
      <w:start w:val="1"/>
      <w:numFmt w:val="lowerLetter"/>
      <w:lvlText w:val="%8."/>
      <w:lvlJc w:val="left"/>
      <w:pPr>
        <w:ind w:left="6486" w:hanging="360"/>
      </w:pPr>
    </w:lvl>
    <w:lvl w:ilvl="8">
      <w:start w:val="1"/>
      <w:numFmt w:val="lowerRoman"/>
      <w:lvlText w:val="%9."/>
      <w:lvlJc w:val="right"/>
      <w:pPr>
        <w:ind w:left="7206" w:hanging="180"/>
      </w:pPr>
    </w:lvl>
  </w:abstractNum>
  <w:abstractNum w:abstractNumId="81" w15:restartNumberingAfterBreak="0">
    <w:nsid w:val="18CB64FF"/>
    <w:multiLevelType w:val="hybridMultilevel"/>
    <w:tmpl w:val="7C8C66B2"/>
    <w:lvl w:ilvl="0" w:tplc="F72AA0D0">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2" w15:restartNumberingAfterBreak="0">
    <w:nsid w:val="199D51FE"/>
    <w:multiLevelType w:val="hybridMultilevel"/>
    <w:tmpl w:val="986C06A4"/>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3" w15:restartNumberingAfterBreak="0">
    <w:nsid w:val="19CC5855"/>
    <w:multiLevelType w:val="multilevel"/>
    <w:tmpl w:val="F2E0110E"/>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84" w15:restartNumberingAfterBreak="0">
    <w:nsid w:val="19F04A0F"/>
    <w:multiLevelType w:val="hybridMultilevel"/>
    <w:tmpl w:val="DE5E3A00"/>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85" w15:restartNumberingAfterBreak="0">
    <w:nsid w:val="19F178FB"/>
    <w:multiLevelType w:val="multilevel"/>
    <w:tmpl w:val="1D7A40C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6" w15:restartNumberingAfterBreak="0">
    <w:nsid w:val="1A9D32EF"/>
    <w:multiLevelType w:val="multilevel"/>
    <w:tmpl w:val="6180D8BA"/>
    <w:lvl w:ilvl="0">
      <w:start w:val="3"/>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15:restartNumberingAfterBreak="0">
    <w:nsid w:val="1AC65999"/>
    <w:multiLevelType w:val="multilevel"/>
    <w:tmpl w:val="5E5A261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8" w15:restartNumberingAfterBreak="0">
    <w:nsid w:val="1BAB34AC"/>
    <w:multiLevelType w:val="multilevel"/>
    <w:tmpl w:val="C5B89A58"/>
    <w:lvl w:ilvl="0">
      <w:start w:val="1"/>
      <w:numFmt w:val="decimal"/>
      <w:lvlText w:val="%1."/>
      <w:lvlJc w:val="left"/>
      <w:pPr>
        <w:ind w:left="709" w:hanging="360"/>
      </w:pPr>
    </w:lvl>
    <w:lvl w:ilvl="1">
      <w:start w:val="1"/>
      <w:numFmt w:val="lowerLetter"/>
      <w:lvlText w:val="%2."/>
      <w:lvlJc w:val="left"/>
      <w:pPr>
        <w:ind w:left="1429" w:hanging="360"/>
      </w:pPr>
    </w:lvl>
    <w:lvl w:ilvl="2">
      <w:start w:val="1"/>
      <w:numFmt w:val="lowerRoman"/>
      <w:lvlText w:val="%3."/>
      <w:lvlJc w:val="right"/>
      <w:pPr>
        <w:ind w:left="2149" w:hanging="180"/>
      </w:pPr>
    </w:lvl>
    <w:lvl w:ilvl="3">
      <w:start w:val="1"/>
      <w:numFmt w:val="decimal"/>
      <w:lvlText w:val="%4."/>
      <w:lvlJc w:val="left"/>
      <w:pPr>
        <w:ind w:left="2869" w:hanging="360"/>
      </w:pPr>
    </w:lvl>
    <w:lvl w:ilvl="4">
      <w:start w:val="1"/>
      <w:numFmt w:val="lowerLetter"/>
      <w:lvlText w:val="%5."/>
      <w:lvlJc w:val="left"/>
      <w:pPr>
        <w:ind w:left="3589" w:hanging="360"/>
      </w:pPr>
    </w:lvl>
    <w:lvl w:ilvl="5">
      <w:start w:val="1"/>
      <w:numFmt w:val="lowerRoman"/>
      <w:lvlText w:val="%6."/>
      <w:lvlJc w:val="right"/>
      <w:pPr>
        <w:ind w:left="4309" w:hanging="180"/>
      </w:pPr>
    </w:lvl>
    <w:lvl w:ilvl="6">
      <w:start w:val="1"/>
      <w:numFmt w:val="decimal"/>
      <w:lvlText w:val="%7."/>
      <w:lvlJc w:val="left"/>
      <w:pPr>
        <w:ind w:left="5029" w:hanging="360"/>
      </w:pPr>
    </w:lvl>
    <w:lvl w:ilvl="7">
      <w:start w:val="1"/>
      <w:numFmt w:val="lowerLetter"/>
      <w:lvlText w:val="%8."/>
      <w:lvlJc w:val="left"/>
      <w:pPr>
        <w:ind w:left="5749" w:hanging="360"/>
      </w:pPr>
    </w:lvl>
    <w:lvl w:ilvl="8">
      <w:start w:val="1"/>
      <w:numFmt w:val="lowerRoman"/>
      <w:lvlText w:val="%9."/>
      <w:lvlJc w:val="right"/>
      <w:pPr>
        <w:ind w:left="6469" w:hanging="180"/>
      </w:pPr>
    </w:lvl>
  </w:abstractNum>
  <w:abstractNum w:abstractNumId="89" w15:restartNumberingAfterBreak="0">
    <w:nsid w:val="1BE97F02"/>
    <w:multiLevelType w:val="multilevel"/>
    <w:tmpl w:val="ACACEA4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0" w15:restartNumberingAfterBreak="0">
    <w:nsid w:val="1BFF4E91"/>
    <w:multiLevelType w:val="hybridMultilevel"/>
    <w:tmpl w:val="C1AEB592"/>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1" w15:restartNumberingAfterBreak="0">
    <w:nsid w:val="1CB75414"/>
    <w:multiLevelType w:val="multilevel"/>
    <w:tmpl w:val="7B18AB10"/>
    <w:lvl w:ilvl="0">
      <w:numFmt w:val="decimal"/>
      <w:pStyle w:val="SectionsofUnits"/>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1D0623DA"/>
    <w:multiLevelType w:val="hybridMultilevel"/>
    <w:tmpl w:val="160042BC"/>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3" w15:restartNumberingAfterBreak="0">
    <w:nsid w:val="1D127800"/>
    <w:multiLevelType w:val="multilevel"/>
    <w:tmpl w:val="BC5E0A1E"/>
    <w:lvl w:ilvl="0">
      <w:start w:val="1"/>
      <w:numFmt w:val="bullet"/>
      <w:lvlText w:val="–"/>
      <w:lvlJc w:val="left"/>
      <w:pPr>
        <w:ind w:left="1429" w:hanging="360"/>
      </w:pPr>
      <w:rPr>
        <w:rFonts w:ascii="Arial" w:eastAsia="Arial" w:hAnsi="Arial" w:cs="Arial" w:hint="default"/>
      </w:rPr>
    </w:lvl>
    <w:lvl w:ilvl="1">
      <w:start w:val="1"/>
      <w:numFmt w:val="bullet"/>
      <w:lvlText w:val="o"/>
      <w:lvlJc w:val="left"/>
      <w:pPr>
        <w:ind w:left="2149" w:hanging="360"/>
      </w:pPr>
      <w:rPr>
        <w:rFonts w:ascii="Courier New" w:eastAsia="Courier New" w:hAnsi="Courier New" w:cs="Courier New" w:hint="default"/>
      </w:rPr>
    </w:lvl>
    <w:lvl w:ilvl="2">
      <w:start w:val="1"/>
      <w:numFmt w:val="bullet"/>
      <w:lvlText w:val="§"/>
      <w:lvlJc w:val="left"/>
      <w:pPr>
        <w:ind w:left="2869" w:hanging="360"/>
      </w:pPr>
      <w:rPr>
        <w:rFonts w:ascii="Wingdings" w:eastAsia="Wingdings" w:hAnsi="Wingdings" w:cs="Wingdings" w:hint="default"/>
      </w:rPr>
    </w:lvl>
    <w:lvl w:ilvl="3">
      <w:start w:val="1"/>
      <w:numFmt w:val="bullet"/>
      <w:lvlText w:val="·"/>
      <w:lvlJc w:val="left"/>
      <w:pPr>
        <w:ind w:left="3589" w:hanging="360"/>
      </w:pPr>
      <w:rPr>
        <w:rFonts w:ascii="Symbol" w:eastAsia="Symbol" w:hAnsi="Symbol" w:cs="Symbol" w:hint="default"/>
      </w:rPr>
    </w:lvl>
    <w:lvl w:ilvl="4">
      <w:start w:val="1"/>
      <w:numFmt w:val="bullet"/>
      <w:lvlText w:val="o"/>
      <w:lvlJc w:val="left"/>
      <w:pPr>
        <w:ind w:left="4309" w:hanging="360"/>
      </w:pPr>
      <w:rPr>
        <w:rFonts w:ascii="Courier New" w:eastAsia="Courier New" w:hAnsi="Courier New" w:cs="Courier New" w:hint="default"/>
      </w:rPr>
    </w:lvl>
    <w:lvl w:ilvl="5">
      <w:start w:val="1"/>
      <w:numFmt w:val="bullet"/>
      <w:lvlText w:val="§"/>
      <w:lvlJc w:val="left"/>
      <w:pPr>
        <w:ind w:left="5029" w:hanging="360"/>
      </w:pPr>
      <w:rPr>
        <w:rFonts w:ascii="Wingdings" w:eastAsia="Wingdings" w:hAnsi="Wingdings" w:cs="Wingdings" w:hint="default"/>
      </w:rPr>
    </w:lvl>
    <w:lvl w:ilvl="6">
      <w:start w:val="1"/>
      <w:numFmt w:val="bullet"/>
      <w:lvlText w:val="·"/>
      <w:lvlJc w:val="left"/>
      <w:pPr>
        <w:ind w:left="5749" w:hanging="360"/>
      </w:pPr>
      <w:rPr>
        <w:rFonts w:ascii="Symbol" w:eastAsia="Symbol" w:hAnsi="Symbol" w:cs="Symbol" w:hint="default"/>
      </w:rPr>
    </w:lvl>
    <w:lvl w:ilvl="7">
      <w:start w:val="1"/>
      <w:numFmt w:val="bullet"/>
      <w:lvlText w:val="o"/>
      <w:lvlJc w:val="left"/>
      <w:pPr>
        <w:ind w:left="6469" w:hanging="360"/>
      </w:pPr>
      <w:rPr>
        <w:rFonts w:ascii="Courier New" w:eastAsia="Courier New" w:hAnsi="Courier New" w:cs="Courier New" w:hint="default"/>
      </w:rPr>
    </w:lvl>
    <w:lvl w:ilvl="8">
      <w:start w:val="1"/>
      <w:numFmt w:val="bullet"/>
      <w:lvlText w:val="§"/>
      <w:lvlJc w:val="left"/>
      <w:pPr>
        <w:ind w:left="7189" w:hanging="360"/>
      </w:pPr>
      <w:rPr>
        <w:rFonts w:ascii="Wingdings" w:eastAsia="Wingdings" w:hAnsi="Wingdings" w:cs="Wingdings" w:hint="default"/>
      </w:rPr>
    </w:lvl>
  </w:abstractNum>
  <w:abstractNum w:abstractNumId="94" w15:restartNumberingAfterBreak="0">
    <w:nsid w:val="1DBF629F"/>
    <w:multiLevelType w:val="multilevel"/>
    <w:tmpl w:val="C4AEE21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1DEA61B2"/>
    <w:multiLevelType w:val="hybridMultilevel"/>
    <w:tmpl w:val="49825104"/>
    <w:lvl w:ilvl="0" w:tplc="F72AA0D0">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6" w15:restartNumberingAfterBreak="0">
    <w:nsid w:val="1E2363E4"/>
    <w:multiLevelType w:val="hybridMultilevel"/>
    <w:tmpl w:val="BFFCCBC0"/>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7" w15:restartNumberingAfterBreak="0">
    <w:nsid w:val="1E3465E6"/>
    <w:multiLevelType w:val="multilevel"/>
    <w:tmpl w:val="27C88BE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8" w15:restartNumberingAfterBreak="0">
    <w:nsid w:val="1EFD087F"/>
    <w:multiLevelType w:val="multilevel"/>
    <w:tmpl w:val="60EA5F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9" w15:restartNumberingAfterBreak="0">
    <w:nsid w:val="1F8853A7"/>
    <w:multiLevelType w:val="multilevel"/>
    <w:tmpl w:val="F4C011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0" w15:restartNumberingAfterBreak="0">
    <w:nsid w:val="1F9F47C1"/>
    <w:multiLevelType w:val="multilevel"/>
    <w:tmpl w:val="E934286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1" w15:restartNumberingAfterBreak="0">
    <w:nsid w:val="1FD43B78"/>
    <w:multiLevelType w:val="multilevel"/>
    <w:tmpl w:val="79927C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20215496"/>
    <w:multiLevelType w:val="multilevel"/>
    <w:tmpl w:val="272644F8"/>
    <w:lvl w:ilvl="0">
      <w:start w:val="3"/>
      <w:numFmt w:val="decimal"/>
      <w:lvlText w:val="%1."/>
      <w:lvlJc w:val="left"/>
      <w:pPr>
        <w:ind w:left="360" w:hanging="360"/>
      </w:pPr>
      <w:rPr>
        <w:rFonts w:hint="default"/>
        <w:color w:val="009889" w:themeColor="accent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3" w15:restartNumberingAfterBreak="0">
    <w:nsid w:val="20842689"/>
    <w:multiLevelType w:val="multilevel"/>
    <w:tmpl w:val="4322BEA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4" w15:restartNumberingAfterBreak="0">
    <w:nsid w:val="20D00544"/>
    <w:multiLevelType w:val="multilevel"/>
    <w:tmpl w:val="38661A20"/>
    <w:lvl w:ilvl="0">
      <w:start w:val="1"/>
      <w:numFmt w:val="decimal"/>
      <w:lvlText w:val="%1."/>
      <w:lvlJc w:val="left"/>
      <w:pPr>
        <w:ind w:left="720" w:hanging="360"/>
      </w:pPr>
      <w:rPr>
        <w:rFonts w:hint="default"/>
        <w:b w:val="0"/>
        <w:bCs/>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5" w15:restartNumberingAfterBreak="0">
    <w:nsid w:val="216C5A9E"/>
    <w:multiLevelType w:val="multilevel"/>
    <w:tmpl w:val="3098B5BE"/>
    <w:styleLink w:val="Digital4Business"/>
    <w:lvl w:ilvl="0">
      <w:start w:val="1"/>
      <w:numFmt w:val="decimal"/>
      <w:pStyle w:val="Digital4Business"/>
      <w:lvlText w:val="%1."/>
      <w:lvlJc w:val="left"/>
      <w:pPr>
        <w:ind w:left="360" w:hanging="360"/>
      </w:pPr>
      <w:rPr>
        <w:rFonts w:ascii="Work Sans SemiBold" w:hAnsi="Work Sans SemiBold"/>
        <w:b/>
        <w:color w:val="282B35" w:themeColor="text2"/>
      </w:rPr>
    </w:lvl>
    <w:lvl w:ilvl="1">
      <w:start w:val="1"/>
      <w:numFmt w:val="decimal"/>
      <w:lvlText w:val="%1.%2."/>
      <w:lvlJc w:val="left"/>
      <w:pPr>
        <w:ind w:left="792" w:hanging="432"/>
      </w:pPr>
      <w:rPr>
        <w:rFonts w:ascii="Work Sans SemiBold" w:hAnsi="Work Sans SemiBold"/>
        <w:b w:val="0"/>
        <w:color w:val="282B35" w:themeColor="text2"/>
      </w:rPr>
    </w:lvl>
    <w:lvl w:ilvl="2">
      <w:start w:val="1"/>
      <w:numFmt w:val="decimal"/>
      <w:lvlText w:val="%1.%2.%3."/>
      <w:lvlJc w:val="left"/>
      <w:pPr>
        <w:ind w:left="1224" w:hanging="504"/>
      </w:pPr>
      <w:rPr>
        <w:rFonts w:ascii="Work Sans SemiBold" w:hAnsi="Work Sans SemiBold"/>
        <w:color w:val="282B35" w:themeColor="text2"/>
      </w:rPr>
    </w:lvl>
    <w:lvl w:ilvl="3">
      <w:start w:val="1"/>
      <w:numFmt w:val="decimal"/>
      <w:lvlText w:val="%1.%2.%3.%4."/>
      <w:lvlJc w:val="left"/>
      <w:pPr>
        <w:ind w:left="1728" w:hanging="648"/>
      </w:pPr>
      <w:rPr>
        <w:rFonts w:ascii="Work Sans SemiBold" w:hAnsi="Work Sans SemiBold"/>
        <w:color w:val="282B35" w:themeColor="text2"/>
      </w:rPr>
    </w:lvl>
    <w:lvl w:ilvl="4">
      <w:start w:val="1"/>
      <w:numFmt w:val="decimal"/>
      <w:lvlText w:val="%1.%2.%3.%4.%5."/>
      <w:lvlJc w:val="left"/>
      <w:pPr>
        <w:ind w:left="2232" w:hanging="792"/>
      </w:pPr>
      <w:rPr>
        <w:rFonts w:ascii="Work Sans SemiBold" w:hAnsi="Work Sans SemiBold"/>
        <w:color w:val="282B35" w:themeColor="text2"/>
      </w:rPr>
    </w:lvl>
    <w:lvl w:ilvl="5">
      <w:start w:val="1"/>
      <w:numFmt w:val="decimal"/>
      <w:lvlText w:val="%1.%2.%3.%4.%5.%6."/>
      <w:lvlJc w:val="left"/>
      <w:pPr>
        <w:ind w:left="2736" w:hanging="936"/>
      </w:pPr>
      <w:rPr>
        <w:rFonts w:asciiTheme="minorHAnsi" w:hAnsiTheme="minorHAnsi"/>
        <w:color w:val="282B35" w:themeColor="text2"/>
      </w:rPr>
    </w:lvl>
    <w:lvl w:ilvl="6">
      <w:start w:val="1"/>
      <w:numFmt w:val="decimal"/>
      <w:lvlText w:val="%1.%2.%3.%4.%5.%6.%7."/>
      <w:lvlJc w:val="left"/>
      <w:pPr>
        <w:ind w:left="3240" w:hanging="1080"/>
      </w:pPr>
      <w:rPr>
        <w:rFonts w:ascii="Work Sans SemiBold" w:hAnsi="Work Sans SemiBold"/>
        <w:color w:val="282B35" w:themeColor="text2"/>
      </w:rPr>
    </w:lvl>
    <w:lvl w:ilvl="7">
      <w:start w:val="1"/>
      <w:numFmt w:val="decimal"/>
      <w:lvlText w:val="%1.%2.%3.%4.%5.%6.%7.%8."/>
      <w:lvlJc w:val="left"/>
      <w:pPr>
        <w:ind w:left="3744" w:hanging="1224"/>
      </w:pPr>
      <w:rPr>
        <w:rFonts w:ascii="Work Sans SemiBold" w:hAnsi="Work Sans SemiBold"/>
        <w:color w:val="282B35" w:themeColor="text2"/>
      </w:rPr>
    </w:lvl>
    <w:lvl w:ilvl="8">
      <w:start w:val="1"/>
      <w:numFmt w:val="decimal"/>
      <w:lvlText w:val="%1.%2.%3.%4.%5.%6.%7.%8.%9."/>
      <w:lvlJc w:val="left"/>
      <w:pPr>
        <w:ind w:left="4320" w:hanging="1440"/>
      </w:pPr>
      <w:rPr>
        <w:rFonts w:ascii="Work Sans SemiBold" w:hAnsi="Work Sans SemiBold"/>
        <w:color w:val="282B35" w:themeColor="text2"/>
      </w:rPr>
    </w:lvl>
  </w:abstractNum>
  <w:abstractNum w:abstractNumId="106" w15:restartNumberingAfterBreak="0">
    <w:nsid w:val="21C83FC5"/>
    <w:multiLevelType w:val="multilevel"/>
    <w:tmpl w:val="75641A7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7" w15:restartNumberingAfterBreak="0">
    <w:nsid w:val="22827F28"/>
    <w:multiLevelType w:val="multilevel"/>
    <w:tmpl w:val="FAAACF38"/>
    <w:lvl w:ilvl="0">
      <w:start w:val="1"/>
      <w:numFmt w:val="decimal"/>
      <w:lvlText w:val="%1."/>
      <w:lvlJc w:val="left"/>
      <w:pPr>
        <w:ind w:left="720" w:hanging="360"/>
      </w:pPr>
      <w:rPr>
        <w:rFonts w:asciiTheme="majorHAnsi" w:hAnsiTheme="majorHAnsi" w:hint="default"/>
        <w:b/>
        <w:bCs/>
        <w:color w:val="00AC4E" w:themeColor="accent1"/>
        <w:position w:val="-2"/>
        <w:sz w:val="28"/>
        <w:szCs w:val="28"/>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8" w15:restartNumberingAfterBreak="0">
    <w:nsid w:val="22F66BB6"/>
    <w:multiLevelType w:val="hybridMultilevel"/>
    <w:tmpl w:val="F3165600"/>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9" w15:restartNumberingAfterBreak="0">
    <w:nsid w:val="23A764C8"/>
    <w:multiLevelType w:val="multilevel"/>
    <w:tmpl w:val="37DA0D6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15:restartNumberingAfterBreak="0">
    <w:nsid w:val="23BA4056"/>
    <w:multiLevelType w:val="multilevel"/>
    <w:tmpl w:val="DDCC65B8"/>
    <w:lvl w:ilvl="0">
      <w:start w:val="1"/>
      <w:numFmt w:val="lowerLetter"/>
      <w:lvlText w:val="%1."/>
      <w:lvlJc w:val="left"/>
      <w:pPr>
        <w:ind w:left="1446" w:hanging="360"/>
      </w:pPr>
    </w:lvl>
    <w:lvl w:ilvl="1">
      <w:start w:val="1"/>
      <w:numFmt w:val="lowerLetter"/>
      <w:lvlText w:val="%2."/>
      <w:lvlJc w:val="left"/>
      <w:pPr>
        <w:ind w:left="2166" w:hanging="360"/>
      </w:pPr>
    </w:lvl>
    <w:lvl w:ilvl="2">
      <w:start w:val="1"/>
      <w:numFmt w:val="lowerRoman"/>
      <w:lvlText w:val="%3."/>
      <w:lvlJc w:val="right"/>
      <w:pPr>
        <w:ind w:left="2886" w:hanging="180"/>
      </w:pPr>
    </w:lvl>
    <w:lvl w:ilvl="3">
      <w:start w:val="1"/>
      <w:numFmt w:val="decimal"/>
      <w:lvlText w:val="%4."/>
      <w:lvlJc w:val="left"/>
      <w:pPr>
        <w:ind w:left="3606" w:hanging="360"/>
      </w:pPr>
    </w:lvl>
    <w:lvl w:ilvl="4">
      <w:start w:val="1"/>
      <w:numFmt w:val="lowerLetter"/>
      <w:lvlText w:val="%5."/>
      <w:lvlJc w:val="left"/>
      <w:pPr>
        <w:ind w:left="4326" w:hanging="360"/>
      </w:pPr>
    </w:lvl>
    <w:lvl w:ilvl="5">
      <w:start w:val="1"/>
      <w:numFmt w:val="lowerRoman"/>
      <w:lvlText w:val="%6."/>
      <w:lvlJc w:val="right"/>
      <w:pPr>
        <w:ind w:left="5046" w:hanging="180"/>
      </w:pPr>
    </w:lvl>
    <w:lvl w:ilvl="6">
      <w:start w:val="1"/>
      <w:numFmt w:val="decimal"/>
      <w:lvlText w:val="%7."/>
      <w:lvlJc w:val="left"/>
      <w:pPr>
        <w:ind w:left="5766" w:hanging="360"/>
      </w:pPr>
    </w:lvl>
    <w:lvl w:ilvl="7">
      <w:start w:val="1"/>
      <w:numFmt w:val="lowerLetter"/>
      <w:lvlText w:val="%8."/>
      <w:lvlJc w:val="left"/>
      <w:pPr>
        <w:ind w:left="6486" w:hanging="360"/>
      </w:pPr>
    </w:lvl>
    <w:lvl w:ilvl="8">
      <w:start w:val="1"/>
      <w:numFmt w:val="lowerRoman"/>
      <w:lvlText w:val="%9."/>
      <w:lvlJc w:val="right"/>
      <w:pPr>
        <w:ind w:left="7206" w:hanging="180"/>
      </w:pPr>
    </w:lvl>
  </w:abstractNum>
  <w:abstractNum w:abstractNumId="111" w15:restartNumberingAfterBreak="0">
    <w:nsid w:val="242442F9"/>
    <w:multiLevelType w:val="hybridMultilevel"/>
    <w:tmpl w:val="FAC26970"/>
    <w:lvl w:ilvl="0" w:tplc="B86454F4">
      <w:start w:val="1"/>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244053C6"/>
    <w:multiLevelType w:val="multilevel"/>
    <w:tmpl w:val="59BC13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3" w15:restartNumberingAfterBreak="0">
    <w:nsid w:val="245A373B"/>
    <w:multiLevelType w:val="multilevel"/>
    <w:tmpl w:val="84BC8144"/>
    <w:lvl w:ilvl="0">
      <w:start w:val="1"/>
      <w:numFmt w:val="bullet"/>
      <w:lvlText w:val="•"/>
      <w:lvlJc w:val="left"/>
      <w:pPr>
        <w:tabs>
          <w:tab w:val="num" w:pos="720"/>
        </w:tabs>
        <w:ind w:left="720" w:hanging="360"/>
      </w:pPr>
      <w:rPr>
        <w:rFonts w:ascii="Arial" w:hAnsi="Arial" w:hint="default"/>
      </w:rPr>
    </w:lvl>
    <w:lvl w:ilvl="1">
      <w:start w:val="1"/>
      <w:numFmt w:val="bullet"/>
      <w:lvlText w:val="•"/>
      <w:lvlJc w:val="left"/>
      <w:pPr>
        <w:tabs>
          <w:tab w:val="num" w:pos="1440"/>
        </w:tabs>
        <w:ind w:left="1440" w:hanging="360"/>
      </w:pPr>
      <w:rPr>
        <w:rFonts w:ascii="Arial" w:hAnsi="Arial" w:hint="default"/>
      </w:rPr>
    </w:lvl>
    <w:lvl w:ilvl="2">
      <w:start w:val="1"/>
      <w:numFmt w:val="bullet"/>
      <w:lvlText w:val="•"/>
      <w:lvlJc w:val="left"/>
      <w:pPr>
        <w:tabs>
          <w:tab w:val="num" w:pos="2160"/>
        </w:tabs>
        <w:ind w:left="2160" w:hanging="360"/>
      </w:pPr>
      <w:rPr>
        <w:rFonts w:ascii="Arial" w:hAnsi="Arial" w:hint="default"/>
      </w:rPr>
    </w:lvl>
    <w:lvl w:ilvl="3">
      <w:start w:val="1"/>
      <w:numFmt w:val="bullet"/>
      <w:lvlText w:val="•"/>
      <w:lvlJc w:val="left"/>
      <w:pPr>
        <w:tabs>
          <w:tab w:val="num" w:pos="2880"/>
        </w:tabs>
        <w:ind w:left="2880" w:hanging="360"/>
      </w:pPr>
      <w:rPr>
        <w:rFonts w:ascii="Arial" w:hAnsi="Arial" w:hint="default"/>
      </w:rPr>
    </w:lvl>
    <w:lvl w:ilvl="4">
      <w:start w:val="1"/>
      <w:numFmt w:val="bullet"/>
      <w:lvlText w:val="•"/>
      <w:lvlJc w:val="left"/>
      <w:pPr>
        <w:tabs>
          <w:tab w:val="num" w:pos="3600"/>
        </w:tabs>
        <w:ind w:left="3600" w:hanging="360"/>
      </w:pPr>
      <w:rPr>
        <w:rFonts w:ascii="Arial" w:hAnsi="Arial" w:hint="default"/>
      </w:rPr>
    </w:lvl>
    <w:lvl w:ilvl="5">
      <w:start w:val="1"/>
      <w:numFmt w:val="bullet"/>
      <w:lvlText w:val="•"/>
      <w:lvlJc w:val="left"/>
      <w:pPr>
        <w:tabs>
          <w:tab w:val="num" w:pos="4320"/>
        </w:tabs>
        <w:ind w:left="4320" w:hanging="360"/>
      </w:pPr>
      <w:rPr>
        <w:rFonts w:ascii="Arial" w:hAnsi="Arial" w:hint="default"/>
      </w:rPr>
    </w:lvl>
    <w:lvl w:ilvl="6">
      <w:start w:val="1"/>
      <w:numFmt w:val="bullet"/>
      <w:lvlText w:val="•"/>
      <w:lvlJc w:val="left"/>
      <w:pPr>
        <w:tabs>
          <w:tab w:val="num" w:pos="5040"/>
        </w:tabs>
        <w:ind w:left="5040" w:hanging="360"/>
      </w:pPr>
      <w:rPr>
        <w:rFonts w:ascii="Arial" w:hAnsi="Arial" w:hint="default"/>
      </w:rPr>
    </w:lvl>
    <w:lvl w:ilvl="7">
      <w:start w:val="1"/>
      <w:numFmt w:val="bullet"/>
      <w:lvlText w:val="•"/>
      <w:lvlJc w:val="left"/>
      <w:pPr>
        <w:tabs>
          <w:tab w:val="num" w:pos="5760"/>
        </w:tabs>
        <w:ind w:left="5760" w:hanging="360"/>
      </w:pPr>
      <w:rPr>
        <w:rFonts w:ascii="Arial" w:hAnsi="Arial" w:hint="default"/>
      </w:rPr>
    </w:lvl>
    <w:lvl w:ilvl="8">
      <w:start w:val="1"/>
      <w:numFmt w:val="bullet"/>
      <w:lvlText w:val="•"/>
      <w:lvlJc w:val="left"/>
      <w:pPr>
        <w:tabs>
          <w:tab w:val="num" w:pos="6480"/>
        </w:tabs>
        <w:ind w:left="6480" w:hanging="360"/>
      </w:pPr>
      <w:rPr>
        <w:rFonts w:ascii="Arial" w:hAnsi="Arial" w:hint="default"/>
      </w:rPr>
    </w:lvl>
  </w:abstractNum>
  <w:abstractNum w:abstractNumId="114" w15:restartNumberingAfterBreak="0">
    <w:nsid w:val="24806F1D"/>
    <w:multiLevelType w:val="multilevel"/>
    <w:tmpl w:val="06ECC59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5" w15:restartNumberingAfterBreak="0">
    <w:nsid w:val="24865BC9"/>
    <w:multiLevelType w:val="multilevel"/>
    <w:tmpl w:val="104C71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6" w15:restartNumberingAfterBreak="0">
    <w:nsid w:val="24DD752B"/>
    <w:multiLevelType w:val="multilevel"/>
    <w:tmpl w:val="092A04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7" w15:restartNumberingAfterBreak="0">
    <w:nsid w:val="24E21E11"/>
    <w:multiLevelType w:val="multilevel"/>
    <w:tmpl w:val="6A2C93F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8" w15:restartNumberingAfterBreak="0">
    <w:nsid w:val="24FE5EBE"/>
    <w:multiLevelType w:val="multilevel"/>
    <w:tmpl w:val="B1DA919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9" w15:restartNumberingAfterBreak="0">
    <w:nsid w:val="25514F69"/>
    <w:multiLevelType w:val="hybridMultilevel"/>
    <w:tmpl w:val="64F46704"/>
    <w:lvl w:ilvl="0" w:tplc="FFFFFFFF">
      <w:start w:val="1"/>
      <w:numFmt w:val="lowerLetter"/>
      <w:lvlText w:val="%1)"/>
      <w:lvlJc w:val="left"/>
      <w:pPr>
        <w:ind w:left="720" w:hanging="360"/>
      </w:pPr>
    </w:lvl>
    <w:lvl w:ilvl="1" w:tplc="041A0017">
      <w:start w:val="1"/>
      <w:numFmt w:val="lowerLetter"/>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 w15:restartNumberingAfterBreak="0">
    <w:nsid w:val="25707759"/>
    <w:multiLevelType w:val="hybridMultilevel"/>
    <w:tmpl w:val="A98CF418"/>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1" w15:restartNumberingAfterBreak="0">
    <w:nsid w:val="25741A83"/>
    <w:multiLevelType w:val="multilevel"/>
    <w:tmpl w:val="50E4CF7E"/>
    <w:lvl w:ilvl="0">
      <w:start w:val="2"/>
      <w:numFmt w:val="none"/>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2" w15:restartNumberingAfterBreak="0">
    <w:nsid w:val="25D33DC8"/>
    <w:multiLevelType w:val="multilevel"/>
    <w:tmpl w:val="E14EF9D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3" w15:restartNumberingAfterBreak="0">
    <w:nsid w:val="26000FB5"/>
    <w:multiLevelType w:val="multilevel"/>
    <w:tmpl w:val="832A53B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4" w15:restartNumberingAfterBreak="0">
    <w:nsid w:val="261117A3"/>
    <w:multiLevelType w:val="hybridMultilevel"/>
    <w:tmpl w:val="F4DA041C"/>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5" w15:restartNumberingAfterBreak="0">
    <w:nsid w:val="26791A0D"/>
    <w:multiLevelType w:val="multilevel"/>
    <w:tmpl w:val="51C67B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26B23D78"/>
    <w:multiLevelType w:val="multilevel"/>
    <w:tmpl w:val="E660A0E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7" w15:restartNumberingAfterBreak="0">
    <w:nsid w:val="26DF6504"/>
    <w:multiLevelType w:val="multilevel"/>
    <w:tmpl w:val="2244CCA6"/>
    <w:lvl w:ilvl="0">
      <w:start w:val="1"/>
      <w:numFmt w:val="decimal"/>
      <w:lvlText w:val="%1."/>
      <w:lvlJc w:val="left"/>
      <w:pPr>
        <w:ind w:left="720" w:hanging="360"/>
      </w:pPr>
      <w:rPr>
        <w:rFonts w:hint="default"/>
        <w:b/>
        <w:bCs/>
        <w:color w:val="00AC4E" w:themeColor="accent1"/>
        <w:position w:val="-2"/>
        <w:sz w:val="28"/>
        <w:szCs w:val="28"/>
        <w:lang w:val="en-GB"/>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8" w15:restartNumberingAfterBreak="0">
    <w:nsid w:val="27081FC7"/>
    <w:multiLevelType w:val="multilevel"/>
    <w:tmpl w:val="2568806E"/>
    <w:lvl w:ilvl="0">
      <w:start w:val="1"/>
      <w:numFmt w:val="decimal"/>
      <w:lvlText w:val="%1."/>
      <w:lvlJc w:val="left"/>
      <w:pPr>
        <w:ind w:left="720" w:hanging="360"/>
      </w:pPr>
      <w:rPr>
        <w:rFonts w:hint="default"/>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9" w15:restartNumberingAfterBreak="0">
    <w:nsid w:val="27837CA8"/>
    <w:multiLevelType w:val="multilevel"/>
    <w:tmpl w:val="04AED47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0" w15:restartNumberingAfterBreak="0">
    <w:nsid w:val="27FA58EC"/>
    <w:multiLevelType w:val="hybridMultilevel"/>
    <w:tmpl w:val="4F5E4D8A"/>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1" w15:restartNumberingAfterBreak="0">
    <w:nsid w:val="28A909E8"/>
    <w:multiLevelType w:val="multilevel"/>
    <w:tmpl w:val="58926C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28FB6B48"/>
    <w:multiLevelType w:val="hybridMultilevel"/>
    <w:tmpl w:val="D3341826"/>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3" w15:restartNumberingAfterBreak="0">
    <w:nsid w:val="291C5FBE"/>
    <w:multiLevelType w:val="multilevel"/>
    <w:tmpl w:val="95F447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29252C48"/>
    <w:multiLevelType w:val="multilevel"/>
    <w:tmpl w:val="36EC660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5" w15:restartNumberingAfterBreak="0">
    <w:nsid w:val="292F231C"/>
    <w:multiLevelType w:val="multilevel"/>
    <w:tmpl w:val="F13E7F8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6" w15:restartNumberingAfterBreak="0">
    <w:nsid w:val="29CA5214"/>
    <w:multiLevelType w:val="multilevel"/>
    <w:tmpl w:val="45E601A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7" w15:restartNumberingAfterBreak="0">
    <w:nsid w:val="29F97CD0"/>
    <w:multiLevelType w:val="hybridMultilevel"/>
    <w:tmpl w:val="3BE641D4"/>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8" w15:restartNumberingAfterBreak="0">
    <w:nsid w:val="2A4554BF"/>
    <w:multiLevelType w:val="multilevel"/>
    <w:tmpl w:val="BA9A1E0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9" w15:restartNumberingAfterBreak="0">
    <w:nsid w:val="2A64047C"/>
    <w:multiLevelType w:val="multilevel"/>
    <w:tmpl w:val="6070285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0" w15:restartNumberingAfterBreak="0">
    <w:nsid w:val="2A995F91"/>
    <w:multiLevelType w:val="multilevel"/>
    <w:tmpl w:val="17381438"/>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1" w15:restartNumberingAfterBreak="0">
    <w:nsid w:val="2BB91FF2"/>
    <w:multiLevelType w:val="multilevel"/>
    <w:tmpl w:val="84E83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2BDD0397"/>
    <w:multiLevelType w:val="hybridMultilevel"/>
    <w:tmpl w:val="5182728C"/>
    <w:lvl w:ilvl="0" w:tplc="041A0017">
      <w:start w:val="1"/>
      <w:numFmt w:val="lowerLetter"/>
      <w:lvlText w:val="%1)"/>
      <w:lvlJc w:val="left"/>
      <w:pPr>
        <w:ind w:left="720" w:hanging="360"/>
      </w:pPr>
    </w:lvl>
    <w:lvl w:ilvl="1" w:tplc="C7582E7E">
      <w:start w:val="1"/>
      <w:numFmt w:val="upperLetter"/>
      <w:lvlText w:val="%2)"/>
      <w:lvlJc w:val="left"/>
      <w:pPr>
        <w:ind w:left="1440" w:hanging="360"/>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3" w15:restartNumberingAfterBreak="0">
    <w:nsid w:val="2BFC0BAA"/>
    <w:multiLevelType w:val="multilevel"/>
    <w:tmpl w:val="3F0E50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2C4C103A"/>
    <w:multiLevelType w:val="multilevel"/>
    <w:tmpl w:val="7E5E80BA"/>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45" w15:restartNumberingAfterBreak="0">
    <w:nsid w:val="2C95090C"/>
    <w:multiLevelType w:val="hybridMultilevel"/>
    <w:tmpl w:val="739CCB16"/>
    <w:lvl w:ilvl="0" w:tplc="B86454F4">
      <w:start w:val="1"/>
      <w:numFmt w:val="bullet"/>
      <w:lvlText w:val="-"/>
      <w:lvlJc w:val="left"/>
      <w:pPr>
        <w:ind w:left="720" w:hanging="360"/>
      </w:pPr>
      <w:rPr>
        <w:rFonts w:ascii="Arial" w:eastAsia="Arial"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6" w15:restartNumberingAfterBreak="0">
    <w:nsid w:val="2C951630"/>
    <w:multiLevelType w:val="multilevel"/>
    <w:tmpl w:val="E47CF4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7" w15:restartNumberingAfterBreak="0">
    <w:nsid w:val="2C991688"/>
    <w:multiLevelType w:val="multilevel"/>
    <w:tmpl w:val="2E664C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2CBF5DB8"/>
    <w:multiLevelType w:val="hybridMultilevel"/>
    <w:tmpl w:val="5D90DF5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9" w15:restartNumberingAfterBreak="0">
    <w:nsid w:val="2CD53006"/>
    <w:multiLevelType w:val="multilevel"/>
    <w:tmpl w:val="2536CBAC"/>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150" w15:restartNumberingAfterBreak="0">
    <w:nsid w:val="2CDE6F80"/>
    <w:multiLevelType w:val="multilevel"/>
    <w:tmpl w:val="BAC0D10E"/>
    <w:lvl w:ilvl="0">
      <w:start w:val="1"/>
      <w:numFmt w:val="lowerLetter"/>
      <w:lvlText w:val="%1."/>
      <w:lvlJc w:val="left"/>
      <w:pPr>
        <w:ind w:left="1446" w:hanging="360"/>
      </w:pPr>
    </w:lvl>
    <w:lvl w:ilvl="1">
      <w:start w:val="1"/>
      <w:numFmt w:val="lowerLetter"/>
      <w:lvlText w:val="%2."/>
      <w:lvlJc w:val="left"/>
      <w:pPr>
        <w:ind w:left="2166" w:hanging="360"/>
      </w:pPr>
    </w:lvl>
    <w:lvl w:ilvl="2">
      <w:start w:val="1"/>
      <w:numFmt w:val="lowerRoman"/>
      <w:lvlText w:val="%3."/>
      <w:lvlJc w:val="right"/>
      <w:pPr>
        <w:ind w:left="2886" w:hanging="180"/>
      </w:pPr>
    </w:lvl>
    <w:lvl w:ilvl="3">
      <w:start w:val="1"/>
      <w:numFmt w:val="decimal"/>
      <w:lvlText w:val="%4."/>
      <w:lvlJc w:val="left"/>
      <w:pPr>
        <w:ind w:left="3606" w:hanging="360"/>
      </w:pPr>
    </w:lvl>
    <w:lvl w:ilvl="4">
      <w:start w:val="1"/>
      <w:numFmt w:val="lowerLetter"/>
      <w:lvlText w:val="%5."/>
      <w:lvlJc w:val="left"/>
      <w:pPr>
        <w:ind w:left="4326" w:hanging="360"/>
      </w:pPr>
    </w:lvl>
    <w:lvl w:ilvl="5">
      <w:start w:val="1"/>
      <w:numFmt w:val="lowerRoman"/>
      <w:lvlText w:val="%6."/>
      <w:lvlJc w:val="right"/>
      <w:pPr>
        <w:ind w:left="5046" w:hanging="180"/>
      </w:pPr>
    </w:lvl>
    <w:lvl w:ilvl="6">
      <w:start w:val="1"/>
      <w:numFmt w:val="decimal"/>
      <w:lvlText w:val="%7."/>
      <w:lvlJc w:val="left"/>
      <w:pPr>
        <w:ind w:left="5766" w:hanging="360"/>
      </w:pPr>
    </w:lvl>
    <w:lvl w:ilvl="7">
      <w:start w:val="1"/>
      <w:numFmt w:val="lowerLetter"/>
      <w:lvlText w:val="%8."/>
      <w:lvlJc w:val="left"/>
      <w:pPr>
        <w:ind w:left="6486" w:hanging="360"/>
      </w:pPr>
    </w:lvl>
    <w:lvl w:ilvl="8">
      <w:start w:val="1"/>
      <w:numFmt w:val="lowerRoman"/>
      <w:lvlText w:val="%9."/>
      <w:lvlJc w:val="right"/>
      <w:pPr>
        <w:ind w:left="7206" w:hanging="180"/>
      </w:pPr>
    </w:lvl>
  </w:abstractNum>
  <w:abstractNum w:abstractNumId="151" w15:restartNumberingAfterBreak="0">
    <w:nsid w:val="2D303372"/>
    <w:multiLevelType w:val="hybridMultilevel"/>
    <w:tmpl w:val="59C0972C"/>
    <w:lvl w:ilvl="0" w:tplc="0B6C74F8">
      <w:start w:val="1"/>
      <w:numFmt w:val="decimal"/>
      <w:lvlText w:val="%1."/>
      <w:lvlJc w:val="left"/>
      <w:pPr>
        <w:ind w:left="720" w:hanging="360"/>
      </w:pPr>
      <w:rPr>
        <w:rFonts w:asciiTheme="minorHAnsi" w:eastAsiaTheme="minorEastAsia" w:hAnsiTheme="minorHAnsi" w:cstheme="minorHAnsi"/>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2" w15:restartNumberingAfterBreak="0">
    <w:nsid w:val="2D402F1C"/>
    <w:multiLevelType w:val="multilevel"/>
    <w:tmpl w:val="101A1B4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3" w15:restartNumberingAfterBreak="0">
    <w:nsid w:val="2DBC3F71"/>
    <w:multiLevelType w:val="multilevel"/>
    <w:tmpl w:val="3E440E7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4" w15:restartNumberingAfterBreak="0">
    <w:nsid w:val="2DF00DC9"/>
    <w:multiLevelType w:val="multilevel"/>
    <w:tmpl w:val="72F459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5" w15:restartNumberingAfterBreak="0">
    <w:nsid w:val="2DF717F1"/>
    <w:multiLevelType w:val="multilevel"/>
    <w:tmpl w:val="54CEECBE"/>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56" w15:restartNumberingAfterBreak="0">
    <w:nsid w:val="2E313A59"/>
    <w:multiLevelType w:val="multilevel"/>
    <w:tmpl w:val="43DCB5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2E441453"/>
    <w:multiLevelType w:val="multilevel"/>
    <w:tmpl w:val="F072DC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8" w15:restartNumberingAfterBreak="0">
    <w:nsid w:val="2E510A41"/>
    <w:multiLevelType w:val="multilevel"/>
    <w:tmpl w:val="6E6ECC2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9" w15:restartNumberingAfterBreak="0">
    <w:nsid w:val="2E85640F"/>
    <w:multiLevelType w:val="multilevel"/>
    <w:tmpl w:val="8E8E579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0" w15:restartNumberingAfterBreak="0">
    <w:nsid w:val="2F5B6475"/>
    <w:multiLevelType w:val="hybridMultilevel"/>
    <w:tmpl w:val="4A90EDB8"/>
    <w:lvl w:ilvl="0" w:tplc="041A0017">
      <w:start w:val="1"/>
      <w:numFmt w:val="lowerLetter"/>
      <w:lvlText w:val="%1)"/>
      <w:lvlJc w:val="left"/>
      <w:pPr>
        <w:ind w:left="720" w:hanging="360"/>
      </w:pPr>
    </w:lvl>
    <w:lvl w:ilvl="1" w:tplc="FFFFFFFF">
      <w:start w:val="1"/>
      <w:numFmt w:val="lowerLetter"/>
      <w:lvlText w:val="%2)"/>
      <w:lvlJc w:val="left"/>
      <w:pPr>
        <w:ind w:left="1440" w:hanging="360"/>
      </w:pPr>
      <w:rPr>
        <w:rFonts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1" w15:restartNumberingAfterBreak="0">
    <w:nsid w:val="2F661956"/>
    <w:multiLevelType w:val="multilevel"/>
    <w:tmpl w:val="534AA0E0"/>
    <w:lvl w:ilvl="0">
      <w:start w:val="1"/>
      <w:numFmt w:val="bullet"/>
      <w:lvlText w:val=""/>
      <w:lvlJc w:val="left"/>
      <w:pPr>
        <w:ind w:left="720" w:hanging="360"/>
      </w:pPr>
      <w:rPr>
        <w:rFonts w:ascii="Symbol" w:hAnsi="Symbol" w:hint="default"/>
        <w:color w:val="007166" w:themeColor="accent2" w:themeShade="BF"/>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2" w15:restartNumberingAfterBreak="0">
    <w:nsid w:val="30060F22"/>
    <w:multiLevelType w:val="multilevel"/>
    <w:tmpl w:val="91F0523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3" w15:restartNumberingAfterBreak="0">
    <w:nsid w:val="3041774E"/>
    <w:multiLevelType w:val="hybridMultilevel"/>
    <w:tmpl w:val="91804A9A"/>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4" w15:restartNumberingAfterBreak="0">
    <w:nsid w:val="30420606"/>
    <w:multiLevelType w:val="multilevel"/>
    <w:tmpl w:val="65001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306C65A0"/>
    <w:multiLevelType w:val="multilevel"/>
    <w:tmpl w:val="1024B1FC"/>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66" w15:restartNumberingAfterBreak="0">
    <w:nsid w:val="30D046CA"/>
    <w:multiLevelType w:val="multilevel"/>
    <w:tmpl w:val="EFCE49C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7" w15:restartNumberingAfterBreak="0">
    <w:nsid w:val="31CA57A3"/>
    <w:multiLevelType w:val="hybridMultilevel"/>
    <w:tmpl w:val="EE2495D2"/>
    <w:lvl w:ilvl="0" w:tplc="F72AA0D0">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8" w15:restartNumberingAfterBreak="0">
    <w:nsid w:val="32C27B5F"/>
    <w:multiLevelType w:val="multilevel"/>
    <w:tmpl w:val="673030C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9" w15:restartNumberingAfterBreak="0">
    <w:nsid w:val="333120DC"/>
    <w:multiLevelType w:val="multilevel"/>
    <w:tmpl w:val="965009E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0" w15:restartNumberingAfterBreak="0">
    <w:nsid w:val="33672341"/>
    <w:multiLevelType w:val="multilevel"/>
    <w:tmpl w:val="666EE1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337000AE"/>
    <w:multiLevelType w:val="multilevel"/>
    <w:tmpl w:val="6080A32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2" w15:restartNumberingAfterBreak="0">
    <w:nsid w:val="33754648"/>
    <w:multiLevelType w:val="multilevel"/>
    <w:tmpl w:val="85A6BE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3" w15:restartNumberingAfterBreak="0">
    <w:nsid w:val="33806777"/>
    <w:multiLevelType w:val="hybridMultilevel"/>
    <w:tmpl w:val="10D29F2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4" w15:restartNumberingAfterBreak="0">
    <w:nsid w:val="338A7268"/>
    <w:multiLevelType w:val="multilevel"/>
    <w:tmpl w:val="928A376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5" w15:restartNumberingAfterBreak="0">
    <w:nsid w:val="33976B7D"/>
    <w:multiLevelType w:val="hybridMultilevel"/>
    <w:tmpl w:val="9104AFC2"/>
    <w:lvl w:ilvl="0" w:tplc="F72AA0D0">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6" w15:restartNumberingAfterBreak="0">
    <w:nsid w:val="33A214CC"/>
    <w:multiLevelType w:val="multilevel"/>
    <w:tmpl w:val="3098B5BE"/>
    <w:numStyleLink w:val="Digital4Business"/>
  </w:abstractNum>
  <w:abstractNum w:abstractNumId="177" w15:restartNumberingAfterBreak="0">
    <w:nsid w:val="341B2CF6"/>
    <w:multiLevelType w:val="multilevel"/>
    <w:tmpl w:val="4142EB98"/>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78" w15:restartNumberingAfterBreak="0">
    <w:nsid w:val="34752303"/>
    <w:multiLevelType w:val="multilevel"/>
    <w:tmpl w:val="DD78EB7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9" w15:restartNumberingAfterBreak="0">
    <w:nsid w:val="34CA5E74"/>
    <w:multiLevelType w:val="multilevel"/>
    <w:tmpl w:val="925C80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3578021D"/>
    <w:multiLevelType w:val="multilevel"/>
    <w:tmpl w:val="63EA95F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1" w15:restartNumberingAfterBreak="0">
    <w:nsid w:val="360A520C"/>
    <w:multiLevelType w:val="multilevel"/>
    <w:tmpl w:val="9D1497B6"/>
    <w:lvl w:ilvl="0">
      <w:start w:val="1"/>
      <w:numFmt w:val="decimal"/>
      <w:lvlText w:val="%1."/>
      <w:lvlJc w:val="left"/>
      <w:pPr>
        <w:ind w:left="709" w:hanging="360"/>
      </w:pPr>
    </w:lvl>
    <w:lvl w:ilvl="1">
      <w:start w:val="1"/>
      <w:numFmt w:val="lowerLetter"/>
      <w:lvlText w:val="%2."/>
      <w:lvlJc w:val="left"/>
      <w:pPr>
        <w:ind w:left="1429" w:hanging="360"/>
      </w:pPr>
    </w:lvl>
    <w:lvl w:ilvl="2">
      <w:start w:val="1"/>
      <w:numFmt w:val="lowerRoman"/>
      <w:lvlText w:val="%3."/>
      <w:lvlJc w:val="right"/>
      <w:pPr>
        <w:ind w:left="2149" w:hanging="180"/>
      </w:pPr>
    </w:lvl>
    <w:lvl w:ilvl="3">
      <w:start w:val="1"/>
      <w:numFmt w:val="decimal"/>
      <w:lvlText w:val="%4."/>
      <w:lvlJc w:val="left"/>
      <w:pPr>
        <w:ind w:left="2869" w:hanging="360"/>
      </w:pPr>
    </w:lvl>
    <w:lvl w:ilvl="4">
      <w:start w:val="1"/>
      <w:numFmt w:val="lowerLetter"/>
      <w:lvlText w:val="%5."/>
      <w:lvlJc w:val="left"/>
      <w:pPr>
        <w:ind w:left="3589" w:hanging="360"/>
      </w:pPr>
    </w:lvl>
    <w:lvl w:ilvl="5">
      <w:start w:val="1"/>
      <w:numFmt w:val="lowerRoman"/>
      <w:lvlText w:val="%6."/>
      <w:lvlJc w:val="right"/>
      <w:pPr>
        <w:ind w:left="4309" w:hanging="180"/>
      </w:pPr>
    </w:lvl>
    <w:lvl w:ilvl="6">
      <w:start w:val="1"/>
      <w:numFmt w:val="decimal"/>
      <w:lvlText w:val="%7."/>
      <w:lvlJc w:val="left"/>
      <w:pPr>
        <w:ind w:left="5029" w:hanging="360"/>
      </w:pPr>
    </w:lvl>
    <w:lvl w:ilvl="7">
      <w:start w:val="1"/>
      <w:numFmt w:val="lowerLetter"/>
      <w:lvlText w:val="%8."/>
      <w:lvlJc w:val="left"/>
      <w:pPr>
        <w:ind w:left="5749" w:hanging="360"/>
      </w:pPr>
    </w:lvl>
    <w:lvl w:ilvl="8">
      <w:start w:val="1"/>
      <w:numFmt w:val="lowerRoman"/>
      <w:lvlText w:val="%9."/>
      <w:lvlJc w:val="right"/>
      <w:pPr>
        <w:ind w:left="6469" w:hanging="180"/>
      </w:pPr>
    </w:lvl>
  </w:abstractNum>
  <w:abstractNum w:abstractNumId="182" w15:restartNumberingAfterBreak="0">
    <w:nsid w:val="37032033"/>
    <w:multiLevelType w:val="multilevel"/>
    <w:tmpl w:val="D7D6AB5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3" w15:restartNumberingAfterBreak="0">
    <w:nsid w:val="371F6E05"/>
    <w:multiLevelType w:val="multilevel"/>
    <w:tmpl w:val="03180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38681F17"/>
    <w:multiLevelType w:val="multilevel"/>
    <w:tmpl w:val="EE9C9448"/>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185" w15:restartNumberingAfterBreak="0">
    <w:nsid w:val="390D5BAB"/>
    <w:multiLevelType w:val="multilevel"/>
    <w:tmpl w:val="F864CE4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6" w15:restartNumberingAfterBreak="0">
    <w:nsid w:val="39F22D29"/>
    <w:multiLevelType w:val="multilevel"/>
    <w:tmpl w:val="8CE46E7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7" w15:restartNumberingAfterBreak="0">
    <w:nsid w:val="3A8F4D8F"/>
    <w:multiLevelType w:val="multilevel"/>
    <w:tmpl w:val="5318448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8" w15:restartNumberingAfterBreak="0">
    <w:nsid w:val="3B1719A8"/>
    <w:multiLevelType w:val="multilevel"/>
    <w:tmpl w:val="4B00A4C6"/>
    <w:lvl w:ilvl="0">
      <w:start w:val="1"/>
      <w:numFmt w:val="lowerLetter"/>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9" w15:restartNumberingAfterBreak="0">
    <w:nsid w:val="3B25412F"/>
    <w:multiLevelType w:val="multilevel"/>
    <w:tmpl w:val="D5885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3B2B2ACA"/>
    <w:multiLevelType w:val="multilevel"/>
    <w:tmpl w:val="97C04D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3B5329C8"/>
    <w:multiLevelType w:val="multilevel"/>
    <w:tmpl w:val="E4008CFE"/>
    <w:lvl w:ilvl="0">
      <w:start w:val="1"/>
      <w:numFmt w:val="decimal"/>
      <w:lvlText w:val="%1."/>
      <w:lvlJc w:val="left"/>
      <w:pPr>
        <w:ind w:left="720" w:hanging="360"/>
      </w:pPr>
      <w:rPr>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2" w15:restartNumberingAfterBreak="0">
    <w:nsid w:val="3B7E07E5"/>
    <w:multiLevelType w:val="hybridMultilevel"/>
    <w:tmpl w:val="C54EF58C"/>
    <w:lvl w:ilvl="0" w:tplc="041A000F">
      <w:start w:val="2"/>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3" w15:restartNumberingAfterBreak="0">
    <w:nsid w:val="3BC00368"/>
    <w:multiLevelType w:val="multilevel"/>
    <w:tmpl w:val="84BC8144"/>
    <w:lvl w:ilvl="0">
      <w:start w:val="1"/>
      <w:numFmt w:val="bullet"/>
      <w:lvlText w:val="•"/>
      <w:lvlJc w:val="left"/>
      <w:pPr>
        <w:tabs>
          <w:tab w:val="num" w:pos="720"/>
        </w:tabs>
        <w:ind w:left="720" w:hanging="360"/>
      </w:pPr>
      <w:rPr>
        <w:rFonts w:ascii="Arial" w:hAnsi="Arial" w:hint="default"/>
      </w:rPr>
    </w:lvl>
    <w:lvl w:ilvl="1">
      <w:start w:val="1"/>
      <w:numFmt w:val="bullet"/>
      <w:lvlText w:val="•"/>
      <w:lvlJc w:val="left"/>
      <w:pPr>
        <w:tabs>
          <w:tab w:val="num" w:pos="1440"/>
        </w:tabs>
        <w:ind w:left="1440" w:hanging="360"/>
      </w:pPr>
      <w:rPr>
        <w:rFonts w:ascii="Arial" w:hAnsi="Arial" w:hint="default"/>
      </w:rPr>
    </w:lvl>
    <w:lvl w:ilvl="2">
      <w:start w:val="1"/>
      <w:numFmt w:val="bullet"/>
      <w:lvlText w:val="•"/>
      <w:lvlJc w:val="left"/>
      <w:pPr>
        <w:tabs>
          <w:tab w:val="num" w:pos="2160"/>
        </w:tabs>
        <w:ind w:left="2160" w:hanging="360"/>
      </w:pPr>
      <w:rPr>
        <w:rFonts w:ascii="Arial" w:hAnsi="Arial" w:hint="default"/>
      </w:rPr>
    </w:lvl>
    <w:lvl w:ilvl="3">
      <w:start w:val="1"/>
      <w:numFmt w:val="bullet"/>
      <w:lvlText w:val="•"/>
      <w:lvlJc w:val="left"/>
      <w:pPr>
        <w:tabs>
          <w:tab w:val="num" w:pos="2880"/>
        </w:tabs>
        <w:ind w:left="2880" w:hanging="360"/>
      </w:pPr>
      <w:rPr>
        <w:rFonts w:ascii="Arial" w:hAnsi="Arial" w:hint="default"/>
      </w:rPr>
    </w:lvl>
    <w:lvl w:ilvl="4">
      <w:start w:val="1"/>
      <w:numFmt w:val="bullet"/>
      <w:lvlText w:val="•"/>
      <w:lvlJc w:val="left"/>
      <w:pPr>
        <w:tabs>
          <w:tab w:val="num" w:pos="3600"/>
        </w:tabs>
        <w:ind w:left="3600" w:hanging="360"/>
      </w:pPr>
      <w:rPr>
        <w:rFonts w:ascii="Arial" w:hAnsi="Arial" w:hint="default"/>
      </w:rPr>
    </w:lvl>
    <w:lvl w:ilvl="5">
      <w:start w:val="1"/>
      <w:numFmt w:val="bullet"/>
      <w:lvlText w:val="•"/>
      <w:lvlJc w:val="left"/>
      <w:pPr>
        <w:tabs>
          <w:tab w:val="num" w:pos="4320"/>
        </w:tabs>
        <w:ind w:left="4320" w:hanging="360"/>
      </w:pPr>
      <w:rPr>
        <w:rFonts w:ascii="Arial" w:hAnsi="Arial" w:hint="default"/>
      </w:rPr>
    </w:lvl>
    <w:lvl w:ilvl="6">
      <w:start w:val="1"/>
      <w:numFmt w:val="bullet"/>
      <w:lvlText w:val="•"/>
      <w:lvlJc w:val="left"/>
      <w:pPr>
        <w:tabs>
          <w:tab w:val="num" w:pos="5040"/>
        </w:tabs>
        <w:ind w:left="5040" w:hanging="360"/>
      </w:pPr>
      <w:rPr>
        <w:rFonts w:ascii="Arial" w:hAnsi="Arial" w:hint="default"/>
      </w:rPr>
    </w:lvl>
    <w:lvl w:ilvl="7">
      <w:start w:val="1"/>
      <w:numFmt w:val="bullet"/>
      <w:lvlText w:val="•"/>
      <w:lvlJc w:val="left"/>
      <w:pPr>
        <w:tabs>
          <w:tab w:val="num" w:pos="5760"/>
        </w:tabs>
        <w:ind w:left="5760" w:hanging="360"/>
      </w:pPr>
      <w:rPr>
        <w:rFonts w:ascii="Arial" w:hAnsi="Arial" w:hint="default"/>
      </w:rPr>
    </w:lvl>
    <w:lvl w:ilvl="8">
      <w:start w:val="1"/>
      <w:numFmt w:val="bullet"/>
      <w:lvlText w:val="•"/>
      <w:lvlJc w:val="left"/>
      <w:pPr>
        <w:tabs>
          <w:tab w:val="num" w:pos="6480"/>
        </w:tabs>
        <w:ind w:left="6480" w:hanging="360"/>
      </w:pPr>
      <w:rPr>
        <w:rFonts w:ascii="Arial" w:hAnsi="Arial" w:hint="default"/>
      </w:rPr>
    </w:lvl>
  </w:abstractNum>
  <w:abstractNum w:abstractNumId="194" w15:restartNumberingAfterBreak="0">
    <w:nsid w:val="3BC41DFA"/>
    <w:multiLevelType w:val="multilevel"/>
    <w:tmpl w:val="B0AC6DD8"/>
    <w:lvl w:ilvl="0">
      <w:start w:val="1"/>
      <w:numFmt w:val="decimal"/>
      <w:lvlText w:val="%1."/>
      <w:lvlJc w:val="left"/>
      <w:pPr>
        <w:ind w:left="720" w:hanging="360"/>
      </w:pPr>
      <w:rPr>
        <w:rFonts w:hint="default"/>
        <w:b/>
        <w:bCs/>
        <w:color w:val="00AC4E" w:themeColor="accent1"/>
        <w:position w:val="-2"/>
        <w:sz w:val="28"/>
        <w:szCs w:val="28"/>
        <w:lang w:val="en-GB"/>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95" w15:restartNumberingAfterBreak="0">
    <w:nsid w:val="3BEC16EA"/>
    <w:multiLevelType w:val="multilevel"/>
    <w:tmpl w:val="7D26A1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3C7F1BB6"/>
    <w:multiLevelType w:val="multilevel"/>
    <w:tmpl w:val="AAB441AE"/>
    <w:lvl w:ilvl="0">
      <w:start w:val="1"/>
      <w:numFmt w:val="bullet"/>
      <w:lvlText w:val="·"/>
      <w:lvlJc w:val="left"/>
      <w:pPr>
        <w:ind w:left="709" w:hanging="360"/>
      </w:pPr>
      <w:rPr>
        <w:rFonts w:ascii="Symbol" w:eastAsia="Symbol" w:hAnsi="Symbol" w:cs="Symbol" w:hint="default"/>
        <w:color w:val="5F6368"/>
        <w:spacing w:val="3"/>
        <w:sz w:val="21"/>
      </w:rPr>
    </w:lvl>
    <w:lvl w:ilvl="1">
      <w:start w:val="1"/>
      <w:numFmt w:val="bullet"/>
      <w:lvlText w:val="·"/>
      <w:lvlJc w:val="left"/>
      <w:pPr>
        <w:ind w:left="1429" w:hanging="360"/>
      </w:pPr>
      <w:rPr>
        <w:rFonts w:ascii="Symbol" w:eastAsia="Symbol" w:hAnsi="Symbol" w:cs="Symbol" w:hint="default"/>
        <w:color w:val="5F6368"/>
        <w:spacing w:val="3"/>
        <w:sz w:val="21"/>
      </w:rPr>
    </w:lvl>
    <w:lvl w:ilvl="2">
      <w:start w:val="1"/>
      <w:numFmt w:val="bullet"/>
      <w:lvlText w:val="·"/>
      <w:lvlJc w:val="left"/>
      <w:pPr>
        <w:ind w:left="2149" w:hanging="360"/>
      </w:pPr>
      <w:rPr>
        <w:rFonts w:ascii="Symbol" w:eastAsia="Symbol" w:hAnsi="Symbol" w:cs="Symbol" w:hint="default"/>
        <w:color w:val="5F6368"/>
        <w:spacing w:val="3"/>
        <w:sz w:val="21"/>
      </w:rPr>
    </w:lvl>
    <w:lvl w:ilvl="3">
      <w:start w:val="1"/>
      <w:numFmt w:val="bullet"/>
      <w:lvlText w:val="·"/>
      <w:lvlJc w:val="left"/>
      <w:pPr>
        <w:ind w:left="2869" w:hanging="360"/>
      </w:pPr>
      <w:rPr>
        <w:rFonts w:ascii="Symbol" w:eastAsia="Symbol" w:hAnsi="Symbol" w:cs="Symbol" w:hint="default"/>
        <w:color w:val="5F6368"/>
        <w:spacing w:val="3"/>
        <w:sz w:val="21"/>
      </w:rPr>
    </w:lvl>
    <w:lvl w:ilvl="4">
      <w:start w:val="1"/>
      <w:numFmt w:val="bullet"/>
      <w:lvlText w:val="·"/>
      <w:lvlJc w:val="left"/>
      <w:pPr>
        <w:ind w:left="3589" w:hanging="360"/>
      </w:pPr>
      <w:rPr>
        <w:rFonts w:ascii="Symbol" w:eastAsia="Symbol" w:hAnsi="Symbol" w:cs="Symbol" w:hint="default"/>
        <w:color w:val="5F6368"/>
        <w:spacing w:val="3"/>
        <w:sz w:val="21"/>
      </w:rPr>
    </w:lvl>
    <w:lvl w:ilvl="5">
      <w:start w:val="1"/>
      <w:numFmt w:val="bullet"/>
      <w:lvlText w:val="·"/>
      <w:lvlJc w:val="left"/>
      <w:pPr>
        <w:ind w:left="4309" w:hanging="360"/>
      </w:pPr>
      <w:rPr>
        <w:rFonts w:ascii="Symbol" w:eastAsia="Symbol" w:hAnsi="Symbol" w:cs="Symbol" w:hint="default"/>
        <w:color w:val="5F6368"/>
        <w:spacing w:val="3"/>
        <w:sz w:val="21"/>
      </w:rPr>
    </w:lvl>
    <w:lvl w:ilvl="6">
      <w:start w:val="1"/>
      <w:numFmt w:val="bullet"/>
      <w:lvlText w:val="·"/>
      <w:lvlJc w:val="left"/>
      <w:pPr>
        <w:ind w:left="5029" w:hanging="360"/>
      </w:pPr>
      <w:rPr>
        <w:rFonts w:ascii="Symbol" w:eastAsia="Symbol" w:hAnsi="Symbol" w:cs="Symbol" w:hint="default"/>
        <w:color w:val="5F6368"/>
        <w:spacing w:val="3"/>
        <w:sz w:val="21"/>
      </w:rPr>
    </w:lvl>
    <w:lvl w:ilvl="7">
      <w:start w:val="1"/>
      <w:numFmt w:val="bullet"/>
      <w:lvlText w:val="·"/>
      <w:lvlJc w:val="left"/>
      <w:pPr>
        <w:ind w:left="5749" w:hanging="360"/>
      </w:pPr>
      <w:rPr>
        <w:rFonts w:ascii="Symbol" w:eastAsia="Symbol" w:hAnsi="Symbol" w:cs="Symbol" w:hint="default"/>
        <w:color w:val="5F6368"/>
        <w:spacing w:val="3"/>
        <w:sz w:val="21"/>
      </w:rPr>
    </w:lvl>
    <w:lvl w:ilvl="8">
      <w:start w:val="1"/>
      <w:numFmt w:val="bullet"/>
      <w:lvlText w:val="·"/>
      <w:lvlJc w:val="left"/>
      <w:pPr>
        <w:ind w:left="6469" w:hanging="360"/>
      </w:pPr>
      <w:rPr>
        <w:rFonts w:ascii="Symbol" w:eastAsia="Symbol" w:hAnsi="Symbol" w:cs="Symbol" w:hint="default"/>
        <w:color w:val="5F6368"/>
        <w:spacing w:val="3"/>
        <w:sz w:val="21"/>
      </w:rPr>
    </w:lvl>
  </w:abstractNum>
  <w:abstractNum w:abstractNumId="197" w15:restartNumberingAfterBreak="0">
    <w:nsid w:val="3CD62914"/>
    <w:multiLevelType w:val="multilevel"/>
    <w:tmpl w:val="511613E8"/>
    <w:lvl w:ilvl="0">
      <w:start w:val="1"/>
      <w:numFmt w:val="bullet"/>
      <w:lvlText w:val="·"/>
      <w:lvlJc w:val="left"/>
      <w:pPr>
        <w:ind w:left="709" w:hanging="360"/>
      </w:pPr>
      <w:rPr>
        <w:rFonts w:ascii="Symbol" w:eastAsia="Symbol" w:hAnsi="Symbol" w:cs="Symbol" w:hint="default"/>
        <w:color w:val="5F6368"/>
        <w:spacing w:val="3"/>
        <w:sz w:val="21"/>
      </w:rPr>
    </w:lvl>
    <w:lvl w:ilvl="1">
      <w:start w:val="1"/>
      <w:numFmt w:val="bullet"/>
      <w:lvlText w:val="·"/>
      <w:lvlJc w:val="left"/>
      <w:pPr>
        <w:ind w:left="1429" w:hanging="360"/>
      </w:pPr>
      <w:rPr>
        <w:rFonts w:ascii="Symbol" w:eastAsia="Symbol" w:hAnsi="Symbol" w:cs="Symbol" w:hint="default"/>
        <w:color w:val="5F6368"/>
        <w:spacing w:val="3"/>
        <w:sz w:val="21"/>
      </w:rPr>
    </w:lvl>
    <w:lvl w:ilvl="2">
      <w:start w:val="1"/>
      <w:numFmt w:val="bullet"/>
      <w:lvlText w:val="·"/>
      <w:lvlJc w:val="left"/>
      <w:pPr>
        <w:ind w:left="2149" w:hanging="360"/>
      </w:pPr>
      <w:rPr>
        <w:rFonts w:ascii="Symbol" w:eastAsia="Symbol" w:hAnsi="Symbol" w:cs="Symbol" w:hint="default"/>
        <w:color w:val="5F6368"/>
        <w:spacing w:val="3"/>
        <w:sz w:val="21"/>
      </w:rPr>
    </w:lvl>
    <w:lvl w:ilvl="3">
      <w:start w:val="1"/>
      <w:numFmt w:val="bullet"/>
      <w:lvlText w:val="·"/>
      <w:lvlJc w:val="left"/>
      <w:pPr>
        <w:ind w:left="2869" w:hanging="360"/>
      </w:pPr>
      <w:rPr>
        <w:rFonts w:ascii="Symbol" w:eastAsia="Symbol" w:hAnsi="Symbol" w:cs="Symbol" w:hint="default"/>
        <w:color w:val="5F6368"/>
        <w:spacing w:val="3"/>
        <w:sz w:val="21"/>
      </w:rPr>
    </w:lvl>
    <w:lvl w:ilvl="4">
      <w:start w:val="1"/>
      <w:numFmt w:val="bullet"/>
      <w:lvlText w:val="·"/>
      <w:lvlJc w:val="left"/>
      <w:pPr>
        <w:ind w:left="3589" w:hanging="360"/>
      </w:pPr>
      <w:rPr>
        <w:rFonts w:ascii="Symbol" w:eastAsia="Symbol" w:hAnsi="Symbol" w:cs="Symbol" w:hint="default"/>
        <w:color w:val="5F6368"/>
        <w:spacing w:val="3"/>
        <w:sz w:val="21"/>
      </w:rPr>
    </w:lvl>
    <w:lvl w:ilvl="5">
      <w:start w:val="1"/>
      <w:numFmt w:val="bullet"/>
      <w:lvlText w:val="·"/>
      <w:lvlJc w:val="left"/>
      <w:pPr>
        <w:ind w:left="4309" w:hanging="360"/>
      </w:pPr>
      <w:rPr>
        <w:rFonts w:ascii="Symbol" w:eastAsia="Symbol" w:hAnsi="Symbol" w:cs="Symbol" w:hint="default"/>
        <w:color w:val="5F6368"/>
        <w:spacing w:val="3"/>
        <w:sz w:val="21"/>
      </w:rPr>
    </w:lvl>
    <w:lvl w:ilvl="6">
      <w:start w:val="1"/>
      <w:numFmt w:val="bullet"/>
      <w:lvlText w:val="·"/>
      <w:lvlJc w:val="left"/>
      <w:pPr>
        <w:ind w:left="5029" w:hanging="360"/>
      </w:pPr>
      <w:rPr>
        <w:rFonts w:ascii="Symbol" w:eastAsia="Symbol" w:hAnsi="Symbol" w:cs="Symbol" w:hint="default"/>
        <w:color w:val="5F6368"/>
        <w:spacing w:val="3"/>
        <w:sz w:val="21"/>
      </w:rPr>
    </w:lvl>
    <w:lvl w:ilvl="7">
      <w:start w:val="1"/>
      <w:numFmt w:val="bullet"/>
      <w:lvlText w:val="·"/>
      <w:lvlJc w:val="left"/>
      <w:pPr>
        <w:ind w:left="5749" w:hanging="360"/>
      </w:pPr>
      <w:rPr>
        <w:rFonts w:ascii="Symbol" w:eastAsia="Symbol" w:hAnsi="Symbol" w:cs="Symbol" w:hint="default"/>
        <w:color w:val="5F6368"/>
        <w:spacing w:val="3"/>
        <w:sz w:val="21"/>
      </w:rPr>
    </w:lvl>
    <w:lvl w:ilvl="8">
      <w:start w:val="1"/>
      <w:numFmt w:val="bullet"/>
      <w:lvlText w:val="·"/>
      <w:lvlJc w:val="left"/>
      <w:pPr>
        <w:ind w:left="6469" w:hanging="360"/>
      </w:pPr>
      <w:rPr>
        <w:rFonts w:ascii="Symbol" w:eastAsia="Symbol" w:hAnsi="Symbol" w:cs="Symbol" w:hint="default"/>
        <w:color w:val="5F6368"/>
        <w:spacing w:val="3"/>
        <w:sz w:val="21"/>
      </w:rPr>
    </w:lvl>
  </w:abstractNum>
  <w:abstractNum w:abstractNumId="198" w15:restartNumberingAfterBreak="0">
    <w:nsid w:val="3CDD3BDA"/>
    <w:multiLevelType w:val="multilevel"/>
    <w:tmpl w:val="B71098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3D687E38"/>
    <w:multiLevelType w:val="hybridMultilevel"/>
    <w:tmpl w:val="0FE4FC44"/>
    <w:lvl w:ilvl="0" w:tplc="F72AA0D0">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00" w15:restartNumberingAfterBreak="0">
    <w:nsid w:val="3D871661"/>
    <w:multiLevelType w:val="multilevel"/>
    <w:tmpl w:val="6A74786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1" w15:restartNumberingAfterBreak="0">
    <w:nsid w:val="3DB0532F"/>
    <w:multiLevelType w:val="multilevel"/>
    <w:tmpl w:val="E4CE3C32"/>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02" w15:restartNumberingAfterBreak="0">
    <w:nsid w:val="3DFE6F27"/>
    <w:multiLevelType w:val="hybridMultilevel"/>
    <w:tmpl w:val="157A4742"/>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03" w15:restartNumberingAfterBreak="0">
    <w:nsid w:val="3E190242"/>
    <w:multiLevelType w:val="multilevel"/>
    <w:tmpl w:val="B20C1630"/>
    <w:lvl w:ilvl="0">
      <w:start w:val="1"/>
      <w:numFmt w:val="decimal"/>
      <w:pStyle w:val="Heading1"/>
      <w:lvlText w:val="%1."/>
      <w:lvlJc w:val="left"/>
      <w:pPr>
        <w:ind w:left="720" w:hanging="360"/>
      </w:pPr>
      <w:rPr>
        <w:rFonts w:asciiTheme="majorHAnsi" w:hAnsiTheme="majorHAnsi" w:hint="default"/>
        <w:b w:val="0"/>
        <w:bCs w:val="0"/>
        <w:color w:val="00AC4E" w:themeColor="accent1"/>
        <w:position w:val="-2"/>
        <w:sz w:val="56"/>
        <w:szCs w:val="96"/>
      </w:rPr>
    </w:lvl>
    <w:lvl w:ilvl="1">
      <w:start w:val="1"/>
      <w:numFmt w:val="decimal"/>
      <w:pStyle w:val="Heading2"/>
      <w:isLgl/>
      <w:lvlText w:val="%1.%2"/>
      <w:lvlJc w:val="left"/>
      <w:pPr>
        <w:ind w:left="1080" w:hanging="720"/>
      </w:pPr>
      <w:rPr>
        <w:rFonts w:hint="default"/>
      </w:rPr>
    </w:lvl>
    <w:lvl w:ilvl="2">
      <w:start w:val="1"/>
      <w:numFmt w:val="decimal"/>
      <w:pStyle w:val="Heading3"/>
      <w:isLgl/>
      <w:lvlText w:val="%1.%2.%3"/>
      <w:lvlJc w:val="left"/>
      <w:pPr>
        <w:ind w:left="1080" w:hanging="720"/>
      </w:pPr>
      <w:rPr>
        <w:rFonts w:hint="default"/>
      </w:rPr>
    </w:lvl>
    <w:lvl w:ilvl="3">
      <w:start w:val="1"/>
      <w:numFmt w:val="decimal"/>
      <w:pStyle w:val="Heading4"/>
      <w:isLgl/>
      <w:lvlText w:val="%1.%2.%3.%4"/>
      <w:lvlJc w:val="left"/>
      <w:pPr>
        <w:ind w:left="1440" w:hanging="1080"/>
      </w:pPr>
      <w:rPr>
        <w:rFonts w:hint="default"/>
      </w:rPr>
    </w:lvl>
    <w:lvl w:ilvl="4">
      <w:start w:val="1"/>
      <w:numFmt w:val="decimal"/>
      <w:pStyle w:val="Heading5"/>
      <w:isLgl/>
      <w:lvlText w:val="%1.%2.%3.%4.%5"/>
      <w:lvlJc w:val="left"/>
      <w:pPr>
        <w:ind w:left="1440" w:hanging="1080"/>
      </w:pPr>
      <w:rPr>
        <w:rFonts w:hint="default"/>
      </w:rPr>
    </w:lvl>
    <w:lvl w:ilvl="5">
      <w:start w:val="1"/>
      <w:numFmt w:val="decimal"/>
      <w:pStyle w:val="Heading6"/>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04" w15:restartNumberingAfterBreak="0">
    <w:nsid w:val="3E4D4B0E"/>
    <w:multiLevelType w:val="multilevel"/>
    <w:tmpl w:val="329E45CC"/>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205" w15:restartNumberingAfterBreak="0">
    <w:nsid w:val="3E7A0240"/>
    <w:multiLevelType w:val="multilevel"/>
    <w:tmpl w:val="F1B2FA8C"/>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06" w15:restartNumberingAfterBreak="0">
    <w:nsid w:val="3EC72792"/>
    <w:multiLevelType w:val="multilevel"/>
    <w:tmpl w:val="7DA82642"/>
    <w:lvl w:ilvl="0">
      <w:start w:val="1"/>
      <w:numFmt w:val="bullet"/>
      <w:lvlText w:val=""/>
      <w:lvlJc w:val="left"/>
      <w:pPr>
        <w:ind w:left="720" w:hanging="360"/>
      </w:pPr>
      <w:rPr>
        <w:rFonts w:ascii="Symbol" w:hAnsi="Symbol" w:hint="default"/>
        <w:color w:val="007166" w:themeColor="accent2" w:themeShade="BF"/>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7" w15:restartNumberingAfterBreak="0">
    <w:nsid w:val="3F446391"/>
    <w:multiLevelType w:val="multilevel"/>
    <w:tmpl w:val="FB826C5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8" w15:restartNumberingAfterBreak="0">
    <w:nsid w:val="3FC2444A"/>
    <w:multiLevelType w:val="multilevel"/>
    <w:tmpl w:val="201C32C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9" w15:restartNumberingAfterBreak="0">
    <w:nsid w:val="40BC1E8B"/>
    <w:multiLevelType w:val="hybridMultilevel"/>
    <w:tmpl w:val="E66408D4"/>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0" w15:restartNumberingAfterBreak="0">
    <w:nsid w:val="40E018CA"/>
    <w:multiLevelType w:val="multilevel"/>
    <w:tmpl w:val="6E229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413830D3"/>
    <w:multiLevelType w:val="hybridMultilevel"/>
    <w:tmpl w:val="B7AA833A"/>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2" w15:restartNumberingAfterBreak="0">
    <w:nsid w:val="417907B0"/>
    <w:multiLevelType w:val="multilevel"/>
    <w:tmpl w:val="182CAD8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3" w15:restartNumberingAfterBreak="0">
    <w:nsid w:val="41867833"/>
    <w:multiLevelType w:val="multilevel"/>
    <w:tmpl w:val="0BE6DE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41B206F1"/>
    <w:multiLevelType w:val="multilevel"/>
    <w:tmpl w:val="DD7693B2"/>
    <w:lvl w:ilvl="0">
      <w:start w:val="1"/>
      <w:numFmt w:val="decimal"/>
      <w:lvlText w:val="%1."/>
      <w:lvlJc w:val="left"/>
      <w:pPr>
        <w:ind w:left="720" w:hanging="360"/>
      </w:pPr>
      <w:rPr>
        <w:rFonts w:asciiTheme="majorHAnsi" w:hAnsiTheme="majorHAnsi" w:hint="default"/>
        <w:b/>
        <w:bCs/>
        <w:color w:val="00AC4E" w:themeColor="accent1"/>
        <w:position w:val="-2"/>
        <w:sz w:val="28"/>
        <w:szCs w:val="28"/>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15" w15:restartNumberingAfterBreak="0">
    <w:nsid w:val="41B73D27"/>
    <w:multiLevelType w:val="multilevel"/>
    <w:tmpl w:val="6D387E6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6" w15:restartNumberingAfterBreak="0">
    <w:nsid w:val="41C56697"/>
    <w:multiLevelType w:val="multilevel"/>
    <w:tmpl w:val="A6A21D82"/>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7" w15:restartNumberingAfterBreak="0">
    <w:nsid w:val="41F9369E"/>
    <w:multiLevelType w:val="multilevel"/>
    <w:tmpl w:val="27AC34CA"/>
    <w:lvl w:ilvl="0">
      <w:start w:val="1"/>
      <w:numFmt w:val="lowerLetter"/>
      <w:lvlText w:val="%1."/>
      <w:lvlJc w:val="left"/>
      <w:pPr>
        <w:ind w:left="1446" w:hanging="360"/>
      </w:pPr>
    </w:lvl>
    <w:lvl w:ilvl="1">
      <w:start w:val="1"/>
      <w:numFmt w:val="lowerLetter"/>
      <w:lvlText w:val="%2."/>
      <w:lvlJc w:val="left"/>
      <w:pPr>
        <w:ind w:left="2166" w:hanging="360"/>
      </w:pPr>
    </w:lvl>
    <w:lvl w:ilvl="2">
      <w:start w:val="1"/>
      <w:numFmt w:val="lowerRoman"/>
      <w:lvlText w:val="%3."/>
      <w:lvlJc w:val="right"/>
      <w:pPr>
        <w:ind w:left="2886" w:hanging="180"/>
      </w:pPr>
    </w:lvl>
    <w:lvl w:ilvl="3">
      <w:start w:val="1"/>
      <w:numFmt w:val="decimal"/>
      <w:lvlText w:val="%4."/>
      <w:lvlJc w:val="left"/>
      <w:pPr>
        <w:ind w:left="3606" w:hanging="360"/>
      </w:pPr>
    </w:lvl>
    <w:lvl w:ilvl="4">
      <w:start w:val="1"/>
      <w:numFmt w:val="lowerLetter"/>
      <w:lvlText w:val="%5."/>
      <w:lvlJc w:val="left"/>
      <w:pPr>
        <w:ind w:left="4326" w:hanging="360"/>
      </w:pPr>
    </w:lvl>
    <w:lvl w:ilvl="5">
      <w:start w:val="1"/>
      <w:numFmt w:val="lowerRoman"/>
      <w:lvlText w:val="%6."/>
      <w:lvlJc w:val="right"/>
      <w:pPr>
        <w:ind w:left="5046" w:hanging="180"/>
      </w:pPr>
    </w:lvl>
    <w:lvl w:ilvl="6">
      <w:start w:val="1"/>
      <w:numFmt w:val="decimal"/>
      <w:lvlText w:val="%7."/>
      <w:lvlJc w:val="left"/>
      <w:pPr>
        <w:ind w:left="5766" w:hanging="360"/>
      </w:pPr>
    </w:lvl>
    <w:lvl w:ilvl="7">
      <w:start w:val="1"/>
      <w:numFmt w:val="lowerLetter"/>
      <w:lvlText w:val="%8."/>
      <w:lvlJc w:val="left"/>
      <w:pPr>
        <w:ind w:left="6486" w:hanging="360"/>
      </w:pPr>
    </w:lvl>
    <w:lvl w:ilvl="8">
      <w:start w:val="1"/>
      <w:numFmt w:val="lowerRoman"/>
      <w:lvlText w:val="%9."/>
      <w:lvlJc w:val="right"/>
      <w:pPr>
        <w:ind w:left="7206" w:hanging="180"/>
      </w:pPr>
    </w:lvl>
  </w:abstractNum>
  <w:abstractNum w:abstractNumId="218" w15:restartNumberingAfterBreak="0">
    <w:nsid w:val="421261E2"/>
    <w:multiLevelType w:val="hybridMultilevel"/>
    <w:tmpl w:val="671E7C74"/>
    <w:lvl w:ilvl="0" w:tplc="B86454F4">
      <w:start w:val="1"/>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9" w15:restartNumberingAfterBreak="0">
    <w:nsid w:val="42255A3C"/>
    <w:multiLevelType w:val="multilevel"/>
    <w:tmpl w:val="FE9C5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42796BBE"/>
    <w:multiLevelType w:val="multilevel"/>
    <w:tmpl w:val="6AE2E7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43DB72C9"/>
    <w:multiLevelType w:val="multilevel"/>
    <w:tmpl w:val="041A9248"/>
    <w:lvl w:ilvl="0">
      <w:start w:val="2"/>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2" w15:restartNumberingAfterBreak="0">
    <w:nsid w:val="44007AAC"/>
    <w:multiLevelType w:val="multilevel"/>
    <w:tmpl w:val="7A7A2F5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3" w15:restartNumberingAfterBreak="0">
    <w:nsid w:val="44180C57"/>
    <w:multiLevelType w:val="multilevel"/>
    <w:tmpl w:val="C07287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val="0"/>
        <w:bCs w:val="0"/>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4" w15:restartNumberingAfterBreak="0">
    <w:nsid w:val="44830D5C"/>
    <w:multiLevelType w:val="multilevel"/>
    <w:tmpl w:val="8112F89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5" w15:restartNumberingAfterBreak="0">
    <w:nsid w:val="449660DD"/>
    <w:multiLevelType w:val="multilevel"/>
    <w:tmpl w:val="479C9BF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6" w15:restartNumberingAfterBreak="0">
    <w:nsid w:val="44A95BFB"/>
    <w:multiLevelType w:val="multilevel"/>
    <w:tmpl w:val="2A986B0A"/>
    <w:lvl w:ilvl="0">
      <w:start w:val="1"/>
      <w:numFmt w:val="decimal"/>
      <w:lvlText w:val="%1."/>
      <w:lvlJc w:val="left"/>
      <w:pPr>
        <w:ind w:left="720" w:hanging="360"/>
      </w:pPr>
      <w:rPr>
        <w:rFonts w:hint="default"/>
        <w:b/>
        <w:bCs/>
        <w:color w:val="00AC4E" w:themeColor="accent1"/>
        <w:position w:val="-2"/>
        <w:sz w:val="28"/>
        <w:szCs w:val="28"/>
        <w:lang w:val="en-GB"/>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7" w15:restartNumberingAfterBreak="0">
    <w:nsid w:val="45A471CC"/>
    <w:multiLevelType w:val="multilevel"/>
    <w:tmpl w:val="F8965C9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8" w15:restartNumberingAfterBreak="0">
    <w:nsid w:val="45E943F6"/>
    <w:multiLevelType w:val="hybridMultilevel"/>
    <w:tmpl w:val="E56E2B42"/>
    <w:lvl w:ilvl="0" w:tplc="E86AD65A">
      <w:start w:val="1"/>
      <w:numFmt w:val="lowerLetter"/>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29" w15:restartNumberingAfterBreak="0">
    <w:nsid w:val="464212FF"/>
    <w:multiLevelType w:val="multilevel"/>
    <w:tmpl w:val="F4C4BA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46673310"/>
    <w:multiLevelType w:val="multilevel"/>
    <w:tmpl w:val="4AEEE718"/>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31" w15:restartNumberingAfterBreak="0">
    <w:nsid w:val="466F57C9"/>
    <w:multiLevelType w:val="multilevel"/>
    <w:tmpl w:val="244499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46BA1060"/>
    <w:multiLevelType w:val="multilevel"/>
    <w:tmpl w:val="D7AA392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3" w15:restartNumberingAfterBreak="0">
    <w:nsid w:val="46F56CB5"/>
    <w:multiLevelType w:val="multilevel"/>
    <w:tmpl w:val="4E9E8C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47293942"/>
    <w:multiLevelType w:val="multilevel"/>
    <w:tmpl w:val="8DFA27D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5" w15:restartNumberingAfterBreak="0">
    <w:nsid w:val="473E47A0"/>
    <w:multiLevelType w:val="multilevel"/>
    <w:tmpl w:val="0C36AE2A"/>
    <w:lvl w:ilvl="0">
      <w:start w:val="1"/>
      <w:numFmt w:val="bullet"/>
      <w:lvlText w:val="–"/>
      <w:lvlJc w:val="left"/>
      <w:pPr>
        <w:ind w:left="1429" w:hanging="360"/>
      </w:pPr>
      <w:rPr>
        <w:rFonts w:ascii="Arial" w:eastAsia="Arial" w:hAnsi="Arial" w:cs="Arial" w:hint="default"/>
      </w:rPr>
    </w:lvl>
    <w:lvl w:ilvl="1">
      <w:start w:val="1"/>
      <w:numFmt w:val="bullet"/>
      <w:lvlText w:val="o"/>
      <w:lvlJc w:val="left"/>
      <w:pPr>
        <w:ind w:left="2149" w:hanging="360"/>
      </w:pPr>
      <w:rPr>
        <w:rFonts w:ascii="Courier New" w:eastAsia="Courier New" w:hAnsi="Courier New" w:cs="Courier New" w:hint="default"/>
      </w:rPr>
    </w:lvl>
    <w:lvl w:ilvl="2">
      <w:start w:val="1"/>
      <w:numFmt w:val="bullet"/>
      <w:lvlText w:val="§"/>
      <w:lvlJc w:val="left"/>
      <w:pPr>
        <w:ind w:left="2869" w:hanging="360"/>
      </w:pPr>
      <w:rPr>
        <w:rFonts w:ascii="Wingdings" w:eastAsia="Wingdings" w:hAnsi="Wingdings" w:cs="Wingdings" w:hint="default"/>
      </w:rPr>
    </w:lvl>
    <w:lvl w:ilvl="3">
      <w:start w:val="1"/>
      <w:numFmt w:val="bullet"/>
      <w:lvlText w:val="·"/>
      <w:lvlJc w:val="left"/>
      <w:pPr>
        <w:ind w:left="3589" w:hanging="360"/>
      </w:pPr>
      <w:rPr>
        <w:rFonts w:ascii="Symbol" w:eastAsia="Symbol" w:hAnsi="Symbol" w:cs="Symbol" w:hint="default"/>
      </w:rPr>
    </w:lvl>
    <w:lvl w:ilvl="4">
      <w:start w:val="1"/>
      <w:numFmt w:val="bullet"/>
      <w:lvlText w:val="o"/>
      <w:lvlJc w:val="left"/>
      <w:pPr>
        <w:ind w:left="4309" w:hanging="360"/>
      </w:pPr>
      <w:rPr>
        <w:rFonts w:ascii="Courier New" w:eastAsia="Courier New" w:hAnsi="Courier New" w:cs="Courier New" w:hint="default"/>
      </w:rPr>
    </w:lvl>
    <w:lvl w:ilvl="5">
      <w:start w:val="1"/>
      <w:numFmt w:val="bullet"/>
      <w:lvlText w:val="§"/>
      <w:lvlJc w:val="left"/>
      <w:pPr>
        <w:ind w:left="5029" w:hanging="360"/>
      </w:pPr>
      <w:rPr>
        <w:rFonts w:ascii="Wingdings" w:eastAsia="Wingdings" w:hAnsi="Wingdings" w:cs="Wingdings" w:hint="default"/>
      </w:rPr>
    </w:lvl>
    <w:lvl w:ilvl="6">
      <w:start w:val="1"/>
      <w:numFmt w:val="bullet"/>
      <w:lvlText w:val="·"/>
      <w:lvlJc w:val="left"/>
      <w:pPr>
        <w:ind w:left="5749" w:hanging="360"/>
      </w:pPr>
      <w:rPr>
        <w:rFonts w:ascii="Symbol" w:eastAsia="Symbol" w:hAnsi="Symbol" w:cs="Symbol" w:hint="default"/>
      </w:rPr>
    </w:lvl>
    <w:lvl w:ilvl="7">
      <w:start w:val="1"/>
      <w:numFmt w:val="bullet"/>
      <w:lvlText w:val="o"/>
      <w:lvlJc w:val="left"/>
      <w:pPr>
        <w:ind w:left="6469" w:hanging="360"/>
      </w:pPr>
      <w:rPr>
        <w:rFonts w:ascii="Courier New" w:eastAsia="Courier New" w:hAnsi="Courier New" w:cs="Courier New" w:hint="default"/>
      </w:rPr>
    </w:lvl>
    <w:lvl w:ilvl="8">
      <w:start w:val="1"/>
      <w:numFmt w:val="bullet"/>
      <w:lvlText w:val="§"/>
      <w:lvlJc w:val="left"/>
      <w:pPr>
        <w:ind w:left="7189" w:hanging="360"/>
      </w:pPr>
      <w:rPr>
        <w:rFonts w:ascii="Wingdings" w:eastAsia="Wingdings" w:hAnsi="Wingdings" w:cs="Wingdings" w:hint="default"/>
      </w:rPr>
    </w:lvl>
  </w:abstractNum>
  <w:abstractNum w:abstractNumId="236" w15:restartNumberingAfterBreak="0">
    <w:nsid w:val="477F22C8"/>
    <w:multiLevelType w:val="multilevel"/>
    <w:tmpl w:val="049C31EA"/>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37" w15:restartNumberingAfterBreak="0">
    <w:nsid w:val="47B65CBE"/>
    <w:multiLevelType w:val="multilevel"/>
    <w:tmpl w:val="3CA048F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8" w15:restartNumberingAfterBreak="0">
    <w:nsid w:val="47DB6DD4"/>
    <w:multiLevelType w:val="multilevel"/>
    <w:tmpl w:val="7220CC4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9" w15:restartNumberingAfterBreak="0">
    <w:nsid w:val="47DD2487"/>
    <w:multiLevelType w:val="multilevel"/>
    <w:tmpl w:val="F5429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485D5486"/>
    <w:multiLevelType w:val="multilevel"/>
    <w:tmpl w:val="B3460AFC"/>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41" w15:restartNumberingAfterBreak="0">
    <w:nsid w:val="48B20AA4"/>
    <w:multiLevelType w:val="multilevel"/>
    <w:tmpl w:val="3542896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2" w15:restartNumberingAfterBreak="0">
    <w:nsid w:val="48E65D9B"/>
    <w:multiLevelType w:val="multilevel"/>
    <w:tmpl w:val="AF4C8C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49086EDB"/>
    <w:multiLevelType w:val="multilevel"/>
    <w:tmpl w:val="3EA46872"/>
    <w:lvl w:ilvl="0">
      <w:start w:val="1"/>
      <w:numFmt w:val="bullet"/>
      <w:lvlText w:val="·"/>
      <w:lvlJc w:val="left"/>
      <w:pPr>
        <w:ind w:left="709" w:hanging="360"/>
      </w:pPr>
      <w:rPr>
        <w:rFonts w:ascii="Symbol" w:eastAsia="Symbol" w:hAnsi="Symbol" w:cs="Symbol" w:hint="default"/>
      </w:rPr>
    </w:lvl>
    <w:lvl w:ilvl="1">
      <w:start w:val="1"/>
      <w:numFmt w:val="bullet"/>
      <w:lvlText w:val="o"/>
      <w:lvlJc w:val="left"/>
      <w:pPr>
        <w:ind w:left="1429" w:hanging="360"/>
      </w:pPr>
      <w:rPr>
        <w:rFonts w:ascii="Courier New" w:eastAsia="Courier New" w:hAnsi="Courier New" w:cs="Courier New" w:hint="default"/>
      </w:rPr>
    </w:lvl>
    <w:lvl w:ilvl="2">
      <w:start w:val="1"/>
      <w:numFmt w:val="bullet"/>
      <w:lvlText w:val="§"/>
      <w:lvlJc w:val="left"/>
      <w:pPr>
        <w:ind w:left="2149" w:hanging="360"/>
      </w:pPr>
      <w:rPr>
        <w:rFonts w:ascii="Wingdings" w:eastAsia="Wingdings" w:hAnsi="Wingdings" w:cs="Wingdings" w:hint="default"/>
      </w:rPr>
    </w:lvl>
    <w:lvl w:ilvl="3">
      <w:start w:val="1"/>
      <w:numFmt w:val="bullet"/>
      <w:lvlText w:val="·"/>
      <w:lvlJc w:val="left"/>
      <w:pPr>
        <w:ind w:left="2869" w:hanging="360"/>
      </w:pPr>
      <w:rPr>
        <w:rFonts w:ascii="Symbol" w:eastAsia="Symbol" w:hAnsi="Symbol" w:cs="Symbol" w:hint="default"/>
      </w:rPr>
    </w:lvl>
    <w:lvl w:ilvl="4">
      <w:start w:val="1"/>
      <w:numFmt w:val="bullet"/>
      <w:lvlText w:val="o"/>
      <w:lvlJc w:val="left"/>
      <w:pPr>
        <w:ind w:left="3589" w:hanging="360"/>
      </w:pPr>
      <w:rPr>
        <w:rFonts w:ascii="Courier New" w:eastAsia="Courier New" w:hAnsi="Courier New" w:cs="Courier New" w:hint="default"/>
      </w:rPr>
    </w:lvl>
    <w:lvl w:ilvl="5">
      <w:start w:val="1"/>
      <w:numFmt w:val="bullet"/>
      <w:lvlText w:val="§"/>
      <w:lvlJc w:val="left"/>
      <w:pPr>
        <w:ind w:left="4309" w:hanging="360"/>
      </w:pPr>
      <w:rPr>
        <w:rFonts w:ascii="Wingdings" w:eastAsia="Wingdings" w:hAnsi="Wingdings" w:cs="Wingdings" w:hint="default"/>
      </w:rPr>
    </w:lvl>
    <w:lvl w:ilvl="6">
      <w:start w:val="1"/>
      <w:numFmt w:val="bullet"/>
      <w:lvlText w:val="·"/>
      <w:lvlJc w:val="left"/>
      <w:pPr>
        <w:ind w:left="5029" w:hanging="360"/>
      </w:pPr>
      <w:rPr>
        <w:rFonts w:ascii="Symbol" w:eastAsia="Symbol" w:hAnsi="Symbol" w:cs="Symbol" w:hint="default"/>
      </w:rPr>
    </w:lvl>
    <w:lvl w:ilvl="7">
      <w:start w:val="1"/>
      <w:numFmt w:val="bullet"/>
      <w:lvlText w:val="o"/>
      <w:lvlJc w:val="left"/>
      <w:pPr>
        <w:ind w:left="5749" w:hanging="360"/>
      </w:pPr>
      <w:rPr>
        <w:rFonts w:ascii="Courier New" w:eastAsia="Courier New" w:hAnsi="Courier New" w:cs="Courier New" w:hint="default"/>
      </w:rPr>
    </w:lvl>
    <w:lvl w:ilvl="8">
      <w:start w:val="1"/>
      <w:numFmt w:val="bullet"/>
      <w:lvlText w:val="§"/>
      <w:lvlJc w:val="left"/>
      <w:pPr>
        <w:ind w:left="6469" w:hanging="360"/>
      </w:pPr>
      <w:rPr>
        <w:rFonts w:ascii="Wingdings" w:eastAsia="Wingdings" w:hAnsi="Wingdings" w:cs="Wingdings" w:hint="default"/>
      </w:rPr>
    </w:lvl>
  </w:abstractNum>
  <w:abstractNum w:abstractNumId="244" w15:restartNumberingAfterBreak="0">
    <w:nsid w:val="49323A14"/>
    <w:multiLevelType w:val="multilevel"/>
    <w:tmpl w:val="8062AE1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5" w15:restartNumberingAfterBreak="0">
    <w:nsid w:val="493541E2"/>
    <w:multiLevelType w:val="hybridMultilevel"/>
    <w:tmpl w:val="D4A20AE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6" w15:restartNumberingAfterBreak="0">
    <w:nsid w:val="495B796F"/>
    <w:multiLevelType w:val="multilevel"/>
    <w:tmpl w:val="D6DC42A2"/>
    <w:lvl w:ilvl="0">
      <w:start w:val="1"/>
      <w:numFmt w:val="lowerLetter"/>
      <w:lvlText w:val="%1."/>
      <w:lvlJc w:val="left"/>
      <w:pPr>
        <w:ind w:left="1446" w:hanging="360"/>
      </w:pPr>
    </w:lvl>
    <w:lvl w:ilvl="1">
      <w:start w:val="1"/>
      <w:numFmt w:val="lowerLetter"/>
      <w:lvlText w:val="%2."/>
      <w:lvlJc w:val="left"/>
      <w:pPr>
        <w:ind w:left="2166" w:hanging="360"/>
      </w:pPr>
    </w:lvl>
    <w:lvl w:ilvl="2">
      <w:start w:val="1"/>
      <w:numFmt w:val="lowerRoman"/>
      <w:lvlText w:val="%3."/>
      <w:lvlJc w:val="right"/>
      <w:pPr>
        <w:ind w:left="2886" w:hanging="180"/>
      </w:pPr>
    </w:lvl>
    <w:lvl w:ilvl="3">
      <w:start w:val="1"/>
      <w:numFmt w:val="decimal"/>
      <w:lvlText w:val="%4."/>
      <w:lvlJc w:val="left"/>
      <w:pPr>
        <w:ind w:left="3606" w:hanging="360"/>
      </w:pPr>
    </w:lvl>
    <w:lvl w:ilvl="4">
      <w:start w:val="1"/>
      <w:numFmt w:val="lowerLetter"/>
      <w:lvlText w:val="%5."/>
      <w:lvlJc w:val="left"/>
      <w:pPr>
        <w:ind w:left="4326" w:hanging="360"/>
      </w:pPr>
    </w:lvl>
    <w:lvl w:ilvl="5">
      <w:start w:val="1"/>
      <w:numFmt w:val="lowerRoman"/>
      <w:lvlText w:val="%6."/>
      <w:lvlJc w:val="right"/>
      <w:pPr>
        <w:ind w:left="5046" w:hanging="180"/>
      </w:pPr>
    </w:lvl>
    <w:lvl w:ilvl="6">
      <w:start w:val="1"/>
      <w:numFmt w:val="decimal"/>
      <w:lvlText w:val="%7."/>
      <w:lvlJc w:val="left"/>
      <w:pPr>
        <w:ind w:left="5766" w:hanging="360"/>
      </w:pPr>
    </w:lvl>
    <w:lvl w:ilvl="7">
      <w:start w:val="1"/>
      <w:numFmt w:val="lowerLetter"/>
      <w:lvlText w:val="%8."/>
      <w:lvlJc w:val="left"/>
      <w:pPr>
        <w:ind w:left="6486" w:hanging="360"/>
      </w:pPr>
    </w:lvl>
    <w:lvl w:ilvl="8">
      <w:start w:val="1"/>
      <w:numFmt w:val="lowerRoman"/>
      <w:lvlText w:val="%9."/>
      <w:lvlJc w:val="right"/>
      <w:pPr>
        <w:ind w:left="7206" w:hanging="180"/>
      </w:pPr>
    </w:lvl>
  </w:abstractNum>
  <w:abstractNum w:abstractNumId="247" w15:restartNumberingAfterBreak="0">
    <w:nsid w:val="49731713"/>
    <w:multiLevelType w:val="multilevel"/>
    <w:tmpl w:val="DD1882DE"/>
    <w:lvl w:ilvl="0">
      <w:start w:val="1"/>
      <w:numFmt w:val="bullet"/>
      <w:lvlText w:val=""/>
      <w:lvlJc w:val="left"/>
      <w:pPr>
        <w:ind w:left="720" w:hanging="360"/>
      </w:pPr>
      <w:rPr>
        <w:rFonts w:ascii="Symbol" w:hAnsi="Symbol" w:hint="default"/>
        <w:color w:val="00AC4E" w:themeColor="accent1"/>
        <w:sz w:val="32"/>
        <w:szCs w:val="32"/>
      </w:rPr>
    </w:lvl>
    <w:lvl w:ilvl="1">
      <w:start w:val="1"/>
      <w:numFmt w:val="bullet"/>
      <w:lvlText w:val="o"/>
      <w:lvlJc w:val="left"/>
      <w:pPr>
        <w:ind w:left="1440" w:hanging="360"/>
      </w:pPr>
      <w:rPr>
        <w:rFonts w:ascii="Courier New" w:hAnsi="Courier New" w:hint="default"/>
        <w:color w:val="00AC4E" w:themeColor="accent1"/>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8" w15:restartNumberingAfterBreak="0">
    <w:nsid w:val="49B575CA"/>
    <w:multiLevelType w:val="hybridMultilevel"/>
    <w:tmpl w:val="2190E270"/>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49" w15:restartNumberingAfterBreak="0">
    <w:nsid w:val="49E758BD"/>
    <w:multiLevelType w:val="multilevel"/>
    <w:tmpl w:val="34FAB6B2"/>
    <w:lvl w:ilvl="0">
      <w:start w:val="1"/>
      <w:numFmt w:val="lowerLetter"/>
      <w:lvlText w:val="%1."/>
      <w:lvlJc w:val="left"/>
      <w:pPr>
        <w:ind w:left="1446" w:hanging="360"/>
      </w:pPr>
    </w:lvl>
    <w:lvl w:ilvl="1">
      <w:start w:val="1"/>
      <w:numFmt w:val="lowerLetter"/>
      <w:lvlText w:val="%2."/>
      <w:lvlJc w:val="left"/>
      <w:pPr>
        <w:ind w:left="2166" w:hanging="360"/>
      </w:pPr>
    </w:lvl>
    <w:lvl w:ilvl="2">
      <w:start w:val="1"/>
      <w:numFmt w:val="lowerRoman"/>
      <w:lvlText w:val="%3."/>
      <w:lvlJc w:val="right"/>
      <w:pPr>
        <w:ind w:left="2886" w:hanging="180"/>
      </w:pPr>
    </w:lvl>
    <w:lvl w:ilvl="3">
      <w:start w:val="1"/>
      <w:numFmt w:val="decimal"/>
      <w:lvlText w:val="%4."/>
      <w:lvlJc w:val="left"/>
      <w:pPr>
        <w:ind w:left="3606" w:hanging="360"/>
      </w:pPr>
    </w:lvl>
    <w:lvl w:ilvl="4">
      <w:start w:val="1"/>
      <w:numFmt w:val="lowerLetter"/>
      <w:lvlText w:val="%5."/>
      <w:lvlJc w:val="left"/>
      <w:pPr>
        <w:ind w:left="4326" w:hanging="360"/>
      </w:pPr>
    </w:lvl>
    <w:lvl w:ilvl="5">
      <w:start w:val="1"/>
      <w:numFmt w:val="lowerRoman"/>
      <w:lvlText w:val="%6."/>
      <w:lvlJc w:val="right"/>
      <w:pPr>
        <w:ind w:left="5046" w:hanging="180"/>
      </w:pPr>
    </w:lvl>
    <w:lvl w:ilvl="6">
      <w:start w:val="1"/>
      <w:numFmt w:val="decimal"/>
      <w:lvlText w:val="%7."/>
      <w:lvlJc w:val="left"/>
      <w:pPr>
        <w:ind w:left="5766" w:hanging="360"/>
      </w:pPr>
    </w:lvl>
    <w:lvl w:ilvl="7">
      <w:start w:val="1"/>
      <w:numFmt w:val="lowerLetter"/>
      <w:lvlText w:val="%8."/>
      <w:lvlJc w:val="left"/>
      <w:pPr>
        <w:ind w:left="6486" w:hanging="360"/>
      </w:pPr>
    </w:lvl>
    <w:lvl w:ilvl="8">
      <w:start w:val="1"/>
      <w:numFmt w:val="lowerRoman"/>
      <w:lvlText w:val="%9."/>
      <w:lvlJc w:val="right"/>
      <w:pPr>
        <w:ind w:left="7206" w:hanging="180"/>
      </w:pPr>
    </w:lvl>
  </w:abstractNum>
  <w:abstractNum w:abstractNumId="250" w15:restartNumberingAfterBreak="0">
    <w:nsid w:val="4A3F1A58"/>
    <w:multiLevelType w:val="multilevel"/>
    <w:tmpl w:val="B65C746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1" w15:restartNumberingAfterBreak="0">
    <w:nsid w:val="4A5F755C"/>
    <w:multiLevelType w:val="multilevel"/>
    <w:tmpl w:val="52B43E5A"/>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52" w15:restartNumberingAfterBreak="0">
    <w:nsid w:val="4A781731"/>
    <w:multiLevelType w:val="hybridMultilevel"/>
    <w:tmpl w:val="CDEEABFE"/>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3" w15:restartNumberingAfterBreak="0">
    <w:nsid w:val="4A7C4AF6"/>
    <w:multiLevelType w:val="multilevel"/>
    <w:tmpl w:val="13E6DA8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4" w15:restartNumberingAfterBreak="0">
    <w:nsid w:val="4AEC73BB"/>
    <w:multiLevelType w:val="multilevel"/>
    <w:tmpl w:val="26DE7D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5" w15:restartNumberingAfterBreak="0">
    <w:nsid w:val="4AF61366"/>
    <w:multiLevelType w:val="multilevel"/>
    <w:tmpl w:val="EC0405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4B565C0E"/>
    <w:multiLevelType w:val="multilevel"/>
    <w:tmpl w:val="AEDCE384"/>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257" w15:restartNumberingAfterBreak="0">
    <w:nsid w:val="4B5E1377"/>
    <w:multiLevelType w:val="multilevel"/>
    <w:tmpl w:val="01F099C0"/>
    <w:lvl w:ilvl="0">
      <w:start w:val="1"/>
      <w:numFmt w:val="lowerLetter"/>
      <w:lvlText w:val="%1."/>
      <w:lvlJc w:val="left"/>
      <w:pPr>
        <w:ind w:left="1446" w:hanging="360"/>
      </w:pPr>
    </w:lvl>
    <w:lvl w:ilvl="1">
      <w:start w:val="1"/>
      <w:numFmt w:val="lowerLetter"/>
      <w:lvlText w:val="%2."/>
      <w:lvlJc w:val="left"/>
      <w:pPr>
        <w:ind w:left="2166" w:hanging="360"/>
      </w:pPr>
    </w:lvl>
    <w:lvl w:ilvl="2">
      <w:start w:val="1"/>
      <w:numFmt w:val="lowerRoman"/>
      <w:lvlText w:val="%3."/>
      <w:lvlJc w:val="right"/>
      <w:pPr>
        <w:ind w:left="2886" w:hanging="180"/>
      </w:pPr>
    </w:lvl>
    <w:lvl w:ilvl="3">
      <w:start w:val="1"/>
      <w:numFmt w:val="decimal"/>
      <w:lvlText w:val="%4."/>
      <w:lvlJc w:val="left"/>
      <w:pPr>
        <w:ind w:left="3606" w:hanging="360"/>
      </w:pPr>
    </w:lvl>
    <w:lvl w:ilvl="4">
      <w:start w:val="1"/>
      <w:numFmt w:val="lowerLetter"/>
      <w:lvlText w:val="%5."/>
      <w:lvlJc w:val="left"/>
      <w:pPr>
        <w:ind w:left="4326" w:hanging="360"/>
      </w:pPr>
    </w:lvl>
    <w:lvl w:ilvl="5">
      <w:start w:val="1"/>
      <w:numFmt w:val="lowerRoman"/>
      <w:lvlText w:val="%6."/>
      <w:lvlJc w:val="right"/>
      <w:pPr>
        <w:ind w:left="5046" w:hanging="180"/>
      </w:pPr>
    </w:lvl>
    <w:lvl w:ilvl="6">
      <w:start w:val="1"/>
      <w:numFmt w:val="decimal"/>
      <w:lvlText w:val="%7."/>
      <w:lvlJc w:val="left"/>
      <w:pPr>
        <w:ind w:left="5766" w:hanging="360"/>
      </w:pPr>
    </w:lvl>
    <w:lvl w:ilvl="7">
      <w:start w:val="1"/>
      <w:numFmt w:val="lowerLetter"/>
      <w:lvlText w:val="%8."/>
      <w:lvlJc w:val="left"/>
      <w:pPr>
        <w:ind w:left="6486" w:hanging="360"/>
      </w:pPr>
    </w:lvl>
    <w:lvl w:ilvl="8">
      <w:start w:val="1"/>
      <w:numFmt w:val="lowerRoman"/>
      <w:lvlText w:val="%9."/>
      <w:lvlJc w:val="right"/>
      <w:pPr>
        <w:ind w:left="7206" w:hanging="180"/>
      </w:pPr>
    </w:lvl>
  </w:abstractNum>
  <w:abstractNum w:abstractNumId="258" w15:restartNumberingAfterBreak="0">
    <w:nsid w:val="4B6A53D7"/>
    <w:multiLevelType w:val="multilevel"/>
    <w:tmpl w:val="701433BC"/>
    <w:lvl w:ilvl="0">
      <w:start w:val="1"/>
      <w:numFmt w:val="bullet"/>
      <w:lvlText w:val="–"/>
      <w:lvlJc w:val="left"/>
      <w:pPr>
        <w:ind w:left="1429" w:hanging="360"/>
      </w:pPr>
      <w:rPr>
        <w:rFonts w:ascii="Arial" w:eastAsia="Arial" w:hAnsi="Arial" w:cs="Arial" w:hint="default"/>
      </w:rPr>
    </w:lvl>
    <w:lvl w:ilvl="1">
      <w:start w:val="1"/>
      <w:numFmt w:val="bullet"/>
      <w:lvlText w:val="o"/>
      <w:lvlJc w:val="left"/>
      <w:pPr>
        <w:ind w:left="2149" w:hanging="360"/>
      </w:pPr>
      <w:rPr>
        <w:rFonts w:ascii="Courier New" w:eastAsia="Courier New" w:hAnsi="Courier New" w:cs="Courier New" w:hint="default"/>
      </w:rPr>
    </w:lvl>
    <w:lvl w:ilvl="2">
      <w:start w:val="1"/>
      <w:numFmt w:val="bullet"/>
      <w:lvlText w:val="§"/>
      <w:lvlJc w:val="left"/>
      <w:pPr>
        <w:ind w:left="2869" w:hanging="360"/>
      </w:pPr>
      <w:rPr>
        <w:rFonts w:ascii="Wingdings" w:eastAsia="Wingdings" w:hAnsi="Wingdings" w:cs="Wingdings" w:hint="default"/>
      </w:rPr>
    </w:lvl>
    <w:lvl w:ilvl="3">
      <w:start w:val="1"/>
      <w:numFmt w:val="bullet"/>
      <w:lvlText w:val="·"/>
      <w:lvlJc w:val="left"/>
      <w:pPr>
        <w:ind w:left="3589" w:hanging="360"/>
      </w:pPr>
      <w:rPr>
        <w:rFonts w:ascii="Symbol" w:eastAsia="Symbol" w:hAnsi="Symbol" w:cs="Symbol" w:hint="default"/>
      </w:rPr>
    </w:lvl>
    <w:lvl w:ilvl="4">
      <w:start w:val="1"/>
      <w:numFmt w:val="bullet"/>
      <w:lvlText w:val="o"/>
      <w:lvlJc w:val="left"/>
      <w:pPr>
        <w:ind w:left="4309" w:hanging="360"/>
      </w:pPr>
      <w:rPr>
        <w:rFonts w:ascii="Courier New" w:eastAsia="Courier New" w:hAnsi="Courier New" w:cs="Courier New" w:hint="default"/>
      </w:rPr>
    </w:lvl>
    <w:lvl w:ilvl="5">
      <w:start w:val="1"/>
      <w:numFmt w:val="bullet"/>
      <w:lvlText w:val="§"/>
      <w:lvlJc w:val="left"/>
      <w:pPr>
        <w:ind w:left="5029" w:hanging="360"/>
      </w:pPr>
      <w:rPr>
        <w:rFonts w:ascii="Wingdings" w:eastAsia="Wingdings" w:hAnsi="Wingdings" w:cs="Wingdings" w:hint="default"/>
      </w:rPr>
    </w:lvl>
    <w:lvl w:ilvl="6">
      <w:start w:val="1"/>
      <w:numFmt w:val="bullet"/>
      <w:lvlText w:val="·"/>
      <w:lvlJc w:val="left"/>
      <w:pPr>
        <w:ind w:left="5749" w:hanging="360"/>
      </w:pPr>
      <w:rPr>
        <w:rFonts w:ascii="Symbol" w:eastAsia="Symbol" w:hAnsi="Symbol" w:cs="Symbol" w:hint="default"/>
      </w:rPr>
    </w:lvl>
    <w:lvl w:ilvl="7">
      <w:start w:val="1"/>
      <w:numFmt w:val="bullet"/>
      <w:lvlText w:val="o"/>
      <w:lvlJc w:val="left"/>
      <w:pPr>
        <w:ind w:left="6469" w:hanging="360"/>
      </w:pPr>
      <w:rPr>
        <w:rFonts w:ascii="Courier New" w:eastAsia="Courier New" w:hAnsi="Courier New" w:cs="Courier New" w:hint="default"/>
      </w:rPr>
    </w:lvl>
    <w:lvl w:ilvl="8">
      <w:start w:val="1"/>
      <w:numFmt w:val="bullet"/>
      <w:lvlText w:val="§"/>
      <w:lvlJc w:val="left"/>
      <w:pPr>
        <w:ind w:left="7189" w:hanging="360"/>
      </w:pPr>
      <w:rPr>
        <w:rFonts w:ascii="Wingdings" w:eastAsia="Wingdings" w:hAnsi="Wingdings" w:cs="Wingdings" w:hint="default"/>
      </w:rPr>
    </w:lvl>
  </w:abstractNum>
  <w:abstractNum w:abstractNumId="259" w15:restartNumberingAfterBreak="0">
    <w:nsid w:val="4B7344E1"/>
    <w:multiLevelType w:val="hybridMultilevel"/>
    <w:tmpl w:val="C4B6FC24"/>
    <w:lvl w:ilvl="0" w:tplc="041A0017">
      <w:start w:val="1"/>
      <w:numFmt w:val="lowerLetter"/>
      <w:lvlText w:val="%1)"/>
      <w:lvlJc w:val="left"/>
      <w:pPr>
        <w:ind w:left="720" w:hanging="360"/>
      </w:pPr>
    </w:lvl>
    <w:lvl w:ilvl="1" w:tplc="FFFFFFFF">
      <w:start w:val="1"/>
      <w:numFmt w:val="lowerLetter"/>
      <w:lvlText w:val="%2)"/>
      <w:lvlJc w:val="left"/>
      <w:pPr>
        <w:ind w:left="1440" w:hanging="360"/>
      </w:pPr>
      <w:rPr>
        <w:rFonts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0" w15:restartNumberingAfterBreak="0">
    <w:nsid w:val="4BA54967"/>
    <w:multiLevelType w:val="multilevel"/>
    <w:tmpl w:val="674A00F6"/>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261" w15:restartNumberingAfterBreak="0">
    <w:nsid w:val="4BAC5A43"/>
    <w:multiLevelType w:val="hybridMultilevel"/>
    <w:tmpl w:val="13B8B658"/>
    <w:lvl w:ilvl="0" w:tplc="B86454F4">
      <w:start w:val="1"/>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2" w15:restartNumberingAfterBreak="0">
    <w:nsid w:val="4BB520F5"/>
    <w:multiLevelType w:val="multilevel"/>
    <w:tmpl w:val="F7F625F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3" w15:restartNumberingAfterBreak="0">
    <w:nsid w:val="4BC22221"/>
    <w:multiLevelType w:val="multilevel"/>
    <w:tmpl w:val="66F08400"/>
    <w:lvl w:ilvl="0">
      <w:start w:val="1"/>
      <w:numFmt w:val="decimal"/>
      <w:lvlText w:val="%1."/>
      <w:lvlJc w:val="left"/>
      <w:pPr>
        <w:ind w:left="720" w:hanging="360"/>
      </w:pPr>
      <w:rPr>
        <w:rFonts w:hint="default"/>
        <w:b/>
        <w:bCs/>
        <w:color w:val="00AC4E" w:themeColor="accent1"/>
        <w:position w:val="-2"/>
        <w:sz w:val="28"/>
        <w:szCs w:val="28"/>
        <w:lang w:val="en-GB"/>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64" w15:restartNumberingAfterBreak="0">
    <w:nsid w:val="4BC222A0"/>
    <w:multiLevelType w:val="multilevel"/>
    <w:tmpl w:val="115088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5" w15:restartNumberingAfterBreak="0">
    <w:nsid w:val="4BD91567"/>
    <w:multiLevelType w:val="multilevel"/>
    <w:tmpl w:val="77766F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6" w15:restartNumberingAfterBreak="0">
    <w:nsid w:val="4C186E49"/>
    <w:multiLevelType w:val="multilevel"/>
    <w:tmpl w:val="6A1E6C6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7" w15:restartNumberingAfterBreak="0">
    <w:nsid w:val="4C312E7E"/>
    <w:multiLevelType w:val="multilevel"/>
    <w:tmpl w:val="A7807E6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8" w15:restartNumberingAfterBreak="0">
    <w:nsid w:val="4CC73316"/>
    <w:multiLevelType w:val="multilevel"/>
    <w:tmpl w:val="356602BA"/>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269" w15:restartNumberingAfterBreak="0">
    <w:nsid w:val="4D3078A5"/>
    <w:multiLevelType w:val="multilevel"/>
    <w:tmpl w:val="68CAAE2A"/>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70" w15:restartNumberingAfterBreak="0">
    <w:nsid w:val="4D4A5F64"/>
    <w:multiLevelType w:val="hybridMultilevel"/>
    <w:tmpl w:val="A87C1F5C"/>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71" w15:restartNumberingAfterBreak="0">
    <w:nsid w:val="4D8C2D18"/>
    <w:multiLevelType w:val="multilevel"/>
    <w:tmpl w:val="758CDF36"/>
    <w:lvl w:ilvl="0">
      <w:start w:val="1"/>
      <w:numFmt w:val="bullet"/>
      <w:lvlText w:val=""/>
      <w:lvlJc w:val="left"/>
      <w:pPr>
        <w:ind w:left="720" w:hanging="360"/>
      </w:pPr>
      <w:rPr>
        <w:rFonts w:ascii="Symbol" w:hAnsi="Symbol" w:hint="default"/>
        <w:b w:val="0"/>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2" w15:restartNumberingAfterBreak="0">
    <w:nsid w:val="4DA170D4"/>
    <w:multiLevelType w:val="multilevel"/>
    <w:tmpl w:val="9DC036BC"/>
    <w:lvl w:ilvl="0">
      <w:start w:val="5"/>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73" w15:restartNumberingAfterBreak="0">
    <w:nsid w:val="4E4575C8"/>
    <w:multiLevelType w:val="multilevel"/>
    <w:tmpl w:val="041A9248"/>
    <w:lvl w:ilvl="0">
      <w:start w:val="2"/>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4" w15:restartNumberingAfterBreak="0">
    <w:nsid w:val="4F826607"/>
    <w:multiLevelType w:val="multilevel"/>
    <w:tmpl w:val="D896B4B2"/>
    <w:lvl w:ilvl="0">
      <w:start w:val="1"/>
      <w:numFmt w:val="decimal"/>
      <w:lvlText w:val="%1."/>
      <w:lvlJc w:val="left"/>
      <w:pPr>
        <w:ind w:left="720" w:hanging="360"/>
      </w:pPr>
      <w:rPr>
        <w:rFonts w:asciiTheme="majorHAnsi" w:hAnsiTheme="majorHAnsi" w:hint="default"/>
        <w:b/>
        <w:bCs/>
        <w:color w:val="00AC4E" w:themeColor="accent1"/>
        <w:position w:val="-2"/>
        <w:sz w:val="28"/>
        <w:szCs w:val="28"/>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5" w15:restartNumberingAfterBreak="0">
    <w:nsid w:val="4FBA4B3B"/>
    <w:multiLevelType w:val="hybridMultilevel"/>
    <w:tmpl w:val="BE46F42A"/>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76" w15:restartNumberingAfterBreak="0">
    <w:nsid w:val="4FD905C9"/>
    <w:multiLevelType w:val="multilevel"/>
    <w:tmpl w:val="1C36AC10"/>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77" w15:restartNumberingAfterBreak="0">
    <w:nsid w:val="504645BE"/>
    <w:multiLevelType w:val="hybridMultilevel"/>
    <w:tmpl w:val="88E8BDA4"/>
    <w:lvl w:ilvl="0" w:tplc="041A0017">
      <w:start w:val="1"/>
      <w:numFmt w:val="low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8" w15:restartNumberingAfterBreak="0">
    <w:nsid w:val="50D3749A"/>
    <w:multiLevelType w:val="multilevel"/>
    <w:tmpl w:val="F794B062"/>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79" w15:restartNumberingAfterBreak="0">
    <w:nsid w:val="50EF15E6"/>
    <w:multiLevelType w:val="multilevel"/>
    <w:tmpl w:val="90CC62BE"/>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80" w15:restartNumberingAfterBreak="0">
    <w:nsid w:val="51654FFE"/>
    <w:multiLevelType w:val="multilevel"/>
    <w:tmpl w:val="FEC45A9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1" w15:restartNumberingAfterBreak="0">
    <w:nsid w:val="518F10E9"/>
    <w:multiLevelType w:val="multilevel"/>
    <w:tmpl w:val="72F459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2" w15:restartNumberingAfterBreak="0">
    <w:nsid w:val="51B129BE"/>
    <w:multiLevelType w:val="multilevel"/>
    <w:tmpl w:val="4E14EA8A"/>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283" w15:restartNumberingAfterBreak="0">
    <w:nsid w:val="51D2371A"/>
    <w:multiLevelType w:val="multilevel"/>
    <w:tmpl w:val="F13E7F8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4" w15:restartNumberingAfterBreak="0">
    <w:nsid w:val="51D51264"/>
    <w:multiLevelType w:val="hybridMultilevel"/>
    <w:tmpl w:val="FDE62E9E"/>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5" w15:restartNumberingAfterBreak="0">
    <w:nsid w:val="52B40656"/>
    <w:multiLevelType w:val="multilevel"/>
    <w:tmpl w:val="7310AA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6" w15:restartNumberingAfterBreak="0">
    <w:nsid w:val="534F43E9"/>
    <w:multiLevelType w:val="multilevel"/>
    <w:tmpl w:val="161A238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7" w15:restartNumberingAfterBreak="0">
    <w:nsid w:val="535C4AAB"/>
    <w:multiLevelType w:val="multilevel"/>
    <w:tmpl w:val="FD88D0A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8" w15:restartNumberingAfterBreak="0">
    <w:nsid w:val="537D2161"/>
    <w:multiLevelType w:val="multilevel"/>
    <w:tmpl w:val="7F429A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9" w15:restartNumberingAfterBreak="0">
    <w:nsid w:val="539261C4"/>
    <w:multiLevelType w:val="hybridMultilevel"/>
    <w:tmpl w:val="C2FCC96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0" w15:restartNumberingAfterBreak="0">
    <w:nsid w:val="539531DB"/>
    <w:multiLevelType w:val="multilevel"/>
    <w:tmpl w:val="D650741A"/>
    <w:lvl w:ilvl="0">
      <w:start w:val="1"/>
      <w:numFmt w:val="bullet"/>
      <w:lvlText w:val=""/>
      <w:lvlJc w:val="left"/>
      <w:pPr>
        <w:ind w:left="720" w:hanging="360"/>
      </w:pPr>
      <w:rPr>
        <w:rFonts w:ascii="Symbol" w:hAnsi="Symbol" w:hint="default"/>
        <w:color w:val="00AC4E" w:themeColor="accent1"/>
        <w:position w:val="-6"/>
        <w:sz w:val="30"/>
        <w:szCs w:val="32"/>
      </w:rPr>
    </w:lvl>
    <w:lvl w:ilvl="1">
      <w:start w:val="1"/>
      <w:numFmt w:val="bullet"/>
      <w:lvlText w:val="o"/>
      <w:lvlJc w:val="left"/>
      <w:pPr>
        <w:ind w:left="1440" w:hanging="360"/>
      </w:pPr>
      <w:rPr>
        <w:rFonts w:ascii="Courier New" w:hAnsi="Courier New" w:hint="default"/>
        <w:color w:val="00AC4E" w:themeColor="accent1"/>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1" w15:restartNumberingAfterBreak="0">
    <w:nsid w:val="53DF5811"/>
    <w:multiLevelType w:val="multilevel"/>
    <w:tmpl w:val="AE5C77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2" w15:restartNumberingAfterBreak="0">
    <w:nsid w:val="54103210"/>
    <w:multiLevelType w:val="multilevel"/>
    <w:tmpl w:val="7E0292D8"/>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293" w15:restartNumberingAfterBreak="0">
    <w:nsid w:val="547B4832"/>
    <w:multiLevelType w:val="hybridMultilevel"/>
    <w:tmpl w:val="ECD2B514"/>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94" w15:restartNumberingAfterBreak="0">
    <w:nsid w:val="54A45986"/>
    <w:multiLevelType w:val="hybridMultilevel"/>
    <w:tmpl w:val="6AFCC344"/>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95" w15:restartNumberingAfterBreak="0">
    <w:nsid w:val="54B6129A"/>
    <w:multiLevelType w:val="multilevel"/>
    <w:tmpl w:val="7F86D7C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6" w15:restartNumberingAfterBreak="0">
    <w:nsid w:val="54E05D1E"/>
    <w:multiLevelType w:val="multilevel"/>
    <w:tmpl w:val="4BCC497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297" w15:restartNumberingAfterBreak="0">
    <w:nsid w:val="553D4858"/>
    <w:multiLevelType w:val="multilevel"/>
    <w:tmpl w:val="5DE6D01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8" w15:restartNumberingAfterBreak="0">
    <w:nsid w:val="554052E8"/>
    <w:multiLevelType w:val="multilevel"/>
    <w:tmpl w:val="95B82AF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9" w15:restartNumberingAfterBreak="0">
    <w:nsid w:val="55695277"/>
    <w:multiLevelType w:val="multilevel"/>
    <w:tmpl w:val="EB84B2D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0" w15:restartNumberingAfterBreak="0">
    <w:nsid w:val="557F4365"/>
    <w:multiLevelType w:val="hybridMultilevel"/>
    <w:tmpl w:val="245E6F2C"/>
    <w:lvl w:ilvl="0" w:tplc="F72AA0D0">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01" w15:restartNumberingAfterBreak="0">
    <w:nsid w:val="558529D0"/>
    <w:multiLevelType w:val="multilevel"/>
    <w:tmpl w:val="71F66EC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2" w15:restartNumberingAfterBreak="0">
    <w:nsid w:val="558D3B2A"/>
    <w:multiLevelType w:val="multilevel"/>
    <w:tmpl w:val="CE32FD0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3" w15:restartNumberingAfterBreak="0">
    <w:nsid w:val="55C709F0"/>
    <w:multiLevelType w:val="multilevel"/>
    <w:tmpl w:val="C616D39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4" w15:restartNumberingAfterBreak="0">
    <w:nsid w:val="560C46D9"/>
    <w:multiLevelType w:val="multilevel"/>
    <w:tmpl w:val="804A298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05" w15:restartNumberingAfterBreak="0">
    <w:nsid w:val="56455AA3"/>
    <w:multiLevelType w:val="multilevel"/>
    <w:tmpl w:val="DB6444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6" w15:restartNumberingAfterBreak="0">
    <w:nsid w:val="564F4DB2"/>
    <w:multiLevelType w:val="multilevel"/>
    <w:tmpl w:val="B61C088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7" w15:restartNumberingAfterBreak="0">
    <w:nsid w:val="56820AEF"/>
    <w:multiLevelType w:val="multilevel"/>
    <w:tmpl w:val="D13C636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8" w15:restartNumberingAfterBreak="0">
    <w:nsid w:val="56A7135A"/>
    <w:multiLevelType w:val="multilevel"/>
    <w:tmpl w:val="041A92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9" w15:restartNumberingAfterBreak="0">
    <w:nsid w:val="57092BE3"/>
    <w:multiLevelType w:val="multilevel"/>
    <w:tmpl w:val="D3F030A8"/>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10" w15:restartNumberingAfterBreak="0">
    <w:nsid w:val="57907AEB"/>
    <w:multiLevelType w:val="hybridMultilevel"/>
    <w:tmpl w:val="F1A4A6B6"/>
    <w:lvl w:ilvl="0" w:tplc="041A0017">
      <w:start w:val="1"/>
      <w:numFmt w:val="lowerLetter"/>
      <w:lvlText w:val="%1)"/>
      <w:lvlJc w:val="left"/>
      <w:pPr>
        <w:ind w:left="720" w:hanging="360"/>
      </w:pPr>
    </w:lvl>
    <w:lvl w:ilvl="1" w:tplc="FFFFFFFF">
      <w:start w:val="1"/>
      <w:numFmt w:val="lowerLetter"/>
      <w:lvlText w:val="%2)"/>
      <w:lvlJc w:val="left"/>
      <w:pPr>
        <w:ind w:left="1440" w:hanging="360"/>
      </w:pPr>
      <w:rPr>
        <w:rFonts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1" w15:restartNumberingAfterBreak="0">
    <w:nsid w:val="57A9494B"/>
    <w:multiLevelType w:val="hybridMultilevel"/>
    <w:tmpl w:val="16BA620E"/>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12" w15:restartNumberingAfterBreak="0">
    <w:nsid w:val="5845271A"/>
    <w:multiLevelType w:val="hybridMultilevel"/>
    <w:tmpl w:val="9090805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3" w15:restartNumberingAfterBreak="0">
    <w:nsid w:val="58A750EC"/>
    <w:multiLevelType w:val="multilevel"/>
    <w:tmpl w:val="5ABC75E0"/>
    <w:lvl w:ilvl="0">
      <w:start w:val="1"/>
      <w:numFmt w:val="decimal"/>
      <w:lvlText w:val="%1."/>
      <w:lvlJc w:val="left"/>
      <w:pPr>
        <w:ind w:left="720" w:hanging="360"/>
      </w:pPr>
      <w:rPr>
        <w:rFonts w:hint="default"/>
        <w:b/>
        <w:bCs/>
        <w:color w:val="009889" w:themeColor="accent2"/>
        <w:position w:val="-2"/>
        <w:sz w:val="20"/>
        <w:szCs w:val="20"/>
        <w:lang w:val="en-GB"/>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14" w15:restartNumberingAfterBreak="0">
    <w:nsid w:val="590725E3"/>
    <w:multiLevelType w:val="hybridMultilevel"/>
    <w:tmpl w:val="7BDABC46"/>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15" w15:restartNumberingAfterBreak="0">
    <w:nsid w:val="59927EC4"/>
    <w:multiLevelType w:val="multilevel"/>
    <w:tmpl w:val="6CA689B2"/>
    <w:lvl w:ilvl="0">
      <w:start w:val="1"/>
      <w:numFmt w:val="decimal"/>
      <w:lvlText w:val="%1."/>
      <w:lvlJc w:val="left"/>
      <w:pPr>
        <w:ind w:left="720" w:hanging="360"/>
      </w:pPr>
      <w:rPr>
        <w:b/>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6" w15:restartNumberingAfterBreak="0">
    <w:nsid w:val="5A0F4087"/>
    <w:multiLevelType w:val="multilevel"/>
    <w:tmpl w:val="7B32C7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7" w15:restartNumberingAfterBreak="0">
    <w:nsid w:val="5A6E0421"/>
    <w:multiLevelType w:val="multilevel"/>
    <w:tmpl w:val="47BC63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8" w15:restartNumberingAfterBreak="0">
    <w:nsid w:val="5AAB2E67"/>
    <w:multiLevelType w:val="multilevel"/>
    <w:tmpl w:val="C3D0B274"/>
    <w:lvl w:ilvl="0">
      <w:start w:val="1"/>
      <w:numFmt w:val="decimal"/>
      <w:lvlText w:val="%1."/>
      <w:lvlJc w:val="left"/>
      <w:pPr>
        <w:ind w:left="720" w:hanging="360"/>
      </w:pPr>
      <w:rPr>
        <w:rFonts w:asciiTheme="majorHAnsi" w:hAnsiTheme="majorHAnsi" w:hint="default"/>
        <w:b/>
        <w:bCs/>
        <w:color w:val="00AC4E" w:themeColor="accent1"/>
        <w:position w:val="-2"/>
        <w:sz w:val="28"/>
        <w:szCs w:val="28"/>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19" w15:restartNumberingAfterBreak="0">
    <w:nsid w:val="5ACB5EB9"/>
    <w:multiLevelType w:val="multilevel"/>
    <w:tmpl w:val="84BC8144"/>
    <w:lvl w:ilvl="0">
      <w:start w:val="1"/>
      <w:numFmt w:val="bullet"/>
      <w:lvlText w:val="•"/>
      <w:lvlJc w:val="left"/>
      <w:pPr>
        <w:tabs>
          <w:tab w:val="num" w:pos="720"/>
        </w:tabs>
        <w:ind w:left="720" w:hanging="360"/>
      </w:pPr>
      <w:rPr>
        <w:rFonts w:ascii="Arial" w:hAnsi="Arial" w:hint="default"/>
      </w:rPr>
    </w:lvl>
    <w:lvl w:ilvl="1">
      <w:start w:val="1"/>
      <w:numFmt w:val="bullet"/>
      <w:lvlText w:val="•"/>
      <w:lvlJc w:val="left"/>
      <w:pPr>
        <w:tabs>
          <w:tab w:val="num" w:pos="1440"/>
        </w:tabs>
        <w:ind w:left="1440" w:hanging="360"/>
      </w:pPr>
      <w:rPr>
        <w:rFonts w:ascii="Arial" w:hAnsi="Arial" w:hint="default"/>
      </w:rPr>
    </w:lvl>
    <w:lvl w:ilvl="2">
      <w:start w:val="1"/>
      <w:numFmt w:val="bullet"/>
      <w:lvlText w:val="•"/>
      <w:lvlJc w:val="left"/>
      <w:pPr>
        <w:tabs>
          <w:tab w:val="num" w:pos="2160"/>
        </w:tabs>
        <w:ind w:left="2160" w:hanging="360"/>
      </w:pPr>
      <w:rPr>
        <w:rFonts w:ascii="Arial" w:hAnsi="Arial" w:hint="default"/>
      </w:rPr>
    </w:lvl>
    <w:lvl w:ilvl="3">
      <w:start w:val="1"/>
      <w:numFmt w:val="bullet"/>
      <w:lvlText w:val="•"/>
      <w:lvlJc w:val="left"/>
      <w:pPr>
        <w:tabs>
          <w:tab w:val="num" w:pos="2880"/>
        </w:tabs>
        <w:ind w:left="2880" w:hanging="360"/>
      </w:pPr>
      <w:rPr>
        <w:rFonts w:ascii="Arial" w:hAnsi="Arial" w:hint="default"/>
      </w:rPr>
    </w:lvl>
    <w:lvl w:ilvl="4">
      <w:start w:val="1"/>
      <w:numFmt w:val="bullet"/>
      <w:lvlText w:val="•"/>
      <w:lvlJc w:val="left"/>
      <w:pPr>
        <w:tabs>
          <w:tab w:val="num" w:pos="3600"/>
        </w:tabs>
        <w:ind w:left="3600" w:hanging="360"/>
      </w:pPr>
      <w:rPr>
        <w:rFonts w:ascii="Arial" w:hAnsi="Arial" w:hint="default"/>
      </w:rPr>
    </w:lvl>
    <w:lvl w:ilvl="5">
      <w:start w:val="1"/>
      <w:numFmt w:val="bullet"/>
      <w:lvlText w:val="•"/>
      <w:lvlJc w:val="left"/>
      <w:pPr>
        <w:tabs>
          <w:tab w:val="num" w:pos="4320"/>
        </w:tabs>
        <w:ind w:left="4320" w:hanging="360"/>
      </w:pPr>
      <w:rPr>
        <w:rFonts w:ascii="Arial" w:hAnsi="Arial" w:hint="default"/>
      </w:rPr>
    </w:lvl>
    <w:lvl w:ilvl="6">
      <w:start w:val="1"/>
      <w:numFmt w:val="bullet"/>
      <w:lvlText w:val="•"/>
      <w:lvlJc w:val="left"/>
      <w:pPr>
        <w:tabs>
          <w:tab w:val="num" w:pos="5040"/>
        </w:tabs>
        <w:ind w:left="5040" w:hanging="360"/>
      </w:pPr>
      <w:rPr>
        <w:rFonts w:ascii="Arial" w:hAnsi="Arial" w:hint="default"/>
      </w:rPr>
    </w:lvl>
    <w:lvl w:ilvl="7">
      <w:start w:val="1"/>
      <w:numFmt w:val="bullet"/>
      <w:lvlText w:val="•"/>
      <w:lvlJc w:val="left"/>
      <w:pPr>
        <w:tabs>
          <w:tab w:val="num" w:pos="5760"/>
        </w:tabs>
        <w:ind w:left="5760" w:hanging="360"/>
      </w:pPr>
      <w:rPr>
        <w:rFonts w:ascii="Arial" w:hAnsi="Arial" w:hint="default"/>
      </w:rPr>
    </w:lvl>
    <w:lvl w:ilvl="8">
      <w:start w:val="1"/>
      <w:numFmt w:val="bullet"/>
      <w:lvlText w:val="•"/>
      <w:lvlJc w:val="left"/>
      <w:pPr>
        <w:tabs>
          <w:tab w:val="num" w:pos="6480"/>
        </w:tabs>
        <w:ind w:left="6480" w:hanging="360"/>
      </w:pPr>
      <w:rPr>
        <w:rFonts w:ascii="Arial" w:hAnsi="Arial" w:hint="default"/>
      </w:rPr>
    </w:lvl>
  </w:abstractNum>
  <w:abstractNum w:abstractNumId="320" w15:restartNumberingAfterBreak="0">
    <w:nsid w:val="5C4051B5"/>
    <w:multiLevelType w:val="multilevel"/>
    <w:tmpl w:val="A8CE5A84"/>
    <w:lvl w:ilvl="0">
      <w:start w:val="1"/>
      <w:numFmt w:val="decimal"/>
      <w:lvlText w:val="%1."/>
      <w:lvlJc w:val="left"/>
      <w:pPr>
        <w:ind w:left="720" w:hanging="360"/>
      </w:pPr>
      <w:rPr>
        <w:rFonts w:asciiTheme="majorHAnsi" w:hAnsiTheme="majorHAnsi" w:hint="default"/>
        <w:b/>
        <w:bCs/>
        <w:color w:val="00AC4E" w:themeColor="accent1"/>
        <w:position w:val="-2"/>
        <w:sz w:val="28"/>
        <w:szCs w:val="28"/>
        <w:lang w:val="en-GB"/>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21" w15:restartNumberingAfterBreak="0">
    <w:nsid w:val="5C892B00"/>
    <w:multiLevelType w:val="multilevel"/>
    <w:tmpl w:val="041A92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2" w15:restartNumberingAfterBreak="0">
    <w:nsid w:val="5C905BD4"/>
    <w:multiLevelType w:val="multilevel"/>
    <w:tmpl w:val="B0B0ED6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3" w15:restartNumberingAfterBreak="0">
    <w:nsid w:val="5EBC11A5"/>
    <w:multiLevelType w:val="multilevel"/>
    <w:tmpl w:val="2020C0E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4" w15:restartNumberingAfterBreak="0">
    <w:nsid w:val="5EF94599"/>
    <w:multiLevelType w:val="multilevel"/>
    <w:tmpl w:val="ECF2952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5" w15:restartNumberingAfterBreak="0">
    <w:nsid w:val="5F977E5E"/>
    <w:multiLevelType w:val="multilevel"/>
    <w:tmpl w:val="731ED67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6" w15:restartNumberingAfterBreak="0">
    <w:nsid w:val="5FD6634B"/>
    <w:multiLevelType w:val="multilevel"/>
    <w:tmpl w:val="EB387F1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27" w15:restartNumberingAfterBreak="0">
    <w:nsid w:val="60015DEB"/>
    <w:multiLevelType w:val="multilevel"/>
    <w:tmpl w:val="826CFD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8" w15:restartNumberingAfterBreak="0">
    <w:nsid w:val="60434297"/>
    <w:multiLevelType w:val="hybridMultilevel"/>
    <w:tmpl w:val="A3BE544A"/>
    <w:lvl w:ilvl="0" w:tplc="B86454F4">
      <w:start w:val="1"/>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9" w15:restartNumberingAfterBreak="0">
    <w:nsid w:val="60AC75FE"/>
    <w:multiLevelType w:val="multilevel"/>
    <w:tmpl w:val="5ABC75E0"/>
    <w:lvl w:ilvl="0">
      <w:start w:val="1"/>
      <w:numFmt w:val="decimal"/>
      <w:lvlText w:val="%1."/>
      <w:lvlJc w:val="left"/>
      <w:pPr>
        <w:ind w:left="720" w:hanging="360"/>
      </w:pPr>
      <w:rPr>
        <w:rFonts w:hint="default"/>
        <w:b/>
        <w:bCs/>
        <w:color w:val="009889" w:themeColor="accent2"/>
        <w:position w:val="-2"/>
        <w:sz w:val="20"/>
        <w:szCs w:val="20"/>
        <w:lang w:val="en-GB"/>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30" w15:restartNumberingAfterBreak="0">
    <w:nsid w:val="60F84DB8"/>
    <w:multiLevelType w:val="multilevel"/>
    <w:tmpl w:val="96EC4F8A"/>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31" w15:restartNumberingAfterBreak="0">
    <w:nsid w:val="61303657"/>
    <w:multiLevelType w:val="multilevel"/>
    <w:tmpl w:val="B908035C"/>
    <w:lvl w:ilvl="0">
      <w:start w:val="1"/>
      <w:numFmt w:val="decimal"/>
      <w:lvlText w:val="%1."/>
      <w:lvlJc w:val="left"/>
      <w:pPr>
        <w:ind w:left="709" w:hanging="360"/>
      </w:pPr>
    </w:lvl>
    <w:lvl w:ilvl="1">
      <w:start w:val="1"/>
      <w:numFmt w:val="lowerLetter"/>
      <w:lvlText w:val="%2."/>
      <w:lvlJc w:val="left"/>
      <w:pPr>
        <w:ind w:left="1429" w:hanging="360"/>
      </w:pPr>
    </w:lvl>
    <w:lvl w:ilvl="2">
      <w:start w:val="1"/>
      <w:numFmt w:val="lowerRoman"/>
      <w:lvlText w:val="%3."/>
      <w:lvlJc w:val="right"/>
      <w:pPr>
        <w:ind w:left="2149" w:hanging="180"/>
      </w:pPr>
    </w:lvl>
    <w:lvl w:ilvl="3">
      <w:start w:val="1"/>
      <w:numFmt w:val="decimal"/>
      <w:lvlText w:val="%4."/>
      <w:lvlJc w:val="left"/>
      <w:pPr>
        <w:ind w:left="2869" w:hanging="360"/>
      </w:pPr>
    </w:lvl>
    <w:lvl w:ilvl="4">
      <w:start w:val="1"/>
      <w:numFmt w:val="lowerLetter"/>
      <w:lvlText w:val="%5."/>
      <w:lvlJc w:val="left"/>
      <w:pPr>
        <w:ind w:left="3589" w:hanging="360"/>
      </w:pPr>
    </w:lvl>
    <w:lvl w:ilvl="5">
      <w:start w:val="1"/>
      <w:numFmt w:val="lowerRoman"/>
      <w:lvlText w:val="%6."/>
      <w:lvlJc w:val="right"/>
      <w:pPr>
        <w:ind w:left="4309" w:hanging="180"/>
      </w:pPr>
    </w:lvl>
    <w:lvl w:ilvl="6">
      <w:start w:val="1"/>
      <w:numFmt w:val="decimal"/>
      <w:lvlText w:val="%7."/>
      <w:lvlJc w:val="left"/>
      <w:pPr>
        <w:ind w:left="5029" w:hanging="360"/>
      </w:pPr>
    </w:lvl>
    <w:lvl w:ilvl="7">
      <w:start w:val="1"/>
      <w:numFmt w:val="lowerLetter"/>
      <w:lvlText w:val="%8."/>
      <w:lvlJc w:val="left"/>
      <w:pPr>
        <w:ind w:left="5749" w:hanging="360"/>
      </w:pPr>
    </w:lvl>
    <w:lvl w:ilvl="8">
      <w:start w:val="1"/>
      <w:numFmt w:val="lowerRoman"/>
      <w:lvlText w:val="%9."/>
      <w:lvlJc w:val="right"/>
      <w:pPr>
        <w:ind w:left="6469" w:hanging="180"/>
      </w:pPr>
    </w:lvl>
  </w:abstractNum>
  <w:abstractNum w:abstractNumId="332" w15:restartNumberingAfterBreak="0">
    <w:nsid w:val="613B6C85"/>
    <w:multiLevelType w:val="multilevel"/>
    <w:tmpl w:val="6D4440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3" w15:restartNumberingAfterBreak="0">
    <w:nsid w:val="61C752E0"/>
    <w:multiLevelType w:val="multilevel"/>
    <w:tmpl w:val="5E5A261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4" w15:restartNumberingAfterBreak="0">
    <w:nsid w:val="61CC1E98"/>
    <w:multiLevelType w:val="multilevel"/>
    <w:tmpl w:val="EDCC492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5" w15:restartNumberingAfterBreak="0">
    <w:nsid w:val="6246674B"/>
    <w:multiLevelType w:val="hybridMultilevel"/>
    <w:tmpl w:val="B302EFBE"/>
    <w:lvl w:ilvl="0" w:tplc="041A0017">
      <w:start w:val="1"/>
      <w:numFmt w:val="lowerLetter"/>
      <w:lvlText w:val="%1)"/>
      <w:lvlJc w:val="left"/>
      <w:pPr>
        <w:ind w:left="720" w:hanging="360"/>
      </w:pPr>
    </w:lvl>
    <w:lvl w:ilvl="1" w:tplc="FFFFFFFF">
      <w:start w:val="1"/>
      <w:numFmt w:val="lowerLetter"/>
      <w:lvlText w:val="%2)"/>
      <w:lvlJc w:val="left"/>
      <w:pPr>
        <w:ind w:left="1440" w:hanging="360"/>
      </w:pPr>
      <w:rPr>
        <w:rFonts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6" w15:restartNumberingAfterBreak="0">
    <w:nsid w:val="624D7239"/>
    <w:multiLevelType w:val="multilevel"/>
    <w:tmpl w:val="8DCA1EDA"/>
    <w:lvl w:ilvl="0">
      <w:start w:val="1"/>
      <w:numFmt w:val="decimal"/>
      <w:lvlText w:val="%1."/>
      <w:lvlJc w:val="right"/>
      <w:pPr>
        <w:ind w:left="709" w:hanging="360"/>
      </w:pPr>
      <w:rPr>
        <w:rFonts w:ascii="Arial" w:eastAsia="Arial" w:hAnsi="Arial" w:cs="Arial"/>
        <w:color w:val="000000"/>
        <w:sz w:val="21"/>
      </w:rPr>
    </w:lvl>
    <w:lvl w:ilvl="1">
      <w:start w:val="1"/>
      <w:numFmt w:val="decimal"/>
      <w:lvlText w:val="%2."/>
      <w:lvlJc w:val="right"/>
      <w:pPr>
        <w:ind w:left="1429" w:hanging="360"/>
      </w:pPr>
    </w:lvl>
    <w:lvl w:ilvl="2">
      <w:start w:val="1"/>
      <w:numFmt w:val="decimal"/>
      <w:lvlText w:val="%3."/>
      <w:lvlJc w:val="right"/>
      <w:pPr>
        <w:ind w:left="2149" w:hanging="180"/>
      </w:pPr>
    </w:lvl>
    <w:lvl w:ilvl="3">
      <w:start w:val="1"/>
      <w:numFmt w:val="decimal"/>
      <w:lvlText w:val="%4."/>
      <w:lvlJc w:val="right"/>
      <w:pPr>
        <w:ind w:left="2869" w:hanging="360"/>
      </w:pPr>
    </w:lvl>
    <w:lvl w:ilvl="4">
      <w:start w:val="1"/>
      <w:numFmt w:val="decimal"/>
      <w:lvlText w:val="%5."/>
      <w:lvlJc w:val="right"/>
      <w:pPr>
        <w:ind w:left="3589" w:hanging="360"/>
      </w:pPr>
    </w:lvl>
    <w:lvl w:ilvl="5">
      <w:start w:val="1"/>
      <w:numFmt w:val="decimal"/>
      <w:lvlText w:val="%6."/>
      <w:lvlJc w:val="right"/>
      <w:pPr>
        <w:ind w:left="4309" w:hanging="180"/>
      </w:pPr>
    </w:lvl>
    <w:lvl w:ilvl="6">
      <w:start w:val="1"/>
      <w:numFmt w:val="decimal"/>
      <w:lvlText w:val="%7."/>
      <w:lvlJc w:val="right"/>
      <w:pPr>
        <w:ind w:left="5029" w:hanging="360"/>
      </w:pPr>
    </w:lvl>
    <w:lvl w:ilvl="7">
      <w:start w:val="1"/>
      <w:numFmt w:val="decimal"/>
      <w:lvlText w:val="%8."/>
      <w:lvlJc w:val="right"/>
      <w:pPr>
        <w:ind w:left="5749" w:hanging="360"/>
      </w:pPr>
    </w:lvl>
    <w:lvl w:ilvl="8">
      <w:start w:val="1"/>
      <w:numFmt w:val="decimal"/>
      <w:lvlText w:val="%9."/>
      <w:lvlJc w:val="right"/>
      <w:pPr>
        <w:ind w:left="6469" w:hanging="180"/>
      </w:pPr>
    </w:lvl>
  </w:abstractNum>
  <w:abstractNum w:abstractNumId="337" w15:restartNumberingAfterBreak="0">
    <w:nsid w:val="634521A6"/>
    <w:multiLevelType w:val="multilevel"/>
    <w:tmpl w:val="0DA851B8"/>
    <w:lvl w:ilvl="0">
      <w:start w:val="1"/>
      <w:numFmt w:val="none"/>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38" w15:restartNumberingAfterBreak="0">
    <w:nsid w:val="64821F49"/>
    <w:multiLevelType w:val="multilevel"/>
    <w:tmpl w:val="D4C87454"/>
    <w:lvl w:ilvl="0">
      <w:start w:val="6"/>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39" w15:restartNumberingAfterBreak="0">
    <w:nsid w:val="64986E64"/>
    <w:multiLevelType w:val="multilevel"/>
    <w:tmpl w:val="BD480440"/>
    <w:lvl w:ilvl="0">
      <w:start w:val="1"/>
      <w:numFmt w:val="decimal"/>
      <w:lvlText w:val="%1."/>
      <w:lvlJc w:val="left"/>
      <w:pPr>
        <w:tabs>
          <w:tab w:val="num" w:pos="360"/>
        </w:tabs>
        <w:ind w:left="360" w:hanging="360"/>
      </w:pPr>
      <w:rPr>
        <w:b w:val="0"/>
        <w:bCs w:val="0"/>
        <w:color w:val="009889" w:themeColor="accent2"/>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340" w15:restartNumberingAfterBreak="0">
    <w:nsid w:val="649D24CD"/>
    <w:multiLevelType w:val="multilevel"/>
    <w:tmpl w:val="F7AACC5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1" w15:restartNumberingAfterBreak="0">
    <w:nsid w:val="65146D2E"/>
    <w:multiLevelType w:val="multilevel"/>
    <w:tmpl w:val="BE08DC3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2" w15:restartNumberingAfterBreak="0">
    <w:nsid w:val="654F58D2"/>
    <w:multiLevelType w:val="multilevel"/>
    <w:tmpl w:val="4D82D2C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3" w15:restartNumberingAfterBreak="0">
    <w:nsid w:val="65BA619C"/>
    <w:multiLevelType w:val="multilevel"/>
    <w:tmpl w:val="ED1A951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4" w15:restartNumberingAfterBreak="0">
    <w:nsid w:val="65FE01E8"/>
    <w:multiLevelType w:val="multilevel"/>
    <w:tmpl w:val="8E6EB716"/>
    <w:lvl w:ilvl="0">
      <w:start w:val="1"/>
      <w:numFmt w:val="lowerLetter"/>
      <w:lvlText w:val="%1."/>
      <w:lvlJc w:val="left"/>
      <w:pPr>
        <w:ind w:left="1446" w:hanging="360"/>
      </w:pPr>
    </w:lvl>
    <w:lvl w:ilvl="1">
      <w:start w:val="1"/>
      <w:numFmt w:val="lowerLetter"/>
      <w:lvlText w:val="%2."/>
      <w:lvlJc w:val="left"/>
      <w:pPr>
        <w:ind w:left="2166" w:hanging="360"/>
      </w:pPr>
    </w:lvl>
    <w:lvl w:ilvl="2">
      <w:start w:val="1"/>
      <w:numFmt w:val="lowerRoman"/>
      <w:lvlText w:val="%3."/>
      <w:lvlJc w:val="right"/>
      <w:pPr>
        <w:ind w:left="2886" w:hanging="180"/>
      </w:pPr>
    </w:lvl>
    <w:lvl w:ilvl="3">
      <w:start w:val="1"/>
      <w:numFmt w:val="decimal"/>
      <w:lvlText w:val="%4."/>
      <w:lvlJc w:val="left"/>
      <w:pPr>
        <w:ind w:left="3606" w:hanging="360"/>
      </w:pPr>
    </w:lvl>
    <w:lvl w:ilvl="4">
      <w:start w:val="1"/>
      <w:numFmt w:val="lowerLetter"/>
      <w:lvlText w:val="%5."/>
      <w:lvlJc w:val="left"/>
      <w:pPr>
        <w:ind w:left="4326" w:hanging="360"/>
      </w:pPr>
    </w:lvl>
    <w:lvl w:ilvl="5">
      <w:start w:val="1"/>
      <w:numFmt w:val="lowerRoman"/>
      <w:lvlText w:val="%6."/>
      <w:lvlJc w:val="right"/>
      <w:pPr>
        <w:ind w:left="5046" w:hanging="180"/>
      </w:pPr>
    </w:lvl>
    <w:lvl w:ilvl="6">
      <w:start w:val="1"/>
      <w:numFmt w:val="decimal"/>
      <w:lvlText w:val="%7."/>
      <w:lvlJc w:val="left"/>
      <w:pPr>
        <w:ind w:left="5766" w:hanging="360"/>
      </w:pPr>
    </w:lvl>
    <w:lvl w:ilvl="7">
      <w:start w:val="1"/>
      <w:numFmt w:val="lowerLetter"/>
      <w:lvlText w:val="%8."/>
      <w:lvlJc w:val="left"/>
      <w:pPr>
        <w:ind w:left="6486" w:hanging="360"/>
      </w:pPr>
    </w:lvl>
    <w:lvl w:ilvl="8">
      <w:start w:val="1"/>
      <w:numFmt w:val="lowerRoman"/>
      <w:lvlText w:val="%9."/>
      <w:lvlJc w:val="right"/>
      <w:pPr>
        <w:ind w:left="7206" w:hanging="180"/>
      </w:pPr>
    </w:lvl>
  </w:abstractNum>
  <w:abstractNum w:abstractNumId="345" w15:restartNumberingAfterBreak="0">
    <w:nsid w:val="66075F13"/>
    <w:multiLevelType w:val="multilevel"/>
    <w:tmpl w:val="456810AE"/>
    <w:lvl w:ilvl="0">
      <w:start w:val="1"/>
      <w:numFmt w:val="decimal"/>
      <w:lvlText w:val="%1."/>
      <w:lvlJc w:val="left"/>
      <w:pPr>
        <w:ind w:left="720" w:hanging="360"/>
      </w:pPr>
      <w:rPr>
        <w:rFonts w:eastAsiaTheme="minorEastAsia" w:hint="default"/>
        <w:b w:val="0"/>
        <w:color w:val="auto"/>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6" w15:restartNumberingAfterBreak="0">
    <w:nsid w:val="66687B65"/>
    <w:multiLevelType w:val="multilevel"/>
    <w:tmpl w:val="52563E78"/>
    <w:lvl w:ilvl="0">
      <w:start w:val="1"/>
      <w:numFmt w:val="decimal"/>
      <w:lvlText w:val="%1."/>
      <w:lvlJc w:val="left"/>
      <w:pPr>
        <w:ind w:left="720" w:hanging="360"/>
      </w:pPr>
      <w:rPr>
        <w:rFonts w:asciiTheme="majorHAnsi" w:hAnsiTheme="majorHAnsi" w:hint="default"/>
        <w:b/>
        <w:bCs/>
        <w:color w:val="00AC4E" w:themeColor="accent1"/>
        <w:position w:val="-2"/>
        <w:sz w:val="28"/>
        <w:szCs w:val="28"/>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47" w15:restartNumberingAfterBreak="0">
    <w:nsid w:val="66B6194D"/>
    <w:multiLevelType w:val="multilevel"/>
    <w:tmpl w:val="CB2268FE"/>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348" w15:restartNumberingAfterBreak="0">
    <w:nsid w:val="66FB660E"/>
    <w:multiLevelType w:val="multilevel"/>
    <w:tmpl w:val="E81C2F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9" w15:restartNumberingAfterBreak="0">
    <w:nsid w:val="67753AAA"/>
    <w:multiLevelType w:val="multilevel"/>
    <w:tmpl w:val="84BC8144"/>
    <w:lvl w:ilvl="0">
      <w:start w:val="1"/>
      <w:numFmt w:val="bullet"/>
      <w:lvlText w:val="•"/>
      <w:lvlJc w:val="left"/>
      <w:pPr>
        <w:tabs>
          <w:tab w:val="num" w:pos="720"/>
        </w:tabs>
        <w:ind w:left="720" w:hanging="360"/>
      </w:pPr>
      <w:rPr>
        <w:rFonts w:ascii="Arial" w:hAnsi="Arial" w:hint="default"/>
      </w:rPr>
    </w:lvl>
    <w:lvl w:ilvl="1">
      <w:start w:val="1"/>
      <w:numFmt w:val="bullet"/>
      <w:lvlText w:val="•"/>
      <w:lvlJc w:val="left"/>
      <w:pPr>
        <w:tabs>
          <w:tab w:val="num" w:pos="1440"/>
        </w:tabs>
        <w:ind w:left="1440" w:hanging="360"/>
      </w:pPr>
      <w:rPr>
        <w:rFonts w:ascii="Arial" w:hAnsi="Arial" w:hint="default"/>
      </w:rPr>
    </w:lvl>
    <w:lvl w:ilvl="2">
      <w:start w:val="1"/>
      <w:numFmt w:val="bullet"/>
      <w:lvlText w:val="•"/>
      <w:lvlJc w:val="left"/>
      <w:pPr>
        <w:tabs>
          <w:tab w:val="num" w:pos="2160"/>
        </w:tabs>
        <w:ind w:left="2160" w:hanging="360"/>
      </w:pPr>
      <w:rPr>
        <w:rFonts w:ascii="Arial" w:hAnsi="Arial" w:hint="default"/>
      </w:rPr>
    </w:lvl>
    <w:lvl w:ilvl="3">
      <w:start w:val="1"/>
      <w:numFmt w:val="bullet"/>
      <w:lvlText w:val="•"/>
      <w:lvlJc w:val="left"/>
      <w:pPr>
        <w:tabs>
          <w:tab w:val="num" w:pos="2880"/>
        </w:tabs>
        <w:ind w:left="2880" w:hanging="360"/>
      </w:pPr>
      <w:rPr>
        <w:rFonts w:ascii="Arial" w:hAnsi="Arial" w:hint="default"/>
      </w:rPr>
    </w:lvl>
    <w:lvl w:ilvl="4">
      <w:start w:val="1"/>
      <w:numFmt w:val="bullet"/>
      <w:lvlText w:val="•"/>
      <w:lvlJc w:val="left"/>
      <w:pPr>
        <w:tabs>
          <w:tab w:val="num" w:pos="3600"/>
        </w:tabs>
        <w:ind w:left="3600" w:hanging="360"/>
      </w:pPr>
      <w:rPr>
        <w:rFonts w:ascii="Arial" w:hAnsi="Arial" w:hint="default"/>
      </w:rPr>
    </w:lvl>
    <w:lvl w:ilvl="5">
      <w:start w:val="1"/>
      <w:numFmt w:val="bullet"/>
      <w:lvlText w:val="•"/>
      <w:lvlJc w:val="left"/>
      <w:pPr>
        <w:tabs>
          <w:tab w:val="num" w:pos="4320"/>
        </w:tabs>
        <w:ind w:left="4320" w:hanging="360"/>
      </w:pPr>
      <w:rPr>
        <w:rFonts w:ascii="Arial" w:hAnsi="Arial" w:hint="default"/>
      </w:rPr>
    </w:lvl>
    <w:lvl w:ilvl="6">
      <w:start w:val="1"/>
      <w:numFmt w:val="bullet"/>
      <w:lvlText w:val="•"/>
      <w:lvlJc w:val="left"/>
      <w:pPr>
        <w:tabs>
          <w:tab w:val="num" w:pos="5040"/>
        </w:tabs>
        <w:ind w:left="5040" w:hanging="360"/>
      </w:pPr>
      <w:rPr>
        <w:rFonts w:ascii="Arial" w:hAnsi="Arial" w:hint="default"/>
      </w:rPr>
    </w:lvl>
    <w:lvl w:ilvl="7">
      <w:start w:val="1"/>
      <w:numFmt w:val="bullet"/>
      <w:lvlText w:val="•"/>
      <w:lvlJc w:val="left"/>
      <w:pPr>
        <w:tabs>
          <w:tab w:val="num" w:pos="5760"/>
        </w:tabs>
        <w:ind w:left="5760" w:hanging="360"/>
      </w:pPr>
      <w:rPr>
        <w:rFonts w:ascii="Arial" w:hAnsi="Arial" w:hint="default"/>
      </w:rPr>
    </w:lvl>
    <w:lvl w:ilvl="8">
      <w:start w:val="1"/>
      <w:numFmt w:val="bullet"/>
      <w:lvlText w:val="•"/>
      <w:lvlJc w:val="left"/>
      <w:pPr>
        <w:tabs>
          <w:tab w:val="num" w:pos="6480"/>
        </w:tabs>
        <w:ind w:left="6480" w:hanging="360"/>
      </w:pPr>
      <w:rPr>
        <w:rFonts w:ascii="Arial" w:hAnsi="Arial" w:hint="default"/>
      </w:rPr>
    </w:lvl>
  </w:abstractNum>
  <w:abstractNum w:abstractNumId="350" w15:restartNumberingAfterBreak="0">
    <w:nsid w:val="679B04D9"/>
    <w:multiLevelType w:val="hybridMultilevel"/>
    <w:tmpl w:val="77405ABC"/>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1" w15:restartNumberingAfterBreak="0">
    <w:nsid w:val="67CD5FF7"/>
    <w:multiLevelType w:val="hybridMultilevel"/>
    <w:tmpl w:val="B9600AF2"/>
    <w:lvl w:ilvl="0" w:tplc="041A0017">
      <w:start w:val="1"/>
      <w:numFmt w:val="lowerLetter"/>
      <w:lvlText w:val="%1)"/>
      <w:lvlJc w:val="left"/>
      <w:pPr>
        <w:ind w:left="720" w:hanging="360"/>
      </w:pPr>
    </w:lvl>
    <w:lvl w:ilvl="1" w:tplc="FFFFFFFF">
      <w:start w:val="1"/>
      <w:numFmt w:val="lowerLetter"/>
      <w:lvlText w:val="%2)"/>
      <w:lvlJc w:val="left"/>
      <w:pPr>
        <w:ind w:left="1440" w:hanging="360"/>
      </w:pPr>
      <w:rPr>
        <w:rFonts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2" w15:restartNumberingAfterBreak="0">
    <w:nsid w:val="69036A59"/>
    <w:multiLevelType w:val="multilevel"/>
    <w:tmpl w:val="730C09E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3" w15:restartNumberingAfterBreak="0">
    <w:nsid w:val="695F1C49"/>
    <w:multiLevelType w:val="hybridMultilevel"/>
    <w:tmpl w:val="0FBCDFE2"/>
    <w:lvl w:ilvl="0" w:tplc="041A0017">
      <w:start w:val="1"/>
      <w:numFmt w:val="lowerLetter"/>
      <w:lvlText w:val="%1)"/>
      <w:lvlJc w:val="left"/>
      <w:pPr>
        <w:ind w:left="720" w:hanging="360"/>
      </w:pPr>
    </w:lvl>
    <w:lvl w:ilvl="1" w:tplc="FFFFFFFF">
      <w:start w:val="1"/>
      <w:numFmt w:val="upp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4" w15:restartNumberingAfterBreak="0">
    <w:nsid w:val="69D31CF4"/>
    <w:multiLevelType w:val="multilevel"/>
    <w:tmpl w:val="826CFD0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55" w15:restartNumberingAfterBreak="0">
    <w:nsid w:val="69D56582"/>
    <w:multiLevelType w:val="multilevel"/>
    <w:tmpl w:val="DAF695A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6" w15:restartNumberingAfterBreak="0">
    <w:nsid w:val="69E71965"/>
    <w:multiLevelType w:val="multilevel"/>
    <w:tmpl w:val="041A9248"/>
    <w:lvl w:ilvl="0">
      <w:start w:val="3"/>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57" w15:restartNumberingAfterBreak="0">
    <w:nsid w:val="69EC4125"/>
    <w:multiLevelType w:val="multilevel"/>
    <w:tmpl w:val="E702CD3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8" w15:restartNumberingAfterBreak="0">
    <w:nsid w:val="6A731141"/>
    <w:multiLevelType w:val="hybridMultilevel"/>
    <w:tmpl w:val="5B0EC33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9" w15:restartNumberingAfterBreak="0">
    <w:nsid w:val="6AB74215"/>
    <w:multiLevelType w:val="multilevel"/>
    <w:tmpl w:val="DAB4EF52"/>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360" w15:restartNumberingAfterBreak="0">
    <w:nsid w:val="6AB906E4"/>
    <w:multiLevelType w:val="hybridMultilevel"/>
    <w:tmpl w:val="481252F4"/>
    <w:lvl w:ilvl="0" w:tplc="041A0017">
      <w:start w:val="1"/>
      <w:numFmt w:val="lowerLetter"/>
      <w:lvlText w:val="%1)"/>
      <w:lvlJc w:val="left"/>
      <w:pPr>
        <w:ind w:left="720" w:hanging="360"/>
      </w:pPr>
    </w:lvl>
    <w:lvl w:ilvl="1" w:tplc="FFFFFFFF">
      <w:start w:val="1"/>
      <w:numFmt w:val="lowerLetter"/>
      <w:lvlText w:val="%2)"/>
      <w:lvlJc w:val="left"/>
      <w:pPr>
        <w:ind w:left="1440" w:hanging="360"/>
      </w:pPr>
      <w:rPr>
        <w:rFonts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1" w15:restartNumberingAfterBreak="0">
    <w:nsid w:val="6AD9637C"/>
    <w:multiLevelType w:val="multilevel"/>
    <w:tmpl w:val="3440DCA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2" w15:restartNumberingAfterBreak="0">
    <w:nsid w:val="6AEA61E0"/>
    <w:multiLevelType w:val="hybridMultilevel"/>
    <w:tmpl w:val="4A9A4B0C"/>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63" w15:restartNumberingAfterBreak="0">
    <w:nsid w:val="6AEC34BF"/>
    <w:multiLevelType w:val="hybridMultilevel"/>
    <w:tmpl w:val="6BC03060"/>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64" w15:restartNumberingAfterBreak="0">
    <w:nsid w:val="6B130CF8"/>
    <w:multiLevelType w:val="multilevel"/>
    <w:tmpl w:val="677A3986"/>
    <w:lvl w:ilvl="0">
      <w:start w:val="1"/>
      <w:numFmt w:val="lowerLetter"/>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65" w15:restartNumberingAfterBreak="0">
    <w:nsid w:val="6B1C662B"/>
    <w:multiLevelType w:val="hybridMultilevel"/>
    <w:tmpl w:val="8C507554"/>
    <w:lvl w:ilvl="0" w:tplc="B86454F4">
      <w:start w:val="1"/>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6" w15:restartNumberingAfterBreak="0">
    <w:nsid w:val="6B754711"/>
    <w:multiLevelType w:val="multilevel"/>
    <w:tmpl w:val="A4BAF2F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7" w15:restartNumberingAfterBreak="0">
    <w:nsid w:val="6B835389"/>
    <w:multiLevelType w:val="hybridMultilevel"/>
    <w:tmpl w:val="F434FF0A"/>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68" w15:restartNumberingAfterBreak="0">
    <w:nsid w:val="6B9638B7"/>
    <w:multiLevelType w:val="multilevel"/>
    <w:tmpl w:val="E6BEA88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9" w15:restartNumberingAfterBreak="0">
    <w:nsid w:val="6C53760B"/>
    <w:multiLevelType w:val="multilevel"/>
    <w:tmpl w:val="9C725D9A"/>
    <w:lvl w:ilvl="0">
      <w:start w:val="1"/>
      <w:numFmt w:val="decimal"/>
      <w:lvlText w:val="%1."/>
      <w:lvlJc w:val="right"/>
      <w:pPr>
        <w:ind w:left="709" w:hanging="360"/>
      </w:pPr>
      <w:rPr>
        <w:rFonts w:ascii="Arial" w:eastAsia="Arial" w:hAnsi="Arial" w:cs="Arial"/>
        <w:color w:val="000000"/>
        <w:sz w:val="21"/>
      </w:rPr>
    </w:lvl>
    <w:lvl w:ilvl="1">
      <w:start w:val="1"/>
      <w:numFmt w:val="decimal"/>
      <w:lvlText w:val="%2."/>
      <w:lvlJc w:val="right"/>
      <w:pPr>
        <w:ind w:left="1429" w:hanging="360"/>
      </w:pPr>
    </w:lvl>
    <w:lvl w:ilvl="2">
      <w:start w:val="1"/>
      <w:numFmt w:val="decimal"/>
      <w:lvlText w:val="%3."/>
      <w:lvlJc w:val="right"/>
      <w:pPr>
        <w:ind w:left="2149" w:hanging="180"/>
      </w:pPr>
    </w:lvl>
    <w:lvl w:ilvl="3">
      <w:start w:val="1"/>
      <w:numFmt w:val="decimal"/>
      <w:lvlText w:val="%4."/>
      <w:lvlJc w:val="right"/>
      <w:pPr>
        <w:ind w:left="2869" w:hanging="360"/>
      </w:pPr>
    </w:lvl>
    <w:lvl w:ilvl="4">
      <w:start w:val="1"/>
      <w:numFmt w:val="decimal"/>
      <w:lvlText w:val="%5."/>
      <w:lvlJc w:val="right"/>
      <w:pPr>
        <w:ind w:left="3589" w:hanging="360"/>
      </w:pPr>
    </w:lvl>
    <w:lvl w:ilvl="5">
      <w:start w:val="1"/>
      <w:numFmt w:val="decimal"/>
      <w:lvlText w:val="%6."/>
      <w:lvlJc w:val="right"/>
      <w:pPr>
        <w:ind w:left="4309" w:hanging="180"/>
      </w:pPr>
    </w:lvl>
    <w:lvl w:ilvl="6">
      <w:start w:val="1"/>
      <w:numFmt w:val="decimal"/>
      <w:lvlText w:val="%7."/>
      <w:lvlJc w:val="right"/>
      <w:pPr>
        <w:ind w:left="5029" w:hanging="360"/>
      </w:pPr>
    </w:lvl>
    <w:lvl w:ilvl="7">
      <w:start w:val="1"/>
      <w:numFmt w:val="decimal"/>
      <w:lvlText w:val="%8."/>
      <w:lvlJc w:val="right"/>
      <w:pPr>
        <w:ind w:left="5749" w:hanging="360"/>
      </w:pPr>
    </w:lvl>
    <w:lvl w:ilvl="8">
      <w:start w:val="1"/>
      <w:numFmt w:val="decimal"/>
      <w:lvlText w:val="%9."/>
      <w:lvlJc w:val="right"/>
      <w:pPr>
        <w:ind w:left="6469" w:hanging="180"/>
      </w:pPr>
    </w:lvl>
  </w:abstractNum>
  <w:abstractNum w:abstractNumId="370" w15:restartNumberingAfterBreak="0">
    <w:nsid w:val="6C60600B"/>
    <w:multiLevelType w:val="hybridMultilevel"/>
    <w:tmpl w:val="C346CA36"/>
    <w:lvl w:ilvl="0" w:tplc="041A0017">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1" w15:restartNumberingAfterBreak="0">
    <w:nsid w:val="6C9608B7"/>
    <w:multiLevelType w:val="multilevel"/>
    <w:tmpl w:val="0DA851B8"/>
    <w:lvl w:ilvl="0">
      <w:start w:val="1"/>
      <w:numFmt w:val="none"/>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72" w15:restartNumberingAfterBreak="0">
    <w:nsid w:val="6CB81084"/>
    <w:multiLevelType w:val="hybridMultilevel"/>
    <w:tmpl w:val="AFE20042"/>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73" w15:restartNumberingAfterBreak="0">
    <w:nsid w:val="6D01075A"/>
    <w:multiLevelType w:val="multilevel"/>
    <w:tmpl w:val="6A98A02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4" w15:restartNumberingAfterBreak="0">
    <w:nsid w:val="6D4C3F3F"/>
    <w:multiLevelType w:val="multilevel"/>
    <w:tmpl w:val="40EC059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5" w15:restartNumberingAfterBreak="0">
    <w:nsid w:val="6E917A62"/>
    <w:multiLevelType w:val="multilevel"/>
    <w:tmpl w:val="B19AE34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6" w15:restartNumberingAfterBreak="0">
    <w:nsid w:val="6ED36AF0"/>
    <w:multiLevelType w:val="multilevel"/>
    <w:tmpl w:val="A400443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7" w15:restartNumberingAfterBreak="0">
    <w:nsid w:val="6EF16702"/>
    <w:multiLevelType w:val="multilevel"/>
    <w:tmpl w:val="FFB8027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8" w15:restartNumberingAfterBreak="0">
    <w:nsid w:val="6F1D083F"/>
    <w:multiLevelType w:val="multilevel"/>
    <w:tmpl w:val="0F90611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9" w15:restartNumberingAfterBreak="0">
    <w:nsid w:val="6FA73995"/>
    <w:multiLevelType w:val="multilevel"/>
    <w:tmpl w:val="9E02219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0" w15:restartNumberingAfterBreak="0">
    <w:nsid w:val="6FB953A4"/>
    <w:multiLevelType w:val="multilevel"/>
    <w:tmpl w:val="0192809E"/>
    <w:lvl w:ilvl="0">
      <w:start w:val="1"/>
      <w:numFmt w:val="bullet"/>
      <w:lvlText w:val="·"/>
      <w:lvlJc w:val="left"/>
      <w:pPr>
        <w:ind w:left="709" w:hanging="360"/>
      </w:pPr>
      <w:rPr>
        <w:rFonts w:ascii="Symbol" w:eastAsia="Symbol" w:hAnsi="Symbol" w:cs="Symbol" w:hint="default"/>
        <w:color w:val="5F6368"/>
        <w:spacing w:val="3"/>
        <w:sz w:val="21"/>
      </w:rPr>
    </w:lvl>
    <w:lvl w:ilvl="1">
      <w:start w:val="1"/>
      <w:numFmt w:val="bullet"/>
      <w:lvlText w:val="·"/>
      <w:lvlJc w:val="left"/>
      <w:pPr>
        <w:ind w:left="1429" w:hanging="360"/>
      </w:pPr>
      <w:rPr>
        <w:rFonts w:ascii="Symbol" w:eastAsia="Symbol" w:hAnsi="Symbol" w:cs="Symbol" w:hint="default"/>
        <w:color w:val="5F6368"/>
        <w:spacing w:val="3"/>
        <w:sz w:val="21"/>
      </w:rPr>
    </w:lvl>
    <w:lvl w:ilvl="2">
      <w:start w:val="1"/>
      <w:numFmt w:val="bullet"/>
      <w:lvlText w:val="·"/>
      <w:lvlJc w:val="left"/>
      <w:pPr>
        <w:ind w:left="2149" w:hanging="360"/>
      </w:pPr>
      <w:rPr>
        <w:rFonts w:ascii="Symbol" w:eastAsia="Symbol" w:hAnsi="Symbol" w:cs="Symbol" w:hint="default"/>
        <w:color w:val="5F6368"/>
        <w:spacing w:val="3"/>
        <w:sz w:val="21"/>
      </w:rPr>
    </w:lvl>
    <w:lvl w:ilvl="3">
      <w:start w:val="1"/>
      <w:numFmt w:val="bullet"/>
      <w:lvlText w:val="·"/>
      <w:lvlJc w:val="left"/>
      <w:pPr>
        <w:ind w:left="2869" w:hanging="360"/>
      </w:pPr>
      <w:rPr>
        <w:rFonts w:ascii="Symbol" w:eastAsia="Symbol" w:hAnsi="Symbol" w:cs="Symbol" w:hint="default"/>
        <w:color w:val="5F6368"/>
        <w:spacing w:val="3"/>
        <w:sz w:val="21"/>
      </w:rPr>
    </w:lvl>
    <w:lvl w:ilvl="4">
      <w:start w:val="1"/>
      <w:numFmt w:val="bullet"/>
      <w:lvlText w:val="·"/>
      <w:lvlJc w:val="left"/>
      <w:pPr>
        <w:ind w:left="3589" w:hanging="360"/>
      </w:pPr>
      <w:rPr>
        <w:rFonts w:ascii="Symbol" w:eastAsia="Symbol" w:hAnsi="Symbol" w:cs="Symbol" w:hint="default"/>
        <w:color w:val="5F6368"/>
        <w:spacing w:val="3"/>
        <w:sz w:val="21"/>
      </w:rPr>
    </w:lvl>
    <w:lvl w:ilvl="5">
      <w:start w:val="1"/>
      <w:numFmt w:val="bullet"/>
      <w:lvlText w:val="·"/>
      <w:lvlJc w:val="left"/>
      <w:pPr>
        <w:ind w:left="4309" w:hanging="360"/>
      </w:pPr>
      <w:rPr>
        <w:rFonts w:ascii="Symbol" w:eastAsia="Symbol" w:hAnsi="Symbol" w:cs="Symbol" w:hint="default"/>
        <w:color w:val="5F6368"/>
        <w:spacing w:val="3"/>
        <w:sz w:val="21"/>
      </w:rPr>
    </w:lvl>
    <w:lvl w:ilvl="6">
      <w:start w:val="1"/>
      <w:numFmt w:val="bullet"/>
      <w:lvlText w:val="·"/>
      <w:lvlJc w:val="left"/>
      <w:pPr>
        <w:ind w:left="5029" w:hanging="360"/>
      </w:pPr>
      <w:rPr>
        <w:rFonts w:ascii="Symbol" w:eastAsia="Symbol" w:hAnsi="Symbol" w:cs="Symbol" w:hint="default"/>
        <w:color w:val="5F6368"/>
        <w:spacing w:val="3"/>
        <w:sz w:val="21"/>
      </w:rPr>
    </w:lvl>
    <w:lvl w:ilvl="7">
      <w:start w:val="1"/>
      <w:numFmt w:val="bullet"/>
      <w:lvlText w:val="·"/>
      <w:lvlJc w:val="left"/>
      <w:pPr>
        <w:ind w:left="5749" w:hanging="360"/>
      </w:pPr>
      <w:rPr>
        <w:rFonts w:ascii="Symbol" w:eastAsia="Symbol" w:hAnsi="Symbol" w:cs="Symbol" w:hint="default"/>
        <w:color w:val="5F6368"/>
        <w:spacing w:val="3"/>
        <w:sz w:val="21"/>
      </w:rPr>
    </w:lvl>
    <w:lvl w:ilvl="8">
      <w:start w:val="1"/>
      <w:numFmt w:val="bullet"/>
      <w:lvlText w:val="·"/>
      <w:lvlJc w:val="left"/>
      <w:pPr>
        <w:ind w:left="6469" w:hanging="360"/>
      </w:pPr>
      <w:rPr>
        <w:rFonts w:ascii="Symbol" w:eastAsia="Symbol" w:hAnsi="Symbol" w:cs="Symbol" w:hint="default"/>
        <w:color w:val="5F6368"/>
        <w:spacing w:val="3"/>
        <w:sz w:val="21"/>
      </w:rPr>
    </w:lvl>
  </w:abstractNum>
  <w:abstractNum w:abstractNumId="381" w15:restartNumberingAfterBreak="0">
    <w:nsid w:val="6FC47009"/>
    <w:multiLevelType w:val="multilevel"/>
    <w:tmpl w:val="C66A7B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2" w15:restartNumberingAfterBreak="0">
    <w:nsid w:val="70855E6A"/>
    <w:multiLevelType w:val="multilevel"/>
    <w:tmpl w:val="CC3C954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3" w15:restartNumberingAfterBreak="0">
    <w:nsid w:val="70897CDB"/>
    <w:multiLevelType w:val="hybridMultilevel"/>
    <w:tmpl w:val="6CAA3A8E"/>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84" w15:restartNumberingAfterBreak="0">
    <w:nsid w:val="70F36497"/>
    <w:multiLevelType w:val="multilevel"/>
    <w:tmpl w:val="26DE7D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5" w15:restartNumberingAfterBreak="0">
    <w:nsid w:val="71291144"/>
    <w:multiLevelType w:val="multilevel"/>
    <w:tmpl w:val="D1A8951C"/>
    <w:lvl w:ilvl="0">
      <w:start w:val="1"/>
      <w:numFmt w:val="decimal"/>
      <w:lvlText w:val="%1."/>
      <w:lvlJc w:val="left"/>
      <w:pPr>
        <w:ind w:left="720" w:hanging="360"/>
      </w:pPr>
      <w:rPr>
        <w:rFonts w:hint="default"/>
        <w:b/>
        <w:bCs w:val="0"/>
        <w:color w:val="009889" w:themeColor="accent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6" w15:restartNumberingAfterBreak="0">
    <w:nsid w:val="71517E65"/>
    <w:multiLevelType w:val="multilevel"/>
    <w:tmpl w:val="8070CD5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7" w15:restartNumberingAfterBreak="0">
    <w:nsid w:val="71FA55D1"/>
    <w:multiLevelType w:val="multilevel"/>
    <w:tmpl w:val="D970174A"/>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88" w15:restartNumberingAfterBreak="0">
    <w:nsid w:val="72002E96"/>
    <w:multiLevelType w:val="multilevel"/>
    <w:tmpl w:val="F0AEFCD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9" w15:restartNumberingAfterBreak="0">
    <w:nsid w:val="73060B19"/>
    <w:multiLevelType w:val="hybridMultilevel"/>
    <w:tmpl w:val="FE4E88AC"/>
    <w:lvl w:ilvl="0" w:tplc="041A0017">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0" w15:restartNumberingAfterBreak="0">
    <w:nsid w:val="73500D4E"/>
    <w:multiLevelType w:val="hybridMultilevel"/>
    <w:tmpl w:val="3664058A"/>
    <w:lvl w:ilvl="0" w:tplc="F72AA0D0">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91" w15:restartNumberingAfterBreak="0">
    <w:nsid w:val="73AB32EB"/>
    <w:multiLevelType w:val="multilevel"/>
    <w:tmpl w:val="7A7A2F5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2" w15:restartNumberingAfterBreak="0">
    <w:nsid w:val="73F5449A"/>
    <w:multiLevelType w:val="multilevel"/>
    <w:tmpl w:val="34AE485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3" w15:restartNumberingAfterBreak="0">
    <w:nsid w:val="74E41ED7"/>
    <w:multiLevelType w:val="multilevel"/>
    <w:tmpl w:val="887435A0"/>
    <w:lvl w:ilvl="0">
      <w:start w:val="1"/>
      <w:numFmt w:val="bullet"/>
      <w:lvlText w:val=""/>
      <w:lvlJc w:val="left"/>
      <w:pPr>
        <w:ind w:left="720" w:hanging="360"/>
      </w:pPr>
      <w:rPr>
        <w:rFonts w:ascii="Symbol" w:hAnsi="Symbol" w:hint="default"/>
        <w:color w:val="00AC4E" w:themeColor="accent1"/>
        <w:position w:val="-6"/>
        <w:sz w:val="30"/>
        <w:szCs w:val="3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4" w15:restartNumberingAfterBreak="0">
    <w:nsid w:val="75127E99"/>
    <w:multiLevelType w:val="multilevel"/>
    <w:tmpl w:val="F13E7F8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5" w15:restartNumberingAfterBreak="0">
    <w:nsid w:val="75BE3E18"/>
    <w:multiLevelType w:val="hybridMultilevel"/>
    <w:tmpl w:val="DA7C3FEE"/>
    <w:lvl w:ilvl="0" w:tplc="B86454F4">
      <w:start w:val="1"/>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6" w15:restartNumberingAfterBreak="0">
    <w:nsid w:val="7653187F"/>
    <w:multiLevelType w:val="hybridMultilevel"/>
    <w:tmpl w:val="948EB434"/>
    <w:lvl w:ilvl="0" w:tplc="F72AA0D0">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97" w15:restartNumberingAfterBreak="0">
    <w:nsid w:val="767D738C"/>
    <w:multiLevelType w:val="multilevel"/>
    <w:tmpl w:val="2B9C47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8" w15:restartNumberingAfterBreak="0">
    <w:nsid w:val="76805AED"/>
    <w:multiLevelType w:val="multilevel"/>
    <w:tmpl w:val="1F94CD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9" w15:restartNumberingAfterBreak="0">
    <w:nsid w:val="76D64205"/>
    <w:multiLevelType w:val="multilevel"/>
    <w:tmpl w:val="D47C148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0" w15:restartNumberingAfterBreak="0">
    <w:nsid w:val="76E6255E"/>
    <w:multiLevelType w:val="multilevel"/>
    <w:tmpl w:val="71146F9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1" w15:restartNumberingAfterBreak="0">
    <w:nsid w:val="77511E7C"/>
    <w:multiLevelType w:val="multilevel"/>
    <w:tmpl w:val="6D781C68"/>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2" w15:restartNumberingAfterBreak="0">
    <w:nsid w:val="776531C5"/>
    <w:multiLevelType w:val="multilevel"/>
    <w:tmpl w:val="54CEECBE"/>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03" w15:restartNumberingAfterBreak="0">
    <w:nsid w:val="777C3399"/>
    <w:multiLevelType w:val="multilevel"/>
    <w:tmpl w:val="5EF4230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4" w15:restartNumberingAfterBreak="0">
    <w:nsid w:val="77886061"/>
    <w:multiLevelType w:val="hybridMultilevel"/>
    <w:tmpl w:val="8DAEE94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05" w15:restartNumberingAfterBreak="0">
    <w:nsid w:val="77CD55C5"/>
    <w:multiLevelType w:val="multilevel"/>
    <w:tmpl w:val="47C49B3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6" w15:restartNumberingAfterBreak="0">
    <w:nsid w:val="784D6CBB"/>
    <w:multiLevelType w:val="multilevel"/>
    <w:tmpl w:val="27984B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7" w15:restartNumberingAfterBreak="0">
    <w:nsid w:val="791919C1"/>
    <w:multiLevelType w:val="multilevel"/>
    <w:tmpl w:val="7918FAD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8" w15:restartNumberingAfterBreak="0">
    <w:nsid w:val="793E04BD"/>
    <w:multiLevelType w:val="multilevel"/>
    <w:tmpl w:val="EA40403C"/>
    <w:lvl w:ilvl="0">
      <w:start w:val="1"/>
      <w:numFmt w:val="decimal"/>
      <w:lvlText w:val="%1."/>
      <w:lvlJc w:val="left"/>
      <w:pPr>
        <w:ind w:left="720" w:hanging="360"/>
      </w:pPr>
      <w:rPr>
        <w:rFonts w:asciiTheme="majorHAnsi" w:hAnsiTheme="majorHAnsi" w:hint="default"/>
        <w:b/>
        <w:bCs/>
        <w:color w:val="00AC4E" w:themeColor="accent1"/>
        <w:position w:val="-2"/>
        <w:sz w:val="28"/>
        <w:szCs w:val="28"/>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09" w15:restartNumberingAfterBreak="0">
    <w:nsid w:val="79A633D7"/>
    <w:multiLevelType w:val="multilevel"/>
    <w:tmpl w:val="FC9EC14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0" w15:restartNumberingAfterBreak="0">
    <w:nsid w:val="79AD3077"/>
    <w:multiLevelType w:val="multilevel"/>
    <w:tmpl w:val="F13E7F8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1" w15:restartNumberingAfterBreak="0">
    <w:nsid w:val="79B61B94"/>
    <w:multiLevelType w:val="multilevel"/>
    <w:tmpl w:val="6B900D7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12" w15:restartNumberingAfterBreak="0">
    <w:nsid w:val="79ED53C2"/>
    <w:multiLevelType w:val="multilevel"/>
    <w:tmpl w:val="FB687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3" w15:restartNumberingAfterBreak="0">
    <w:nsid w:val="79F322FD"/>
    <w:multiLevelType w:val="multilevel"/>
    <w:tmpl w:val="FCF61720"/>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14" w15:restartNumberingAfterBreak="0">
    <w:nsid w:val="7A0903D5"/>
    <w:multiLevelType w:val="hybridMultilevel"/>
    <w:tmpl w:val="3D4E2736"/>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15" w15:restartNumberingAfterBreak="0">
    <w:nsid w:val="7A2479ED"/>
    <w:multiLevelType w:val="multilevel"/>
    <w:tmpl w:val="7354C2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6" w15:restartNumberingAfterBreak="0">
    <w:nsid w:val="7A4D2DD6"/>
    <w:multiLevelType w:val="multilevel"/>
    <w:tmpl w:val="3D4ABF2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7" w15:restartNumberingAfterBreak="0">
    <w:nsid w:val="7B1234D0"/>
    <w:multiLevelType w:val="multilevel"/>
    <w:tmpl w:val="9B1ABA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8" w15:restartNumberingAfterBreak="0">
    <w:nsid w:val="7B6C3CBC"/>
    <w:multiLevelType w:val="hybridMultilevel"/>
    <w:tmpl w:val="FB440B2A"/>
    <w:lvl w:ilvl="0" w:tplc="F72AA0D0">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19" w15:restartNumberingAfterBreak="0">
    <w:nsid w:val="7C174BFE"/>
    <w:multiLevelType w:val="multilevel"/>
    <w:tmpl w:val="0492BCA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0" w15:restartNumberingAfterBreak="0">
    <w:nsid w:val="7C191FB4"/>
    <w:multiLevelType w:val="multilevel"/>
    <w:tmpl w:val="041A9248"/>
    <w:lvl w:ilvl="0">
      <w:start w:val="5"/>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1" w15:restartNumberingAfterBreak="0">
    <w:nsid w:val="7D5631F4"/>
    <w:multiLevelType w:val="multilevel"/>
    <w:tmpl w:val="486230C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2" w15:restartNumberingAfterBreak="0">
    <w:nsid w:val="7D963CAC"/>
    <w:multiLevelType w:val="multilevel"/>
    <w:tmpl w:val="C86EB5E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3" w15:restartNumberingAfterBreak="0">
    <w:nsid w:val="7DA45498"/>
    <w:multiLevelType w:val="multilevel"/>
    <w:tmpl w:val="1A92D5C4"/>
    <w:lvl w:ilvl="0">
      <w:start w:val="7"/>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24" w15:restartNumberingAfterBreak="0">
    <w:nsid w:val="7DEC2BD4"/>
    <w:multiLevelType w:val="multilevel"/>
    <w:tmpl w:val="19926FA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5" w15:restartNumberingAfterBreak="0">
    <w:nsid w:val="7DF57E22"/>
    <w:multiLevelType w:val="hybridMultilevel"/>
    <w:tmpl w:val="105E62A0"/>
    <w:lvl w:ilvl="0" w:tplc="F72AA0D0">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26" w15:restartNumberingAfterBreak="0">
    <w:nsid w:val="7EBB2C23"/>
    <w:multiLevelType w:val="multilevel"/>
    <w:tmpl w:val="E1C0109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7" w15:restartNumberingAfterBreak="0">
    <w:nsid w:val="7EBC4DA8"/>
    <w:multiLevelType w:val="hybridMultilevel"/>
    <w:tmpl w:val="0F2A25EA"/>
    <w:lvl w:ilvl="0" w:tplc="F72AA0D0">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28" w15:restartNumberingAfterBreak="0">
    <w:nsid w:val="7ECD6575"/>
    <w:multiLevelType w:val="multilevel"/>
    <w:tmpl w:val="24FE69F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9" w15:restartNumberingAfterBreak="0">
    <w:nsid w:val="7F386322"/>
    <w:multiLevelType w:val="multilevel"/>
    <w:tmpl w:val="9E22F86C"/>
    <w:lvl w:ilvl="0">
      <w:start w:val="2"/>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0" w15:restartNumberingAfterBreak="0">
    <w:nsid w:val="7FBA51E1"/>
    <w:multiLevelType w:val="hybridMultilevel"/>
    <w:tmpl w:val="DFF65FAC"/>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31" w15:restartNumberingAfterBreak="0">
    <w:nsid w:val="7FD55805"/>
    <w:multiLevelType w:val="multilevel"/>
    <w:tmpl w:val="FA42605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959600933">
    <w:abstractNumId w:val="98"/>
  </w:num>
  <w:num w:numId="2" w16cid:durableId="16003596">
    <w:abstractNumId w:val="18"/>
  </w:num>
  <w:num w:numId="3" w16cid:durableId="1996759911">
    <w:abstractNumId w:val="161"/>
  </w:num>
  <w:num w:numId="4" w16cid:durableId="120075565">
    <w:abstractNumId w:val="206"/>
  </w:num>
  <w:num w:numId="5" w16cid:durableId="1753505790">
    <w:abstractNumId w:val="57"/>
  </w:num>
  <w:num w:numId="6" w16cid:durableId="1704087871">
    <w:abstractNumId w:val="247"/>
  </w:num>
  <w:num w:numId="7" w16cid:durableId="212355427">
    <w:abstractNumId w:val="290"/>
  </w:num>
  <w:num w:numId="8" w16cid:durableId="1288008892">
    <w:abstractNumId w:val="176"/>
  </w:num>
  <w:num w:numId="9" w16cid:durableId="337583353">
    <w:abstractNumId w:val="105"/>
  </w:num>
  <w:num w:numId="10" w16cid:durableId="723792900">
    <w:abstractNumId w:val="103"/>
  </w:num>
  <w:num w:numId="11" w16cid:durableId="1415859926">
    <w:abstractNumId w:val="401"/>
  </w:num>
  <w:num w:numId="12" w16cid:durableId="777138478">
    <w:abstractNumId w:val="379"/>
  </w:num>
  <w:num w:numId="13" w16cid:durableId="643513645">
    <w:abstractNumId w:val="393"/>
  </w:num>
  <w:num w:numId="14" w16cid:durableId="365906479">
    <w:abstractNumId w:val="203"/>
  </w:num>
  <w:num w:numId="15" w16cid:durableId="1768841075">
    <w:abstractNumId w:val="5"/>
  </w:num>
  <w:num w:numId="16" w16cid:durableId="815294735">
    <w:abstractNumId w:val="117"/>
  </w:num>
  <w:num w:numId="17" w16cid:durableId="2055539169">
    <w:abstractNumId w:val="0"/>
  </w:num>
  <w:num w:numId="18" w16cid:durableId="1864704813">
    <w:abstractNumId w:val="256"/>
  </w:num>
  <w:num w:numId="19" w16cid:durableId="680819826">
    <w:abstractNumId w:val="268"/>
  </w:num>
  <w:num w:numId="20" w16cid:durableId="486943786">
    <w:abstractNumId w:val="173"/>
  </w:num>
  <w:num w:numId="21" w16cid:durableId="1645430866">
    <w:abstractNumId w:val="411"/>
  </w:num>
  <w:num w:numId="22" w16cid:durableId="578176205">
    <w:abstractNumId w:val="204"/>
  </w:num>
  <w:num w:numId="23" w16cid:durableId="550927107">
    <w:abstractNumId w:val="91"/>
  </w:num>
  <w:num w:numId="24" w16cid:durableId="326129273">
    <w:abstractNumId w:val="271"/>
  </w:num>
  <w:num w:numId="25" w16cid:durableId="638462681">
    <w:abstractNumId w:val="143"/>
  </w:num>
  <w:num w:numId="26" w16cid:durableId="735857345">
    <w:abstractNumId w:val="38"/>
  </w:num>
  <w:num w:numId="27" w16cid:durableId="965038679">
    <w:abstractNumId w:val="112"/>
  </w:num>
  <w:num w:numId="28" w16cid:durableId="1678773671">
    <w:abstractNumId w:val="207"/>
  </w:num>
  <w:num w:numId="29" w16cid:durableId="1934052381">
    <w:abstractNumId w:val="345"/>
  </w:num>
  <w:num w:numId="30" w16cid:durableId="1653943823">
    <w:abstractNumId w:val="326"/>
  </w:num>
  <w:num w:numId="31" w16cid:durableId="1560358976">
    <w:abstractNumId w:val="198"/>
  </w:num>
  <w:num w:numId="32" w16cid:durableId="1584295722">
    <w:abstractNumId w:val="67"/>
  </w:num>
  <w:num w:numId="33" w16cid:durableId="1151754974">
    <w:abstractNumId w:val="149"/>
  </w:num>
  <w:num w:numId="34" w16cid:durableId="1642728543">
    <w:abstractNumId w:val="260"/>
  </w:num>
  <w:num w:numId="35" w16cid:durableId="340818638">
    <w:abstractNumId w:val="70"/>
  </w:num>
  <w:num w:numId="36" w16cid:durableId="529491672">
    <w:abstractNumId w:val="431"/>
  </w:num>
  <w:num w:numId="37" w16cid:durableId="1705327398">
    <w:abstractNumId w:val="331"/>
  </w:num>
  <w:num w:numId="38" w16cid:durableId="1453593059">
    <w:abstractNumId w:val="235"/>
  </w:num>
  <w:num w:numId="39" w16cid:durableId="1185174413">
    <w:abstractNumId w:val="184"/>
  </w:num>
  <w:num w:numId="40" w16cid:durableId="294869134">
    <w:abstractNumId w:val="88"/>
  </w:num>
  <w:num w:numId="41" w16cid:durableId="42873186">
    <w:abstractNumId w:val="93"/>
  </w:num>
  <w:num w:numId="42" w16cid:durableId="1872569384">
    <w:abstractNumId w:val="292"/>
  </w:num>
  <w:num w:numId="43" w16cid:durableId="1712266449">
    <w:abstractNumId w:val="336"/>
  </w:num>
  <w:num w:numId="44" w16cid:durableId="1927836594">
    <w:abstractNumId w:val="347"/>
  </w:num>
  <w:num w:numId="45" w16cid:durableId="209463822">
    <w:abstractNumId w:val="282"/>
  </w:num>
  <w:num w:numId="46" w16cid:durableId="1490946626">
    <w:abstractNumId w:val="76"/>
  </w:num>
  <w:num w:numId="47" w16cid:durableId="1146513889">
    <w:abstractNumId w:val="181"/>
  </w:num>
  <w:num w:numId="48" w16cid:durableId="1615212779">
    <w:abstractNumId w:val="258"/>
  </w:num>
  <w:num w:numId="49" w16cid:durableId="465851021">
    <w:abstractNumId w:val="359"/>
  </w:num>
  <w:num w:numId="50" w16cid:durableId="7561341">
    <w:abstractNumId w:val="369"/>
  </w:num>
  <w:num w:numId="51" w16cid:durableId="2127306206">
    <w:abstractNumId w:val="131"/>
  </w:num>
  <w:num w:numId="52" w16cid:durableId="326983514">
    <w:abstractNumId w:val="64"/>
  </w:num>
  <w:num w:numId="53" w16cid:durableId="918757904">
    <w:abstractNumId w:val="316"/>
  </w:num>
  <w:num w:numId="54" w16cid:durableId="522322945">
    <w:abstractNumId w:val="285"/>
  </w:num>
  <w:num w:numId="55" w16cid:durableId="166405664">
    <w:abstractNumId w:val="182"/>
  </w:num>
  <w:num w:numId="56" w16cid:durableId="2017153400">
    <w:abstractNumId w:val="190"/>
  </w:num>
  <w:num w:numId="57" w16cid:durableId="2093702270">
    <w:abstractNumId w:val="231"/>
  </w:num>
  <w:num w:numId="58" w16cid:durableId="127363378">
    <w:abstractNumId w:val="156"/>
  </w:num>
  <w:num w:numId="59" w16cid:durableId="982926927">
    <w:abstractNumId w:val="179"/>
  </w:num>
  <w:num w:numId="60" w16cid:durableId="1254629748">
    <w:abstractNumId w:val="416"/>
  </w:num>
  <w:num w:numId="61" w16cid:durableId="1435979665">
    <w:abstractNumId w:val="297"/>
  </w:num>
  <w:num w:numId="62" w16cid:durableId="2030597837">
    <w:abstractNumId w:val="155"/>
  </w:num>
  <w:num w:numId="63" w16cid:durableId="1604997774">
    <w:abstractNumId w:val="291"/>
  </w:num>
  <w:num w:numId="64" w16cid:durableId="1861891096">
    <w:abstractNumId w:val="377"/>
  </w:num>
  <w:num w:numId="65" w16cid:durableId="1413431588">
    <w:abstractNumId w:val="47"/>
  </w:num>
  <w:num w:numId="66" w16cid:durableId="915700007">
    <w:abstractNumId w:val="115"/>
  </w:num>
  <w:num w:numId="67" w16cid:durableId="215821583">
    <w:abstractNumId w:val="170"/>
  </w:num>
  <w:num w:numId="68" w16cid:durableId="1230385762">
    <w:abstractNumId w:val="229"/>
  </w:num>
  <w:num w:numId="69" w16cid:durableId="651251163">
    <w:abstractNumId w:val="22"/>
  </w:num>
  <w:num w:numId="70" w16cid:durableId="1975061795">
    <w:abstractNumId w:val="42"/>
  </w:num>
  <w:num w:numId="71" w16cid:durableId="1575703840">
    <w:abstractNumId w:val="220"/>
  </w:num>
  <w:num w:numId="72" w16cid:durableId="88083920">
    <w:abstractNumId w:val="125"/>
  </w:num>
  <w:num w:numId="73" w16cid:durableId="67190323">
    <w:abstractNumId w:val="63"/>
  </w:num>
  <w:num w:numId="74" w16cid:durableId="1792631745">
    <w:abstractNumId w:val="147"/>
  </w:num>
  <w:num w:numId="75" w16cid:durableId="2122524941">
    <w:abstractNumId w:val="233"/>
  </w:num>
  <w:num w:numId="76" w16cid:durableId="1631671134">
    <w:abstractNumId w:val="317"/>
  </w:num>
  <w:num w:numId="77" w16cid:durableId="901478088">
    <w:abstractNumId w:val="242"/>
  </w:num>
  <w:num w:numId="78" w16cid:durableId="961225964">
    <w:abstractNumId w:val="62"/>
  </w:num>
  <w:num w:numId="79" w16cid:durableId="1999772350">
    <w:abstractNumId w:val="139"/>
  </w:num>
  <w:num w:numId="80" w16cid:durableId="1793472400">
    <w:abstractNumId w:val="243"/>
  </w:num>
  <w:num w:numId="81" w16cid:durableId="554855043">
    <w:abstractNumId w:val="197"/>
  </w:num>
  <w:num w:numId="82" w16cid:durableId="1537349851">
    <w:abstractNumId w:val="196"/>
  </w:num>
  <w:num w:numId="83" w16cid:durableId="980572664">
    <w:abstractNumId w:val="380"/>
  </w:num>
  <w:num w:numId="84" w16cid:durableId="1743067960">
    <w:abstractNumId w:val="218"/>
  </w:num>
  <w:num w:numId="85" w16cid:durableId="41053572">
    <w:abstractNumId w:val="141"/>
  </w:num>
  <w:num w:numId="86" w16cid:durableId="958999630">
    <w:abstractNumId w:val="101"/>
  </w:num>
  <w:num w:numId="87" w16cid:durableId="1447769922">
    <w:abstractNumId w:val="412"/>
  </w:num>
  <w:num w:numId="88" w16cid:durableId="1499615853">
    <w:abstractNumId w:val="164"/>
  </w:num>
  <w:num w:numId="89" w16cid:durableId="1943342283">
    <w:abstractNumId w:val="210"/>
  </w:num>
  <w:num w:numId="90" w16cid:durableId="2130784423">
    <w:abstractNumId w:val="145"/>
  </w:num>
  <w:num w:numId="91" w16cid:durableId="105930278">
    <w:abstractNumId w:val="111"/>
  </w:num>
  <w:num w:numId="92" w16cid:durableId="1280800822">
    <w:abstractNumId w:val="395"/>
  </w:num>
  <w:num w:numId="93" w16cid:durableId="16004788">
    <w:abstractNumId w:val="328"/>
  </w:num>
  <w:num w:numId="94" w16cid:durableId="114033072">
    <w:abstractNumId w:val="365"/>
  </w:num>
  <w:num w:numId="95" w16cid:durableId="1490637647">
    <w:abstractNumId w:val="261"/>
  </w:num>
  <w:num w:numId="96" w16cid:durableId="934822262">
    <w:abstractNumId w:val="84"/>
  </w:num>
  <w:num w:numId="97" w16cid:durableId="1311178771">
    <w:abstractNumId w:val="8"/>
  </w:num>
  <w:num w:numId="98" w16cid:durableId="873613056">
    <w:abstractNumId w:val="68"/>
  </w:num>
  <w:num w:numId="99" w16cid:durableId="598685702">
    <w:abstractNumId w:val="23"/>
  </w:num>
  <w:num w:numId="100" w16cid:durableId="1737585149">
    <w:abstractNumId w:val="289"/>
  </w:num>
  <w:num w:numId="101" w16cid:durableId="217014285">
    <w:abstractNumId w:val="56"/>
  </w:num>
  <w:num w:numId="102" w16cid:durableId="1384255544">
    <w:abstractNumId w:val="367"/>
  </w:num>
  <w:num w:numId="103" w16cid:durableId="1730153164">
    <w:abstractNumId w:val="404"/>
  </w:num>
  <w:num w:numId="104" w16cid:durableId="1106535448">
    <w:abstractNumId w:val="14"/>
  </w:num>
  <w:num w:numId="105" w16cid:durableId="1643929295">
    <w:abstractNumId w:val="389"/>
  </w:num>
  <w:num w:numId="106" w16cid:durableId="593130460">
    <w:abstractNumId w:val="73"/>
  </w:num>
  <w:num w:numId="107" w16cid:durableId="237137139">
    <w:abstractNumId w:val="418"/>
  </w:num>
  <w:num w:numId="108" w16cid:durableId="2131775163">
    <w:abstractNumId w:val="95"/>
  </w:num>
  <w:num w:numId="109" w16cid:durableId="326594209">
    <w:abstractNumId w:val="24"/>
  </w:num>
  <w:num w:numId="110" w16cid:durableId="578293288">
    <w:abstractNumId w:val="275"/>
  </w:num>
  <w:num w:numId="111" w16cid:durableId="673924469">
    <w:abstractNumId w:val="252"/>
  </w:num>
  <w:num w:numId="112" w16cid:durableId="1995178879">
    <w:abstractNumId w:val="202"/>
  </w:num>
  <w:num w:numId="113" w16cid:durableId="1772890673">
    <w:abstractNumId w:val="335"/>
  </w:num>
  <w:num w:numId="114" w16cid:durableId="1454716566">
    <w:abstractNumId w:val="351"/>
  </w:num>
  <w:num w:numId="115" w16cid:durableId="1530339983">
    <w:abstractNumId w:val="310"/>
  </w:num>
  <w:num w:numId="116" w16cid:durableId="263734528">
    <w:abstractNumId w:val="270"/>
  </w:num>
  <w:num w:numId="117" w16cid:durableId="602230604">
    <w:abstractNumId w:val="350"/>
  </w:num>
  <w:num w:numId="118" w16cid:durableId="2003074019">
    <w:abstractNumId w:val="414"/>
  </w:num>
  <w:num w:numId="119" w16cid:durableId="581647324">
    <w:abstractNumId w:val="296"/>
  </w:num>
  <w:num w:numId="120" w16cid:durableId="496961818">
    <w:abstractNumId w:val="239"/>
  </w:num>
  <w:num w:numId="121" w16cid:durableId="350037723">
    <w:abstractNumId w:val="362"/>
  </w:num>
  <w:num w:numId="122" w16cid:durableId="2039354878">
    <w:abstractNumId w:val="402"/>
  </w:num>
  <w:num w:numId="123" w16cid:durableId="1538930428">
    <w:abstractNumId w:val="142"/>
  </w:num>
  <w:num w:numId="124" w16cid:durableId="1444496185">
    <w:abstractNumId w:val="300"/>
  </w:num>
  <w:num w:numId="125" w16cid:durableId="2067797809">
    <w:abstractNumId w:val="383"/>
  </w:num>
  <w:num w:numId="126" w16cid:durableId="981274012">
    <w:abstractNumId w:val="277"/>
  </w:num>
  <w:num w:numId="127" w16cid:durableId="1295792473">
    <w:abstractNumId w:val="293"/>
  </w:num>
  <w:num w:numId="128" w16cid:durableId="172187949">
    <w:abstractNumId w:val="228"/>
  </w:num>
  <w:num w:numId="129" w16cid:durableId="909080211">
    <w:abstractNumId w:val="160"/>
  </w:num>
  <w:num w:numId="130" w16cid:durableId="862746632">
    <w:abstractNumId w:val="137"/>
  </w:num>
  <w:num w:numId="131" w16cid:durableId="302152449">
    <w:abstractNumId w:val="360"/>
  </w:num>
  <w:num w:numId="132" w16cid:durableId="1193418186">
    <w:abstractNumId w:val="430"/>
  </w:num>
  <w:num w:numId="133" w16cid:durableId="2034188181">
    <w:abstractNumId w:val="372"/>
  </w:num>
  <w:num w:numId="134" w16cid:durableId="940256545">
    <w:abstractNumId w:val="12"/>
  </w:num>
  <w:num w:numId="135" w16cid:durableId="194739246">
    <w:abstractNumId w:val="81"/>
  </w:num>
  <w:num w:numId="136" w16cid:durableId="447547494">
    <w:abstractNumId w:val="390"/>
  </w:num>
  <w:num w:numId="137" w16cid:durableId="1652322411">
    <w:abstractNumId w:val="353"/>
  </w:num>
  <w:num w:numId="138" w16cid:durableId="1267693203">
    <w:abstractNumId w:val="132"/>
  </w:num>
  <w:num w:numId="139" w16cid:durableId="1335183716">
    <w:abstractNumId w:val="248"/>
  </w:num>
  <w:num w:numId="140" w16cid:durableId="794063425">
    <w:abstractNumId w:val="427"/>
  </w:num>
  <w:num w:numId="141" w16cid:durableId="1635021293">
    <w:abstractNumId w:val="370"/>
  </w:num>
  <w:num w:numId="142" w16cid:durableId="1722556505">
    <w:abstractNumId w:val="108"/>
  </w:num>
  <w:num w:numId="143" w16cid:durableId="546113989">
    <w:abstractNumId w:val="199"/>
  </w:num>
  <w:num w:numId="144" w16cid:durableId="1246576094">
    <w:abstractNumId w:val="130"/>
  </w:num>
  <w:num w:numId="145" w16cid:durableId="2025739102">
    <w:abstractNumId w:val="425"/>
  </w:num>
  <w:num w:numId="146" w16cid:durableId="1126970545">
    <w:abstractNumId w:val="124"/>
  </w:num>
  <w:num w:numId="147" w16cid:durableId="783498539">
    <w:abstractNumId w:val="396"/>
  </w:num>
  <w:num w:numId="148" w16cid:durableId="1314799750">
    <w:abstractNumId w:val="75"/>
  </w:num>
  <w:num w:numId="149" w16cid:durableId="348795629">
    <w:abstractNumId w:val="167"/>
  </w:num>
  <w:num w:numId="150" w16cid:durableId="846017243">
    <w:abstractNumId w:val="163"/>
  </w:num>
  <w:num w:numId="151" w16cid:durableId="128595028">
    <w:abstractNumId w:val="175"/>
  </w:num>
  <w:num w:numId="152" w16cid:durableId="1813450540">
    <w:abstractNumId w:val="332"/>
  </w:num>
  <w:num w:numId="153" w16cid:durableId="1111431652">
    <w:abstractNumId w:val="284"/>
  </w:num>
  <w:num w:numId="154" w16cid:durableId="1360201481">
    <w:abstractNumId w:val="82"/>
  </w:num>
  <w:num w:numId="155" w16cid:durableId="1002707161">
    <w:abstractNumId w:val="259"/>
  </w:num>
  <w:num w:numId="156" w16cid:durableId="390350167">
    <w:abstractNumId w:val="311"/>
  </w:num>
  <w:num w:numId="157" w16cid:durableId="1958758918">
    <w:abstractNumId w:val="90"/>
  </w:num>
  <w:num w:numId="158" w16cid:durableId="989018383">
    <w:abstractNumId w:val="40"/>
  </w:num>
  <w:num w:numId="159" w16cid:durableId="1592082213">
    <w:abstractNumId w:val="92"/>
  </w:num>
  <w:num w:numId="160" w16cid:durableId="1197498338">
    <w:abstractNumId w:val="119"/>
  </w:num>
  <w:num w:numId="161" w16cid:durableId="424765206">
    <w:abstractNumId w:val="17"/>
  </w:num>
  <w:num w:numId="162" w16cid:durableId="2090760825">
    <w:abstractNumId w:val="216"/>
  </w:num>
  <w:num w:numId="163" w16cid:durableId="139537221">
    <w:abstractNumId w:val="120"/>
  </w:num>
  <w:num w:numId="164" w16cid:durableId="871067065">
    <w:abstractNumId w:val="151"/>
  </w:num>
  <w:num w:numId="165" w16cid:durableId="365522475">
    <w:abstractNumId w:val="211"/>
  </w:num>
  <w:num w:numId="166" w16cid:durableId="1995913556">
    <w:abstractNumId w:val="60"/>
  </w:num>
  <w:num w:numId="167" w16cid:durableId="1350914595">
    <w:abstractNumId w:val="314"/>
  </w:num>
  <w:num w:numId="168" w16cid:durableId="496069971">
    <w:abstractNumId w:val="294"/>
  </w:num>
  <w:num w:numId="169" w16cid:durableId="14505261">
    <w:abstractNumId w:val="363"/>
  </w:num>
  <w:num w:numId="170" w16cid:durableId="1420561048">
    <w:abstractNumId w:val="148"/>
  </w:num>
  <w:num w:numId="171" w16cid:durableId="1467623460">
    <w:abstractNumId w:val="97"/>
  </w:num>
  <w:num w:numId="172" w16cid:durableId="67920973">
    <w:abstractNumId w:val="188"/>
  </w:num>
  <w:num w:numId="173" w16cid:durableId="974406198">
    <w:abstractNumId w:val="183"/>
  </w:num>
  <w:num w:numId="174" w16cid:durableId="551431815">
    <w:abstractNumId w:val="219"/>
  </w:num>
  <w:num w:numId="175" w16cid:durableId="2113815805">
    <w:abstractNumId w:val="189"/>
  </w:num>
  <w:num w:numId="176" w16cid:durableId="240212222">
    <w:abstractNumId w:val="286"/>
  </w:num>
  <w:num w:numId="177" w16cid:durableId="465900303">
    <w:abstractNumId w:val="428"/>
  </w:num>
  <w:num w:numId="178" w16cid:durableId="1056011731">
    <w:abstractNumId w:val="320"/>
  </w:num>
  <w:num w:numId="179" w16cid:durableId="1338193056">
    <w:abstractNumId w:val="415"/>
  </w:num>
  <w:num w:numId="180" w16cid:durableId="612593665">
    <w:abstractNumId w:val="79"/>
  </w:num>
  <w:num w:numId="181" w16cid:durableId="1593929196">
    <w:abstractNumId w:val="255"/>
  </w:num>
  <w:num w:numId="182" w16cid:durableId="458189059">
    <w:abstractNumId w:val="157"/>
  </w:num>
  <w:num w:numId="183" w16cid:durableId="1391150430">
    <w:abstractNumId w:val="186"/>
  </w:num>
  <w:num w:numId="184" w16cid:durableId="2122919447">
    <w:abstractNumId w:val="342"/>
  </w:num>
  <w:num w:numId="185" w16cid:durableId="1089429873">
    <w:abstractNumId w:val="213"/>
  </w:num>
  <w:num w:numId="186" w16cid:durableId="1647124979">
    <w:abstractNumId w:val="72"/>
  </w:num>
  <w:num w:numId="187" w16cid:durableId="1381857227">
    <w:abstractNumId w:val="305"/>
  </w:num>
  <w:num w:numId="188" w16cid:durableId="2130855261">
    <w:abstractNumId w:val="172"/>
  </w:num>
  <w:num w:numId="189" w16cid:durableId="498276038">
    <w:abstractNumId w:val="58"/>
  </w:num>
  <w:num w:numId="190" w16cid:durableId="1800881867">
    <w:abstractNumId w:val="241"/>
  </w:num>
  <w:num w:numId="191" w16cid:durableId="1071196412">
    <w:abstractNumId w:val="54"/>
  </w:num>
  <w:num w:numId="192" w16cid:durableId="1488476335">
    <w:abstractNumId w:val="334"/>
  </w:num>
  <w:num w:numId="193" w16cid:durableId="1428620061">
    <w:abstractNumId w:val="405"/>
  </w:num>
  <w:num w:numId="194" w16cid:durableId="423459502">
    <w:abstractNumId w:val="419"/>
  </w:num>
  <w:num w:numId="195" w16cid:durableId="1429039244">
    <w:abstractNumId w:val="227"/>
  </w:num>
  <w:num w:numId="196" w16cid:durableId="152455615">
    <w:abstractNumId w:val="152"/>
  </w:num>
  <w:num w:numId="197" w16cid:durableId="60250571">
    <w:abstractNumId w:val="136"/>
  </w:num>
  <w:num w:numId="198" w16cid:durableId="1781219620">
    <w:abstractNumId w:val="407"/>
  </w:num>
  <w:num w:numId="199" w16cid:durableId="1265265974">
    <w:abstractNumId w:val="3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16cid:durableId="499975397">
    <w:abstractNumId w:val="406"/>
  </w:num>
  <w:num w:numId="201" w16cid:durableId="318654753">
    <w:abstractNumId w:val="20"/>
  </w:num>
  <w:num w:numId="202" w16cid:durableId="238952660">
    <w:abstractNumId w:val="140"/>
  </w:num>
  <w:num w:numId="203" w16cid:durableId="2103987588">
    <w:abstractNumId w:val="46"/>
  </w:num>
  <w:num w:numId="204" w16cid:durableId="826629566">
    <w:abstractNumId w:val="265"/>
  </w:num>
  <w:num w:numId="205" w16cid:durableId="1641152715">
    <w:abstractNumId w:val="96"/>
  </w:num>
  <w:num w:numId="206" w16cid:durableId="16320178">
    <w:abstractNumId w:val="237"/>
  </w:num>
  <w:num w:numId="207" w16cid:durableId="1688755448">
    <w:abstractNumId w:val="118"/>
  </w:num>
  <w:num w:numId="208" w16cid:durableId="1009211483">
    <w:abstractNumId w:val="295"/>
  </w:num>
  <w:num w:numId="209" w16cid:durableId="1565722417">
    <w:abstractNumId w:val="368"/>
  </w:num>
  <w:num w:numId="210" w16cid:durableId="1217667290">
    <w:abstractNumId w:val="267"/>
  </w:num>
  <w:num w:numId="211" w16cid:durableId="1805585521">
    <w:abstractNumId w:val="244"/>
  </w:num>
  <w:num w:numId="212" w16cid:durableId="1541476907">
    <w:abstractNumId w:val="13"/>
  </w:num>
  <w:num w:numId="213" w16cid:durableId="1782915926">
    <w:abstractNumId w:val="238"/>
  </w:num>
  <w:num w:numId="214" w16cid:durableId="1250970232">
    <w:abstractNumId w:val="180"/>
  </w:num>
  <w:num w:numId="215" w16cid:durableId="509374441">
    <w:abstractNumId w:val="150"/>
  </w:num>
  <w:num w:numId="216" w16cid:durableId="643390208">
    <w:abstractNumId w:val="344"/>
  </w:num>
  <w:num w:numId="217" w16cid:durableId="1887788448">
    <w:abstractNumId w:val="226"/>
  </w:num>
  <w:num w:numId="218" w16cid:durableId="452749575">
    <w:abstractNumId w:val="127"/>
  </w:num>
  <w:num w:numId="219" w16cid:durableId="1392268292">
    <w:abstractNumId w:val="329"/>
  </w:num>
  <w:num w:numId="220" w16cid:durableId="1022978854">
    <w:abstractNumId w:val="313"/>
  </w:num>
  <w:num w:numId="221" w16cid:durableId="1266040672">
    <w:abstractNumId w:val="49"/>
  </w:num>
  <w:num w:numId="222" w16cid:durableId="437407018">
    <w:abstractNumId w:val="19"/>
  </w:num>
  <w:num w:numId="223" w16cid:durableId="1429498460">
    <w:abstractNumId w:val="361"/>
  </w:num>
  <w:num w:numId="224" w16cid:durableId="1294140297">
    <w:abstractNumId w:val="169"/>
  </w:num>
  <w:num w:numId="225" w16cid:durableId="1620919041">
    <w:abstractNumId w:val="304"/>
  </w:num>
  <w:num w:numId="226" w16cid:durableId="664552226">
    <w:abstractNumId w:val="217"/>
  </w:num>
  <w:num w:numId="227" w16cid:durableId="144708881">
    <w:abstractNumId w:val="80"/>
  </w:num>
  <w:num w:numId="228" w16cid:durableId="1433014004">
    <w:abstractNumId w:val="257"/>
  </w:num>
  <w:num w:numId="229" w16cid:durableId="1154180290">
    <w:abstractNumId w:val="71"/>
  </w:num>
  <w:num w:numId="230" w16cid:durableId="694229070">
    <w:abstractNumId w:val="28"/>
  </w:num>
  <w:num w:numId="231" w16cid:durableId="1167597955">
    <w:abstractNumId w:val="110"/>
  </w:num>
  <w:num w:numId="232" w16cid:durableId="30695685">
    <w:abstractNumId w:val="249"/>
  </w:num>
  <w:num w:numId="233" w16cid:durableId="849565892">
    <w:abstractNumId w:val="299"/>
  </w:num>
  <w:num w:numId="234" w16cid:durableId="733503928">
    <w:abstractNumId w:val="225"/>
  </w:num>
  <w:num w:numId="235" w16cid:durableId="355353476">
    <w:abstractNumId w:val="30"/>
  </w:num>
  <w:num w:numId="236" w16cid:durableId="1942834739">
    <w:abstractNumId w:val="209"/>
  </w:num>
  <w:num w:numId="237" w16cid:durableId="1157647116">
    <w:abstractNumId w:val="74"/>
  </w:num>
  <w:num w:numId="238" w16cid:durableId="978026326">
    <w:abstractNumId w:val="224"/>
  </w:num>
  <w:num w:numId="239" w16cid:durableId="1413503939">
    <w:abstractNumId w:val="15"/>
  </w:num>
  <w:num w:numId="240" w16cid:durableId="891618440">
    <w:abstractNumId w:val="287"/>
  </w:num>
  <w:num w:numId="241" w16cid:durableId="622227035">
    <w:abstractNumId w:val="322"/>
  </w:num>
  <w:num w:numId="242" w16cid:durableId="2110225439">
    <w:abstractNumId w:val="100"/>
  </w:num>
  <w:num w:numId="243" w16cid:durableId="2052269348">
    <w:abstractNumId w:val="266"/>
  </w:num>
  <w:num w:numId="244" w16cid:durableId="1921599764">
    <w:abstractNumId w:val="102"/>
  </w:num>
  <w:num w:numId="245" w16cid:durableId="1502696230">
    <w:abstractNumId w:val="195"/>
  </w:num>
  <w:num w:numId="246" w16cid:durableId="1538355689">
    <w:abstractNumId w:val="355"/>
  </w:num>
  <w:num w:numId="247" w16cid:durableId="680548840">
    <w:abstractNumId w:val="422"/>
  </w:num>
  <w:num w:numId="248" w16cid:durableId="1625768920">
    <w:abstractNumId w:val="208"/>
  </w:num>
  <w:num w:numId="249" w16cid:durableId="774402364">
    <w:abstractNumId w:val="417"/>
  </w:num>
  <w:num w:numId="250" w16cid:durableId="645669284">
    <w:abstractNumId w:val="381"/>
  </w:num>
  <w:num w:numId="251" w16cid:durableId="1202355797">
    <w:abstractNumId w:val="288"/>
  </w:num>
  <w:num w:numId="252" w16cid:durableId="341860992">
    <w:abstractNumId w:val="45"/>
  </w:num>
  <w:num w:numId="253" w16cid:durableId="1537615694">
    <w:abstractNumId w:val="4"/>
  </w:num>
  <w:num w:numId="254" w16cid:durableId="2085762587">
    <w:abstractNumId w:val="37"/>
  </w:num>
  <w:num w:numId="255" w16cid:durableId="968780710">
    <w:abstractNumId w:val="373"/>
  </w:num>
  <w:num w:numId="256" w16cid:durableId="1004938413">
    <w:abstractNumId w:val="349"/>
  </w:num>
  <w:num w:numId="257" w16cid:durableId="1521893607">
    <w:abstractNumId w:val="29"/>
  </w:num>
  <w:num w:numId="258" w16cid:durableId="23138679">
    <w:abstractNumId w:val="348"/>
  </w:num>
  <w:num w:numId="259" w16cid:durableId="1344553233">
    <w:abstractNumId w:val="364"/>
  </w:num>
  <w:num w:numId="260" w16cid:durableId="1538739231">
    <w:abstractNumId w:val="77"/>
  </w:num>
  <w:num w:numId="261" w16cid:durableId="1296645776">
    <w:abstractNumId w:val="66"/>
  </w:num>
  <w:num w:numId="262" w16cid:durableId="291063514">
    <w:abstractNumId w:val="114"/>
  </w:num>
  <w:num w:numId="263" w16cid:durableId="19429392">
    <w:abstractNumId w:val="306"/>
  </w:num>
  <w:num w:numId="264" w16cid:durableId="2063405323">
    <w:abstractNumId w:val="357"/>
  </w:num>
  <w:num w:numId="265" w16cid:durableId="89860988">
    <w:abstractNumId w:val="26"/>
  </w:num>
  <w:num w:numId="266" w16cid:durableId="1263955568">
    <w:abstractNumId w:val="2"/>
  </w:num>
  <w:num w:numId="267" w16cid:durableId="1439520991">
    <w:abstractNumId w:val="327"/>
  </w:num>
  <w:num w:numId="268" w16cid:durableId="2132742128">
    <w:abstractNumId w:val="280"/>
  </w:num>
  <w:num w:numId="269" w16cid:durableId="444813550">
    <w:abstractNumId w:val="11"/>
  </w:num>
  <w:num w:numId="270" w16cid:durableId="1225986730">
    <w:abstractNumId w:val="146"/>
  </w:num>
  <w:num w:numId="271" w16cid:durableId="2147308989">
    <w:abstractNumId w:val="86"/>
  </w:num>
  <w:num w:numId="272" w16cid:durableId="2054962518">
    <w:abstractNumId w:val="240"/>
  </w:num>
  <w:num w:numId="273" w16cid:durableId="1435637214">
    <w:abstractNumId w:val="3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16cid:durableId="216866941">
    <w:abstractNumId w:val="85"/>
  </w:num>
  <w:num w:numId="275" w16cid:durableId="1144589897">
    <w:abstractNumId w:val="121"/>
  </w:num>
  <w:num w:numId="276" w16cid:durableId="1039625338">
    <w:abstractNumId w:val="301"/>
  </w:num>
  <w:num w:numId="277" w16cid:durableId="1262251732">
    <w:abstractNumId w:val="388"/>
  </w:num>
  <w:num w:numId="278" w16cid:durableId="588465543">
    <w:abstractNumId w:val="59"/>
  </w:num>
  <w:num w:numId="279" w16cid:durableId="2057705588">
    <w:abstractNumId w:val="352"/>
  </w:num>
  <w:num w:numId="280" w16cid:durableId="1531993549">
    <w:abstractNumId w:val="65"/>
  </w:num>
  <w:num w:numId="281" w16cid:durableId="1187914346">
    <w:abstractNumId w:val="378"/>
  </w:num>
  <w:num w:numId="282" w16cid:durableId="493688477">
    <w:abstractNumId w:val="340"/>
  </w:num>
  <w:num w:numId="283" w16cid:durableId="250552118">
    <w:abstractNumId w:val="413"/>
  </w:num>
  <w:num w:numId="284" w16cid:durableId="1649899866">
    <w:abstractNumId w:val="177"/>
  </w:num>
  <w:num w:numId="285" w16cid:durableId="1204975330">
    <w:abstractNumId w:val="10"/>
  </w:num>
  <w:num w:numId="286" w16cid:durableId="184101193">
    <w:abstractNumId w:val="178"/>
  </w:num>
  <w:num w:numId="287" w16cid:durableId="965358122">
    <w:abstractNumId w:val="274"/>
  </w:num>
  <w:num w:numId="288" w16cid:durableId="726219492">
    <w:abstractNumId w:val="303"/>
  </w:num>
  <w:num w:numId="289" w16cid:durableId="609581886">
    <w:abstractNumId w:val="43"/>
  </w:num>
  <w:num w:numId="290" w16cid:durableId="2142647608">
    <w:abstractNumId w:val="212"/>
  </w:num>
  <w:num w:numId="291" w16cid:durableId="1212232757">
    <w:abstractNumId w:val="162"/>
  </w:num>
  <w:num w:numId="292" w16cid:durableId="1315912637">
    <w:abstractNumId w:val="341"/>
  </w:num>
  <w:num w:numId="293" w16cid:durableId="1869757231">
    <w:abstractNumId w:val="185"/>
  </w:num>
  <w:num w:numId="294" w16cid:durableId="348024760">
    <w:abstractNumId w:val="123"/>
  </w:num>
  <w:num w:numId="295" w16cid:durableId="1403526899">
    <w:abstractNumId w:val="234"/>
  </w:num>
  <w:num w:numId="296" w16cid:durableId="684478808">
    <w:abstractNumId w:val="174"/>
  </w:num>
  <w:num w:numId="297" w16cid:durableId="936399864">
    <w:abstractNumId w:val="106"/>
  </w:num>
  <w:num w:numId="298" w16cid:durableId="2025936139">
    <w:abstractNumId w:val="387"/>
  </w:num>
  <w:num w:numId="299" w16cid:durableId="886381140">
    <w:abstractNumId w:val="398"/>
  </w:num>
  <w:num w:numId="300" w16cid:durableId="416053317">
    <w:abstractNumId w:val="330"/>
  </w:num>
  <w:num w:numId="301" w16cid:durableId="1085145970">
    <w:abstractNumId w:val="109"/>
  </w:num>
  <w:num w:numId="302" w16cid:durableId="890724833">
    <w:abstractNumId w:val="408"/>
  </w:num>
  <w:num w:numId="303" w16cid:durableId="336226509">
    <w:abstractNumId w:val="200"/>
  </w:num>
  <w:num w:numId="304" w16cid:durableId="1448697104">
    <w:abstractNumId w:val="128"/>
  </w:num>
  <w:num w:numId="305" w16cid:durableId="41753298">
    <w:abstractNumId w:val="263"/>
  </w:num>
  <w:num w:numId="306" w16cid:durableId="190579002">
    <w:abstractNumId w:val="191"/>
  </w:num>
  <w:num w:numId="307" w16cid:durableId="1101607481">
    <w:abstractNumId w:val="339"/>
  </w:num>
  <w:num w:numId="308" w16cid:durableId="2028021998">
    <w:abstractNumId w:val="343"/>
  </w:num>
  <w:num w:numId="309" w16cid:durableId="1583641699">
    <w:abstractNumId w:val="159"/>
  </w:num>
  <w:num w:numId="310" w16cid:durableId="750006883">
    <w:abstractNumId w:val="104"/>
  </w:num>
  <w:num w:numId="311" w16cid:durableId="701638056">
    <w:abstractNumId w:val="194"/>
  </w:num>
  <w:num w:numId="312" w16cid:durableId="601690747">
    <w:abstractNumId w:val="385"/>
  </w:num>
  <w:num w:numId="313" w16cid:durableId="2037344111">
    <w:abstractNumId w:val="354"/>
  </w:num>
  <w:num w:numId="314" w16cid:durableId="1484271797">
    <w:abstractNumId w:val="250"/>
  </w:num>
  <w:num w:numId="315" w16cid:durableId="1764567533">
    <w:abstractNumId w:val="222"/>
  </w:num>
  <w:num w:numId="316" w16cid:durableId="577981423">
    <w:abstractNumId w:val="391"/>
  </w:num>
  <w:num w:numId="317" w16cid:durableId="1402172230">
    <w:abstractNumId w:val="429"/>
  </w:num>
  <w:num w:numId="318" w16cid:durableId="391805869">
    <w:abstractNumId w:val="192"/>
  </w:num>
  <w:num w:numId="319" w16cid:durableId="1908882686">
    <w:abstractNumId w:val="134"/>
  </w:num>
  <w:num w:numId="320" w16cid:durableId="256518740">
    <w:abstractNumId w:val="154"/>
  </w:num>
  <w:num w:numId="321" w16cid:durableId="96683676">
    <w:abstractNumId w:val="27"/>
  </w:num>
  <w:num w:numId="322" w16cid:durableId="1845122699">
    <w:abstractNumId w:val="281"/>
  </w:num>
  <w:num w:numId="323" w16cid:durableId="1353842734">
    <w:abstractNumId w:val="3"/>
  </w:num>
  <w:num w:numId="324" w16cid:durableId="1919091101">
    <w:abstractNumId w:val="35"/>
  </w:num>
  <w:num w:numId="325" w16cid:durableId="76833372">
    <w:abstractNumId w:val="53"/>
  </w:num>
  <w:num w:numId="326" w16cid:durableId="436482956">
    <w:abstractNumId w:val="276"/>
  </w:num>
  <w:num w:numId="327" w16cid:durableId="340744898">
    <w:abstractNumId w:val="251"/>
  </w:num>
  <w:num w:numId="328" w16cid:durableId="2084596462">
    <w:abstractNumId w:val="25"/>
  </w:num>
  <w:num w:numId="329" w16cid:durableId="195849818">
    <w:abstractNumId w:val="16"/>
  </w:num>
  <w:num w:numId="330" w16cid:durableId="790707692">
    <w:abstractNumId w:val="205"/>
  </w:num>
  <w:num w:numId="331" w16cid:durableId="742529375">
    <w:abstractNumId w:val="272"/>
  </w:num>
  <w:num w:numId="332" w16cid:durableId="1945722755">
    <w:abstractNumId w:val="78"/>
  </w:num>
  <w:num w:numId="333" w16cid:durableId="394204842">
    <w:abstractNumId w:val="338"/>
  </w:num>
  <w:num w:numId="334" w16cid:durableId="1696272363">
    <w:abstractNumId w:val="423"/>
  </w:num>
  <w:num w:numId="335" w16cid:durableId="1248152021">
    <w:abstractNumId w:val="279"/>
  </w:num>
  <w:num w:numId="336" w16cid:durableId="57216362">
    <w:abstractNumId w:val="138"/>
  </w:num>
  <w:num w:numId="337" w16cid:durableId="531302990">
    <w:abstractNumId w:val="382"/>
  </w:num>
  <w:num w:numId="338" w16cid:durableId="545989450">
    <w:abstractNumId w:val="48"/>
  </w:num>
  <w:num w:numId="339" w16cid:durableId="864636318">
    <w:abstractNumId w:val="31"/>
  </w:num>
  <w:num w:numId="340" w16cid:durableId="2103064581">
    <w:abstractNumId w:val="410"/>
  </w:num>
  <w:num w:numId="341" w16cid:durableId="839153925">
    <w:abstractNumId w:val="135"/>
  </w:num>
  <w:num w:numId="342" w16cid:durableId="303973463">
    <w:abstractNumId w:val="394"/>
  </w:num>
  <w:num w:numId="343" w16cid:durableId="798955136">
    <w:abstractNumId w:val="283"/>
  </w:num>
  <w:num w:numId="344" w16cid:durableId="212083504">
    <w:abstractNumId w:val="392"/>
  </w:num>
  <w:num w:numId="345" w16cid:durableId="2080395428">
    <w:abstractNumId w:val="375"/>
  </w:num>
  <w:num w:numId="346" w16cid:durableId="145055026">
    <w:abstractNumId w:val="424"/>
  </w:num>
  <w:num w:numId="347" w16cid:durableId="427433870">
    <w:abstractNumId w:val="51"/>
  </w:num>
  <w:num w:numId="348" w16cid:durableId="1538851912">
    <w:abstractNumId w:val="399"/>
  </w:num>
  <w:num w:numId="349" w16cid:durableId="1271208613">
    <w:abstractNumId w:val="333"/>
  </w:num>
  <w:num w:numId="350" w16cid:durableId="777025697">
    <w:abstractNumId w:val="421"/>
  </w:num>
  <w:num w:numId="351" w16cid:durableId="1967002226">
    <w:abstractNumId w:val="374"/>
  </w:num>
  <w:num w:numId="352" w16cid:durableId="656492540">
    <w:abstractNumId w:val="144"/>
  </w:num>
  <w:num w:numId="353" w16cid:durableId="344677766">
    <w:abstractNumId w:val="6"/>
  </w:num>
  <w:num w:numId="354" w16cid:durableId="1429420642">
    <w:abstractNumId w:val="83"/>
  </w:num>
  <w:num w:numId="355" w16cid:durableId="1411582802">
    <w:abstractNumId w:val="89"/>
  </w:num>
  <w:num w:numId="356" w16cid:durableId="1293751006">
    <w:abstractNumId w:val="346"/>
  </w:num>
  <w:num w:numId="357" w16cid:durableId="934631236">
    <w:abstractNumId w:val="116"/>
  </w:num>
  <w:num w:numId="358" w16cid:durableId="159546120">
    <w:abstractNumId w:val="87"/>
  </w:num>
  <w:num w:numId="359" w16cid:durableId="698623189">
    <w:abstractNumId w:val="325"/>
  </w:num>
  <w:num w:numId="360" w16cid:durableId="1234195553">
    <w:abstractNumId w:val="321"/>
  </w:num>
  <w:num w:numId="361" w16cid:durableId="357855186">
    <w:abstractNumId w:val="298"/>
  </w:num>
  <w:num w:numId="362" w16cid:durableId="518277325">
    <w:abstractNumId w:val="400"/>
  </w:num>
  <w:num w:numId="363" w16cid:durableId="1707368500">
    <w:abstractNumId w:val="262"/>
  </w:num>
  <w:num w:numId="364" w16cid:durableId="1381588540">
    <w:abstractNumId w:val="171"/>
  </w:num>
  <w:num w:numId="365" w16cid:durableId="171258270">
    <w:abstractNumId w:val="302"/>
  </w:num>
  <w:num w:numId="366" w16cid:durableId="476805448">
    <w:abstractNumId w:val="166"/>
  </w:num>
  <w:num w:numId="367" w16cid:durableId="1484275075">
    <w:abstractNumId w:val="153"/>
  </w:num>
  <w:num w:numId="368" w16cid:durableId="1965501285">
    <w:abstractNumId w:val="223"/>
  </w:num>
  <w:num w:numId="369" w16cid:durableId="643852231">
    <w:abstractNumId w:val="21"/>
  </w:num>
  <w:num w:numId="370" w16cid:durableId="2110152850">
    <w:abstractNumId w:val="264"/>
  </w:num>
  <w:num w:numId="371" w16cid:durableId="2036998854">
    <w:abstractNumId w:val="69"/>
  </w:num>
  <w:num w:numId="372" w16cid:durableId="853148367">
    <w:abstractNumId w:val="230"/>
  </w:num>
  <w:num w:numId="373" w16cid:durableId="968436854">
    <w:abstractNumId w:val="214"/>
  </w:num>
  <w:num w:numId="374" w16cid:durableId="1773747876">
    <w:abstractNumId w:val="315"/>
  </w:num>
  <w:num w:numId="375" w16cid:durableId="1755856264">
    <w:abstractNumId w:val="9"/>
  </w:num>
  <w:num w:numId="376" w16cid:durableId="190263239">
    <w:abstractNumId w:val="254"/>
  </w:num>
  <w:num w:numId="377" w16cid:durableId="1599562033">
    <w:abstractNumId w:val="232"/>
  </w:num>
  <w:num w:numId="378" w16cid:durableId="369887256">
    <w:abstractNumId w:val="187"/>
  </w:num>
  <w:num w:numId="379" w16cid:durableId="586304524">
    <w:abstractNumId w:val="168"/>
  </w:num>
  <w:num w:numId="380" w16cid:durableId="334311502">
    <w:abstractNumId w:val="253"/>
  </w:num>
  <w:num w:numId="381" w16cid:durableId="1265190712">
    <w:abstractNumId w:val="129"/>
  </w:num>
  <w:num w:numId="382" w16cid:durableId="345790580">
    <w:abstractNumId w:val="337"/>
  </w:num>
  <w:num w:numId="383" w16cid:durableId="747772576">
    <w:abstractNumId w:val="323"/>
  </w:num>
  <w:num w:numId="384" w16cid:durableId="1769615828">
    <w:abstractNumId w:val="99"/>
  </w:num>
  <w:num w:numId="385" w16cid:durableId="909969162">
    <w:abstractNumId w:val="221"/>
  </w:num>
  <w:num w:numId="386" w16cid:durableId="744647879">
    <w:abstractNumId w:val="269"/>
  </w:num>
  <w:num w:numId="387" w16cid:durableId="1260258880">
    <w:abstractNumId w:val="356"/>
  </w:num>
  <w:num w:numId="388" w16cid:durableId="1357736188">
    <w:abstractNumId w:val="61"/>
  </w:num>
  <w:num w:numId="389" w16cid:durableId="1625429874">
    <w:abstractNumId w:val="107"/>
  </w:num>
  <w:num w:numId="390" w16cid:durableId="1413506337">
    <w:abstractNumId w:val="384"/>
  </w:num>
  <w:num w:numId="391" w16cid:durableId="1772705163">
    <w:abstractNumId w:val="165"/>
  </w:num>
  <w:num w:numId="392" w16cid:durableId="65226362">
    <w:abstractNumId w:val="41"/>
  </w:num>
  <w:num w:numId="393" w16cid:durableId="2145148795">
    <w:abstractNumId w:val="126"/>
  </w:num>
  <w:num w:numId="394" w16cid:durableId="1904022221">
    <w:abstractNumId w:val="403"/>
  </w:num>
  <w:num w:numId="395" w16cid:durableId="1759403776">
    <w:abstractNumId w:val="215"/>
  </w:num>
  <w:num w:numId="396" w16cid:durableId="1247376450">
    <w:abstractNumId w:val="39"/>
  </w:num>
  <w:num w:numId="397" w16cid:durableId="1115097784">
    <w:abstractNumId w:val="376"/>
  </w:num>
  <w:num w:numId="398" w16cid:durableId="848565720">
    <w:abstractNumId w:val="308"/>
  </w:num>
  <w:num w:numId="399" w16cid:durableId="31156560">
    <w:abstractNumId w:val="34"/>
  </w:num>
  <w:num w:numId="400" w16cid:durableId="1099059413">
    <w:abstractNumId w:val="278"/>
  </w:num>
  <w:num w:numId="401" w16cid:durableId="1133330291">
    <w:abstractNumId w:val="409"/>
  </w:num>
  <w:num w:numId="402" w16cid:durableId="49309084">
    <w:abstractNumId w:val="318"/>
  </w:num>
  <w:num w:numId="403" w16cid:durableId="1182664938">
    <w:abstractNumId w:val="1"/>
  </w:num>
  <w:num w:numId="404" w16cid:durableId="1579363797">
    <w:abstractNumId w:val="44"/>
  </w:num>
  <w:num w:numId="405" w16cid:durableId="1748265187">
    <w:abstractNumId w:val="36"/>
  </w:num>
  <w:num w:numId="406" w16cid:durableId="179398777">
    <w:abstractNumId w:val="158"/>
  </w:num>
  <w:num w:numId="407" w16cid:durableId="1593247086">
    <w:abstractNumId w:val="122"/>
  </w:num>
  <w:num w:numId="408" w16cid:durableId="1275559834">
    <w:abstractNumId w:val="133"/>
  </w:num>
  <w:num w:numId="409" w16cid:durableId="1737432363">
    <w:abstractNumId w:val="397"/>
  </w:num>
  <w:num w:numId="410" w16cid:durableId="1282765121">
    <w:abstractNumId w:val="50"/>
  </w:num>
  <w:num w:numId="411" w16cid:durableId="1043335644">
    <w:abstractNumId w:val="52"/>
  </w:num>
  <w:num w:numId="412" w16cid:durableId="1136340573">
    <w:abstractNumId w:val="246"/>
  </w:num>
  <w:num w:numId="413" w16cid:durableId="287318848">
    <w:abstractNumId w:val="273"/>
  </w:num>
  <w:num w:numId="414" w16cid:durableId="303121004">
    <w:abstractNumId w:val="201"/>
  </w:num>
  <w:num w:numId="415" w16cid:durableId="460465900">
    <w:abstractNumId w:val="309"/>
  </w:num>
  <w:num w:numId="416" w16cid:durableId="644164228">
    <w:abstractNumId w:val="426"/>
  </w:num>
  <w:num w:numId="417" w16cid:durableId="1586955633">
    <w:abstractNumId w:val="236"/>
  </w:num>
  <w:num w:numId="418" w16cid:durableId="681013344">
    <w:abstractNumId w:val="307"/>
  </w:num>
  <w:num w:numId="419" w16cid:durableId="469134825">
    <w:abstractNumId w:val="366"/>
  </w:num>
  <w:num w:numId="420" w16cid:durableId="1189180116">
    <w:abstractNumId w:val="324"/>
  </w:num>
  <w:num w:numId="421" w16cid:durableId="1135105909">
    <w:abstractNumId w:val="94"/>
  </w:num>
  <w:num w:numId="422" w16cid:durableId="1179151348">
    <w:abstractNumId w:val="386"/>
  </w:num>
  <w:num w:numId="423" w16cid:durableId="1694526904">
    <w:abstractNumId w:val="371"/>
  </w:num>
  <w:num w:numId="424" w16cid:durableId="1320114270">
    <w:abstractNumId w:val="312"/>
  </w:num>
  <w:num w:numId="425" w16cid:durableId="1959951970">
    <w:abstractNumId w:val="245"/>
  </w:num>
  <w:num w:numId="426" w16cid:durableId="2075273211">
    <w:abstractNumId w:val="33"/>
  </w:num>
  <w:num w:numId="427" w16cid:durableId="624626474">
    <w:abstractNumId w:val="358"/>
  </w:num>
  <w:num w:numId="428" w16cid:durableId="287976203">
    <w:abstractNumId w:val="32"/>
  </w:num>
  <w:num w:numId="429" w16cid:durableId="1273786462">
    <w:abstractNumId w:val="113"/>
  </w:num>
  <w:num w:numId="430" w16cid:durableId="442577634">
    <w:abstractNumId w:val="193"/>
  </w:num>
  <w:num w:numId="431" w16cid:durableId="1392266715">
    <w:abstractNumId w:val="7"/>
  </w:num>
  <w:num w:numId="432" w16cid:durableId="363596348">
    <w:abstractNumId w:val="319"/>
  </w:num>
  <w:num w:numId="433" w16cid:durableId="1493835380">
    <w:abstractNumId w:val="5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defaultTabStop w:val="720"/>
  <w:hyphenationZone w:val="283"/>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04709"/>
    <w:rsid w:val="000219F2"/>
    <w:rsid w:val="00083A66"/>
    <w:rsid w:val="00087547"/>
    <w:rsid w:val="0009063A"/>
    <w:rsid w:val="00091F56"/>
    <w:rsid w:val="00121AFC"/>
    <w:rsid w:val="001243BF"/>
    <w:rsid w:val="001549C8"/>
    <w:rsid w:val="001A6772"/>
    <w:rsid w:val="001B6962"/>
    <w:rsid w:val="001D1EB8"/>
    <w:rsid w:val="002221F4"/>
    <w:rsid w:val="002261E5"/>
    <w:rsid w:val="002363C5"/>
    <w:rsid w:val="00243017"/>
    <w:rsid w:val="0025064F"/>
    <w:rsid w:val="0031451E"/>
    <w:rsid w:val="00337771"/>
    <w:rsid w:val="003427F5"/>
    <w:rsid w:val="003E4F33"/>
    <w:rsid w:val="00412A29"/>
    <w:rsid w:val="004474A2"/>
    <w:rsid w:val="00453BCE"/>
    <w:rsid w:val="00475992"/>
    <w:rsid w:val="004804BE"/>
    <w:rsid w:val="00487CE0"/>
    <w:rsid w:val="00501D43"/>
    <w:rsid w:val="00531361"/>
    <w:rsid w:val="005A7E29"/>
    <w:rsid w:val="005D758B"/>
    <w:rsid w:val="005F7628"/>
    <w:rsid w:val="005F7F46"/>
    <w:rsid w:val="00624021"/>
    <w:rsid w:val="0066599B"/>
    <w:rsid w:val="006B0DE2"/>
    <w:rsid w:val="006B7A85"/>
    <w:rsid w:val="006C7551"/>
    <w:rsid w:val="006F6B6E"/>
    <w:rsid w:val="006F6CB9"/>
    <w:rsid w:val="00721C5E"/>
    <w:rsid w:val="00725F35"/>
    <w:rsid w:val="00735926"/>
    <w:rsid w:val="00736E55"/>
    <w:rsid w:val="0075055D"/>
    <w:rsid w:val="00753294"/>
    <w:rsid w:val="0079138D"/>
    <w:rsid w:val="00803F7E"/>
    <w:rsid w:val="00877F0A"/>
    <w:rsid w:val="0089029B"/>
    <w:rsid w:val="008A5A1A"/>
    <w:rsid w:val="008A7204"/>
    <w:rsid w:val="008D4089"/>
    <w:rsid w:val="00935A42"/>
    <w:rsid w:val="00954ED6"/>
    <w:rsid w:val="009759FE"/>
    <w:rsid w:val="0097670D"/>
    <w:rsid w:val="009805C6"/>
    <w:rsid w:val="00980D68"/>
    <w:rsid w:val="009871F3"/>
    <w:rsid w:val="009B17D6"/>
    <w:rsid w:val="009D1BFF"/>
    <w:rsid w:val="009E2B70"/>
    <w:rsid w:val="00A32192"/>
    <w:rsid w:val="00A43EC2"/>
    <w:rsid w:val="00A65469"/>
    <w:rsid w:val="00AA562D"/>
    <w:rsid w:val="00B2678C"/>
    <w:rsid w:val="00B35A83"/>
    <w:rsid w:val="00B436EA"/>
    <w:rsid w:val="00B5045A"/>
    <w:rsid w:val="00B84450"/>
    <w:rsid w:val="00B84598"/>
    <w:rsid w:val="00BB1CD7"/>
    <w:rsid w:val="00BB7E67"/>
    <w:rsid w:val="00BD0CF5"/>
    <w:rsid w:val="00C45000"/>
    <w:rsid w:val="00C462A0"/>
    <w:rsid w:val="00C8410C"/>
    <w:rsid w:val="00C9161E"/>
    <w:rsid w:val="00CC7263"/>
    <w:rsid w:val="00CF35C5"/>
    <w:rsid w:val="00D05EE3"/>
    <w:rsid w:val="00DD2590"/>
    <w:rsid w:val="00E04709"/>
    <w:rsid w:val="00E81D7C"/>
    <w:rsid w:val="00E83180"/>
    <w:rsid w:val="00E97960"/>
    <w:rsid w:val="00EA6D77"/>
    <w:rsid w:val="00EF0773"/>
    <w:rsid w:val="00FF0F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515CD1"/>
  <w15:docId w15:val="{34337AB4-3E74-4945-B498-E695768B9C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IE" w:eastAsia="en-US" w:bidi="ar-SA"/>
      </w:rPr>
    </w:rPrDefault>
    <w:pPrDefault>
      <w:pPr>
        <w:spacing w:after="16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0"/>
      <w:lang w:val="en-GB"/>
    </w:rPr>
  </w:style>
  <w:style w:type="paragraph" w:styleId="Heading1">
    <w:name w:val="heading 1"/>
    <w:basedOn w:val="Title"/>
    <w:next w:val="Normal"/>
    <w:link w:val="Heading1Char"/>
    <w:uiPriority w:val="9"/>
    <w:qFormat/>
    <w:pPr>
      <w:numPr>
        <w:numId w:val="14"/>
      </w:numPr>
      <w:ind w:left="426"/>
      <w:outlineLvl w:val="0"/>
    </w:pPr>
  </w:style>
  <w:style w:type="paragraph" w:styleId="Heading2">
    <w:name w:val="heading 2"/>
    <w:basedOn w:val="Heading4"/>
    <w:next w:val="Normal"/>
    <w:link w:val="Heading2Char"/>
    <w:uiPriority w:val="9"/>
    <w:unhideWhenUsed/>
    <w:qFormat/>
    <w:pPr>
      <w:numPr>
        <w:ilvl w:val="1"/>
      </w:numPr>
      <w:outlineLvl w:val="1"/>
    </w:pPr>
    <w:rPr>
      <w:color w:val="283A97" w:themeColor="accent3"/>
      <w:sz w:val="32"/>
      <w:szCs w:val="32"/>
    </w:rPr>
  </w:style>
  <w:style w:type="paragraph" w:styleId="Heading3">
    <w:name w:val="heading 3"/>
    <w:basedOn w:val="Normal"/>
    <w:next w:val="Normal"/>
    <w:link w:val="Heading3Char"/>
    <w:uiPriority w:val="9"/>
    <w:unhideWhenUsed/>
    <w:qFormat/>
    <w:pPr>
      <w:keepNext/>
      <w:keepLines/>
      <w:numPr>
        <w:ilvl w:val="2"/>
        <w:numId w:val="14"/>
      </w:numPr>
      <w:spacing w:before="80" w:after="120" w:line="240" w:lineRule="auto"/>
      <w:outlineLvl w:val="2"/>
    </w:pPr>
    <w:rPr>
      <w:rFonts w:asciiTheme="majorHAnsi" w:eastAsiaTheme="majorEastAsia" w:hAnsiTheme="majorHAnsi" w:cstheme="majorBidi"/>
      <w:color w:val="283A97" w:themeColor="accent3"/>
      <w:spacing w:val="7"/>
      <w:sz w:val="28"/>
      <w:szCs w:val="28"/>
      <w:lang w:val="de-DE"/>
    </w:rPr>
  </w:style>
  <w:style w:type="paragraph" w:styleId="Heading4">
    <w:name w:val="heading 4"/>
    <w:basedOn w:val="Normal"/>
    <w:next w:val="Normal"/>
    <w:link w:val="Heading4Char"/>
    <w:uiPriority w:val="9"/>
    <w:unhideWhenUsed/>
    <w:qFormat/>
    <w:pPr>
      <w:keepNext/>
      <w:keepLines/>
      <w:numPr>
        <w:ilvl w:val="3"/>
        <w:numId w:val="14"/>
      </w:numPr>
      <w:spacing w:before="80" w:after="0" w:line="240" w:lineRule="auto"/>
      <w:outlineLvl w:val="3"/>
    </w:pPr>
    <w:rPr>
      <w:rFonts w:asciiTheme="majorHAnsi" w:eastAsiaTheme="majorEastAsia" w:hAnsiTheme="majorHAnsi" w:cstheme="majorBidi"/>
      <w:iCs/>
      <w:color w:val="1E2B71" w:themeColor="accent3" w:themeShade="BF"/>
      <w:spacing w:val="8"/>
      <w:sz w:val="26"/>
      <w:szCs w:val="28"/>
    </w:rPr>
  </w:style>
  <w:style w:type="paragraph" w:styleId="Heading5">
    <w:name w:val="heading 5"/>
    <w:basedOn w:val="Normal"/>
    <w:next w:val="Normal"/>
    <w:link w:val="Heading5Char"/>
    <w:uiPriority w:val="9"/>
    <w:unhideWhenUsed/>
    <w:qFormat/>
    <w:pPr>
      <w:keepNext/>
      <w:keepLines/>
      <w:numPr>
        <w:ilvl w:val="4"/>
        <w:numId w:val="14"/>
      </w:numPr>
      <w:spacing w:before="80" w:after="0" w:line="240" w:lineRule="auto"/>
      <w:outlineLvl w:val="4"/>
    </w:pPr>
    <w:rPr>
      <w:rFonts w:asciiTheme="majorHAnsi" w:eastAsiaTheme="majorEastAsia" w:hAnsiTheme="majorHAnsi" w:cstheme="majorBidi"/>
      <w:color w:val="6779D7" w:themeColor="accent3" w:themeTint="99"/>
      <w:sz w:val="24"/>
      <w:szCs w:val="24"/>
    </w:rPr>
  </w:style>
  <w:style w:type="paragraph" w:styleId="Heading6">
    <w:name w:val="heading 6"/>
    <w:basedOn w:val="Normal"/>
    <w:next w:val="Normal"/>
    <w:link w:val="Heading6Char"/>
    <w:uiPriority w:val="9"/>
    <w:unhideWhenUsed/>
    <w:qFormat/>
    <w:pPr>
      <w:keepNext/>
      <w:keepLines/>
      <w:numPr>
        <w:ilvl w:val="5"/>
        <w:numId w:val="14"/>
      </w:numPr>
      <w:spacing w:before="80" w:after="0" w:line="240" w:lineRule="auto"/>
      <w:outlineLvl w:val="5"/>
    </w:pPr>
    <w:rPr>
      <w:rFonts w:asciiTheme="majorHAnsi" w:eastAsiaTheme="majorEastAsia" w:hAnsiTheme="majorHAnsi" w:cstheme="majorBidi"/>
      <w:i/>
      <w:iCs/>
      <w:color w:val="6779D7" w:themeColor="accent3" w:themeTint="99"/>
      <w:sz w:val="24"/>
      <w:szCs w:val="24"/>
    </w:rPr>
  </w:style>
  <w:style w:type="paragraph" w:styleId="Heading7">
    <w:name w:val="heading 7"/>
    <w:basedOn w:val="Normal"/>
    <w:next w:val="Normal"/>
    <w:link w:val="Heading7Char"/>
    <w:uiPriority w:val="9"/>
    <w:unhideWhenUsed/>
    <w:qFormat/>
    <w:pPr>
      <w:keepNext/>
      <w:keepLines/>
      <w:spacing w:before="80" w:after="0" w:line="240" w:lineRule="auto"/>
      <w:outlineLvl w:val="6"/>
    </w:pPr>
    <w:rPr>
      <w:rFonts w:asciiTheme="majorHAnsi" w:eastAsiaTheme="majorEastAsia" w:hAnsiTheme="majorHAnsi" w:cstheme="majorBidi"/>
      <w:color w:val="282B35" w:themeColor="text2"/>
      <w:sz w:val="24"/>
      <w:szCs w:val="24"/>
    </w:rPr>
  </w:style>
  <w:style w:type="paragraph" w:styleId="Heading8">
    <w:name w:val="heading 8"/>
    <w:basedOn w:val="Normal"/>
    <w:next w:val="Normal"/>
    <w:link w:val="Heading8Char"/>
    <w:uiPriority w:val="9"/>
    <w:unhideWhenUsed/>
    <w:qFormat/>
    <w:pPr>
      <w:keepNext/>
      <w:keepLines/>
      <w:spacing w:before="80" w:after="0" w:line="240" w:lineRule="auto"/>
      <w:outlineLvl w:val="7"/>
    </w:pPr>
    <w:rPr>
      <w:rFonts w:asciiTheme="majorHAnsi" w:eastAsiaTheme="majorEastAsia" w:hAnsiTheme="majorHAnsi" w:cstheme="majorBidi"/>
      <w:caps/>
    </w:rPr>
  </w:style>
  <w:style w:type="paragraph" w:styleId="Heading9">
    <w:name w:val="heading 9"/>
    <w:basedOn w:val="Normal"/>
    <w:next w:val="Normal"/>
    <w:link w:val="Heading9Char"/>
    <w:uiPriority w:val="9"/>
    <w:semiHidden/>
    <w:unhideWhenUsed/>
    <w:qFormat/>
    <w:pPr>
      <w:keepNext/>
      <w:keepLines/>
      <w:spacing w:before="80" w:after="0" w:line="240" w:lineRule="auto"/>
      <w:outlineLvl w:val="8"/>
    </w:pPr>
    <w:rPr>
      <w:rFonts w:asciiTheme="majorHAnsi" w:eastAsiaTheme="majorEastAsia" w:hAnsiTheme="majorHAnsi" w:cstheme="majorBidi"/>
      <w:i/>
      <w:iCs/>
      <w: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Light">
    <w:name w:val="Grid Table Light"/>
    <w:basedOn w:val="TableNormal"/>
    <w:uiPriority w:val="40"/>
    <w:pPr>
      <w:spacing w:after="0" w:line="240" w:lineRule="auto"/>
    </w:pPr>
    <w:tblPr>
      <w:tblBorders>
        <w:top w:val="single" w:sz="4" w:space="0" w:color="C0C6D4" w:themeColor="text1" w:themeTint="50"/>
        <w:left w:val="single" w:sz="4" w:space="0" w:color="C0C6D4" w:themeColor="text1" w:themeTint="50"/>
        <w:bottom w:val="single" w:sz="4" w:space="0" w:color="C0C6D4" w:themeColor="text1" w:themeTint="50"/>
        <w:right w:val="single" w:sz="4" w:space="0" w:color="C0C6D4" w:themeColor="text1" w:themeTint="50"/>
        <w:insideH w:val="single" w:sz="4" w:space="0" w:color="C0C6D4" w:themeColor="text1" w:themeTint="50"/>
        <w:insideV w:val="single" w:sz="4" w:space="0" w:color="C0C6D4" w:themeColor="text1" w:themeTint="50"/>
      </w:tblBorders>
    </w:tblPr>
  </w:style>
  <w:style w:type="table" w:styleId="GridTable1Light-Accent1">
    <w:name w:val="Grid Table 1 Light Accent 1"/>
    <w:basedOn w:val="TableNormal"/>
    <w:uiPriority w:val="99"/>
    <w:pPr>
      <w:spacing w:after="0" w:line="240" w:lineRule="auto"/>
    </w:pPr>
    <w:tblPr>
      <w:tblStyleRowBandSize w:val="1"/>
      <w:tblStyleColBandSize w:val="1"/>
      <w:tblBorders>
        <w:top w:val="single" w:sz="4" w:space="0" w:color="76FFB3" w:themeColor="accent1" w:themeTint="67"/>
        <w:left w:val="single" w:sz="4" w:space="0" w:color="76FFB3" w:themeColor="accent1" w:themeTint="67"/>
        <w:bottom w:val="single" w:sz="4" w:space="0" w:color="76FFB3" w:themeColor="accent1" w:themeTint="67"/>
        <w:right w:val="single" w:sz="4" w:space="0" w:color="76FFB3" w:themeColor="accent1" w:themeTint="67"/>
        <w:insideH w:val="single" w:sz="4" w:space="0" w:color="76FFB3" w:themeColor="accent1" w:themeTint="67"/>
        <w:insideV w:val="single" w:sz="4" w:space="0" w:color="76FFB3" w:themeColor="accent1" w:themeTint="67"/>
      </w:tblBorders>
    </w:tblPr>
    <w:tblStylePr w:type="firstRow">
      <w:rPr>
        <w:b/>
        <w:color w:val="404040"/>
      </w:rPr>
      <w:tblPr/>
      <w:tcPr>
        <w:tcBorders>
          <w:bottom w:val="single" w:sz="12" w:space="0" w:color="39FF92"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76FFB3" w:themeColor="accent1" w:themeTint="67"/>
          <w:left w:val="single" w:sz="4" w:space="0" w:color="76FFB3" w:themeColor="accent1" w:themeTint="67"/>
          <w:bottom w:val="single" w:sz="4" w:space="0" w:color="76FFB3" w:themeColor="accent1" w:themeTint="67"/>
          <w:right w:val="single" w:sz="4" w:space="0" w:color="76FFB3" w:themeColor="accent1" w:themeTint="67"/>
        </w:tcBorders>
      </w:tcPr>
    </w:tblStylePr>
  </w:style>
  <w:style w:type="table" w:styleId="GridTable1Light-Accent2">
    <w:name w:val="Grid Table 1 Light Accent 2"/>
    <w:basedOn w:val="TableNormal"/>
    <w:uiPriority w:val="99"/>
    <w:pPr>
      <w:spacing w:after="0" w:line="240" w:lineRule="auto"/>
    </w:pPr>
    <w:tblPr>
      <w:tblStyleRowBandSize w:val="1"/>
      <w:tblStyleColBandSize w:val="1"/>
      <w:tblBorders>
        <w:top w:val="single" w:sz="4" w:space="0" w:color="6EFFF0" w:themeColor="accent2" w:themeTint="67"/>
        <w:left w:val="single" w:sz="4" w:space="0" w:color="6EFFF0" w:themeColor="accent2" w:themeTint="67"/>
        <w:bottom w:val="single" w:sz="4" w:space="0" w:color="6EFFF0" w:themeColor="accent2" w:themeTint="67"/>
        <w:right w:val="single" w:sz="4" w:space="0" w:color="6EFFF0" w:themeColor="accent2" w:themeTint="67"/>
        <w:insideH w:val="single" w:sz="4" w:space="0" w:color="6EFFF0" w:themeColor="accent2" w:themeTint="67"/>
        <w:insideV w:val="single" w:sz="4" w:space="0" w:color="6EFFF0" w:themeColor="accent2" w:themeTint="67"/>
      </w:tblBorders>
    </w:tblPr>
    <w:tblStylePr w:type="firstRow">
      <w:rPr>
        <w:b/>
        <w:color w:val="404040"/>
      </w:rPr>
      <w:tblPr/>
      <w:tcPr>
        <w:tcBorders>
          <w:bottom w:val="single" w:sz="12" w:space="0" w:color="2DFFE9"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6EFFF0" w:themeColor="accent2" w:themeTint="67"/>
          <w:left w:val="single" w:sz="4" w:space="0" w:color="6EFFF0" w:themeColor="accent2" w:themeTint="67"/>
          <w:bottom w:val="single" w:sz="4" w:space="0" w:color="6EFFF0" w:themeColor="accent2" w:themeTint="67"/>
          <w:right w:val="single" w:sz="4" w:space="0" w:color="6EFFF0" w:themeColor="accent2" w:themeTint="67"/>
        </w:tcBorders>
      </w:tcPr>
    </w:tblStylePr>
  </w:style>
  <w:style w:type="table" w:styleId="GridTable1Light-Accent3">
    <w:name w:val="Grid Table 1 Light Accent 3"/>
    <w:basedOn w:val="TableNormal"/>
    <w:uiPriority w:val="99"/>
    <w:pPr>
      <w:spacing w:after="0" w:line="240" w:lineRule="auto"/>
    </w:pPr>
    <w:tblPr>
      <w:tblStyleRowBandSize w:val="1"/>
      <w:tblStyleColBandSize w:val="1"/>
      <w:tblBorders>
        <w:top w:val="single" w:sz="4" w:space="0" w:color="99A5E4" w:themeColor="accent3" w:themeTint="67"/>
        <w:left w:val="single" w:sz="4" w:space="0" w:color="99A5E4" w:themeColor="accent3" w:themeTint="67"/>
        <w:bottom w:val="single" w:sz="4" w:space="0" w:color="99A5E4" w:themeColor="accent3" w:themeTint="67"/>
        <w:right w:val="single" w:sz="4" w:space="0" w:color="99A5E4" w:themeColor="accent3" w:themeTint="67"/>
        <w:insideH w:val="single" w:sz="4" w:space="0" w:color="99A5E4" w:themeColor="accent3" w:themeTint="67"/>
        <w:insideV w:val="single" w:sz="4" w:space="0" w:color="99A5E4" w:themeColor="accent3" w:themeTint="67"/>
      </w:tblBorders>
    </w:tblPr>
    <w:tblStylePr w:type="firstRow">
      <w:rPr>
        <w:b/>
        <w:color w:val="404040"/>
      </w:rPr>
      <w:tblPr/>
      <w:tcPr>
        <w:tcBorders>
          <w:bottom w:val="single" w:sz="12" w:space="0" w:color="6B7CD8"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9A5E4" w:themeColor="accent3" w:themeTint="67"/>
          <w:left w:val="single" w:sz="4" w:space="0" w:color="99A5E4" w:themeColor="accent3" w:themeTint="67"/>
          <w:bottom w:val="single" w:sz="4" w:space="0" w:color="99A5E4" w:themeColor="accent3" w:themeTint="67"/>
          <w:right w:val="single" w:sz="4" w:space="0" w:color="99A5E4" w:themeColor="accent3" w:themeTint="67"/>
        </w:tcBorders>
      </w:tcPr>
    </w:tblStylePr>
  </w:style>
  <w:style w:type="table" w:styleId="GridTable1Light-Accent4">
    <w:name w:val="Grid Table 1 Light Accent 4"/>
    <w:basedOn w:val="TableNormal"/>
    <w:uiPriority w:val="99"/>
    <w:pPr>
      <w:spacing w:after="0" w:line="240" w:lineRule="auto"/>
    </w:pPr>
    <w:tblPr>
      <w:tblStyleRowBandSize w:val="1"/>
      <w:tblStyleColBandSize w:val="1"/>
      <w:tblBorders>
        <w:top w:val="single" w:sz="4" w:space="0" w:color="D2E8B0" w:themeColor="accent4" w:themeTint="67"/>
        <w:left w:val="single" w:sz="4" w:space="0" w:color="D2E8B0" w:themeColor="accent4" w:themeTint="67"/>
        <w:bottom w:val="single" w:sz="4" w:space="0" w:color="D2E8B0" w:themeColor="accent4" w:themeTint="67"/>
        <w:right w:val="single" w:sz="4" w:space="0" w:color="D2E8B0" w:themeColor="accent4" w:themeTint="67"/>
        <w:insideH w:val="single" w:sz="4" w:space="0" w:color="D2E8B0" w:themeColor="accent4" w:themeTint="67"/>
        <w:insideV w:val="single" w:sz="4" w:space="0" w:color="D2E8B0" w:themeColor="accent4" w:themeTint="67"/>
      </w:tblBorders>
    </w:tblPr>
    <w:tblStylePr w:type="firstRow">
      <w:rPr>
        <w:b/>
        <w:color w:val="404040"/>
      </w:rPr>
      <w:tblPr/>
      <w:tcPr>
        <w:tcBorders>
          <w:bottom w:val="single" w:sz="12" w:space="0" w:color="BFDE8E"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2E8B0" w:themeColor="accent4" w:themeTint="67"/>
          <w:left w:val="single" w:sz="4" w:space="0" w:color="D2E8B0" w:themeColor="accent4" w:themeTint="67"/>
          <w:bottom w:val="single" w:sz="4" w:space="0" w:color="D2E8B0" w:themeColor="accent4" w:themeTint="67"/>
          <w:right w:val="single" w:sz="4" w:space="0" w:color="D2E8B0" w:themeColor="accent4" w:themeTint="67"/>
        </w:tcBorders>
      </w:tcPr>
    </w:tblStylePr>
  </w:style>
  <w:style w:type="table" w:styleId="GridTable1Light-Accent5">
    <w:name w:val="Grid Table 1 Light Accent 5"/>
    <w:basedOn w:val="TableNormal"/>
    <w:uiPriority w:val="99"/>
    <w:pPr>
      <w:spacing w:after="0" w:line="240" w:lineRule="auto"/>
    </w:pPr>
    <w:tblPr>
      <w:tblStyleRowBandSize w:val="1"/>
      <w:tblStyleColBandSize w:val="1"/>
      <w:tblBorders>
        <w:top w:val="single" w:sz="4" w:space="0" w:color="C5E1DF" w:themeColor="accent5" w:themeTint="67"/>
        <w:left w:val="single" w:sz="4" w:space="0" w:color="C5E1DF" w:themeColor="accent5" w:themeTint="67"/>
        <w:bottom w:val="single" w:sz="4" w:space="0" w:color="C5E1DF" w:themeColor="accent5" w:themeTint="67"/>
        <w:right w:val="single" w:sz="4" w:space="0" w:color="C5E1DF" w:themeColor="accent5" w:themeTint="67"/>
        <w:insideH w:val="single" w:sz="4" w:space="0" w:color="C5E1DF" w:themeColor="accent5" w:themeTint="67"/>
        <w:insideV w:val="single" w:sz="4" w:space="0" w:color="C5E1DF" w:themeColor="accent5" w:themeTint="67"/>
      </w:tblBorders>
    </w:tblPr>
    <w:tblStylePr w:type="firstRow">
      <w:rPr>
        <w:b/>
        <w:color w:val="404040"/>
      </w:rPr>
      <w:tblPr/>
      <w:tcPr>
        <w:tcBorders>
          <w:bottom w:val="single" w:sz="12" w:space="0" w:color="ACD4D0"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5E1DF" w:themeColor="accent5" w:themeTint="67"/>
          <w:left w:val="single" w:sz="4" w:space="0" w:color="C5E1DF" w:themeColor="accent5" w:themeTint="67"/>
          <w:bottom w:val="single" w:sz="4" w:space="0" w:color="C5E1DF" w:themeColor="accent5" w:themeTint="67"/>
          <w:right w:val="single" w:sz="4" w:space="0" w:color="C5E1DF" w:themeColor="accent5" w:themeTint="67"/>
        </w:tcBorders>
      </w:tcPr>
    </w:tblStylePr>
  </w:style>
  <w:style w:type="table" w:styleId="GridTable1Light-Accent6">
    <w:name w:val="Grid Table 1 Light Accent 6"/>
    <w:basedOn w:val="TableNormal"/>
    <w:uiPriority w:val="99"/>
    <w:pPr>
      <w:spacing w:after="0" w:line="240" w:lineRule="auto"/>
    </w:pPr>
    <w:tblPr>
      <w:tblStyleRowBandSize w:val="1"/>
      <w:tblStyleColBandSize w:val="1"/>
      <w:tblBorders>
        <w:top w:val="single" w:sz="4" w:space="0" w:color="F9DFB2" w:themeColor="accent6" w:themeTint="67"/>
        <w:left w:val="single" w:sz="4" w:space="0" w:color="F9DFB2" w:themeColor="accent6" w:themeTint="67"/>
        <w:bottom w:val="single" w:sz="4" w:space="0" w:color="F9DFB2" w:themeColor="accent6" w:themeTint="67"/>
        <w:right w:val="single" w:sz="4" w:space="0" w:color="F9DFB2" w:themeColor="accent6" w:themeTint="67"/>
        <w:insideH w:val="single" w:sz="4" w:space="0" w:color="F9DFB2" w:themeColor="accent6" w:themeTint="67"/>
        <w:insideV w:val="single" w:sz="4" w:space="0" w:color="F9DFB2" w:themeColor="accent6" w:themeTint="67"/>
      </w:tblBorders>
    </w:tblPr>
    <w:tblStylePr w:type="firstRow">
      <w:rPr>
        <w:b/>
        <w:color w:val="404040"/>
      </w:rPr>
      <w:tblPr/>
      <w:tcPr>
        <w:tcBorders>
          <w:bottom w:val="single" w:sz="12" w:space="0" w:color="F6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9DFB2" w:themeColor="accent6" w:themeTint="67"/>
          <w:left w:val="single" w:sz="4" w:space="0" w:color="F9DFB2" w:themeColor="accent6" w:themeTint="67"/>
          <w:bottom w:val="single" w:sz="4" w:space="0" w:color="F9DFB2" w:themeColor="accent6" w:themeTint="67"/>
          <w:right w:val="single" w:sz="4" w:space="0" w:color="F9DFB2" w:themeColor="accent6" w:themeTint="67"/>
        </w:tcBorders>
      </w:tcPr>
    </w:tblStylePr>
  </w:style>
  <w:style w:type="table" w:styleId="GridTable2-Accent1">
    <w:name w:val="Grid Table 2 Accent 1"/>
    <w:basedOn w:val="TableNormal"/>
    <w:uiPriority w:val="47"/>
    <w:pPr>
      <w:spacing w:after="0" w:line="240" w:lineRule="auto"/>
    </w:pPr>
    <w:tblPr>
      <w:tblStyleRowBandSize w:val="1"/>
      <w:tblStyleColBandSize w:val="1"/>
      <w:tblBorders>
        <w:top w:val="single" w:sz="2" w:space="0" w:color="34FF8F" w:themeColor="accent1" w:themeTint="99"/>
        <w:bottom w:val="single" w:sz="2" w:space="0" w:color="34FF8F" w:themeColor="accent1" w:themeTint="99"/>
        <w:insideH w:val="single" w:sz="2" w:space="0" w:color="34FF8F" w:themeColor="accent1" w:themeTint="99"/>
        <w:insideV w:val="single" w:sz="2" w:space="0" w:color="34FF8F" w:themeColor="accent1" w:themeTint="99"/>
      </w:tblBorders>
    </w:tblPr>
    <w:tblStylePr w:type="firstRow">
      <w:rPr>
        <w:b/>
        <w:bCs/>
      </w:rPr>
      <w:tblPr/>
      <w:tcPr>
        <w:tcBorders>
          <w:top w:val="none" w:sz="4" w:space="0" w:color="000000"/>
          <w:bottom w:val="single" w:sz="12" w:space="0" w:color="34FF8F" w:themeColor="accent1" w:themeTint="99"/>
        </w:tcBorders>
        <w:shd w:val="clear" w:color="auto" w:fill="FFFFFF" w:themeFill="background1"/>
      </w:tcPr>
    </w:tblStylePr>
    <w:tblStylePr w:type="lastRow">
      <w:rPr>
        <w:b/>
        <w:bCs/>
      </w:rPr>
      <w:tblPr/>
      <w:tcPr>
        <w:tcBorders>
          <w:top w:val="single" w:sz="2" w:space="0" w:color="34FF8F" w:themeColor="accent1" w:themeTint="99"/>
          <w:bottom w:val="none" w:sz="4" w:space="0" w:color="000000"/>
        </w:tcBorders>
        <w:shd w:val="clear" w:color="auto" w:fill="FFFFFF" w:themeFill="background1"/>
      </w:tcPr>
    </w:tblStylePr>
    <w:tblStylePr w:type="firstCol">
      <w:rPr>
        <w:b/>
        <w:bCs/>
      </w:rPr>
    </w:tblStylePr>
    <w:tblStylePr w:type="lastCol">
      <w:rPr>
        <w:b/>
        <w:bCs/>
      </w:rPr>
    </w:tblStylePr>
    <w:tblStylePr w:type="band1Vert">
      <w:tblPr/>
      <w:tcPr>
        <w:shd w:val="clear" w:color="auto" w:fill="BBFFD9" w:themeFill="accent1" w:themeFillTint="33"/>
      </w:tcPr>
    </w:tblStylePr>
    <w:tblStylePr w:type="band1Horz">
      <w:tblPr/>
      <w:tcPr>
        <w:shd w:val="clear" w:color="auto" w:fill="BBFFD9" w:themeFill="accent1" w:themeFillTint="33"/>
      </w:tcPr>
    </w:tblStylePr>
  </w:style>
  <w:style w:type="table" w:styleId="GridTable2-Accent2">
    <w:name w:val="Grid Table 2 Accent 2"/>
    <w:basedOn w:val="TableNormal"/>
    <w:uiPriority w:val="99"/>
    <w:pPr>
      <w:spacing w:after="0" w:line="240" w:lineRule="auto"/>
    </w:pPr>
    <w:tblPr>
      <w:tblStyleRowBandSize w:val="1"/>
      <w:tblStyleColBandSize w:val="1"/>
      <w:tblBorders>
        <w:bottom w:val="single" w:sz="4" w:space="0" w:color="2BFFE9" w:themeColor="accent2" w:themeTint="97"/>
        <w:insideH w:val="single" w:sz="4" w:space="0" w:color="2BFFE9" w:themeColor="accent2" w:themeTint="97"/>
        <w:insideV w:val="single" w:sz="4" w:space="0" w:color="2BFFE9" w:themeColor="accent2" w:themeTint="97"/>
      </w:tblBorders>
    </w:tblPr>
    <w:tblStylePr w:type="firstRow">
      <w:rPr>
        <w:b/>
        <w:color w:val="404040"/>
      </w:rPr>
      <w:tblPr/>
      <w:tcPr>
        <w:tcBorders>
          <w:top w:val="none" w:sz="4" w:space="0" w:color="000000"/>
          <w:left w:val="none" w:sz="4" w:space="0" w:color="000000"/>
          <w:bottom w:val="single" w:sz="12" w:space="0" w:color="2BFFE9" w:themeColor="accent2" w:themeTint="97"/>
          <w:right w:val="none" w:sz="4" w:space="0" w:color="000000"/>
        </w:tcBorders>
        <w:shd w:val="clear" w:color="FFFFFF" w:fill="auto"/>
      </w:tcPr>
    </w:tblStylePr>
    <w:tblStylePr w:type="lastRow">
      <w:rPr>
        <w:b/>
        <w:color w:val="404040"/>
      </w:rPr>
      <w:tblPr/>
      <w:tcPr>
        <w:tcBorders>
          <w:top w:val="single" w:sz="4" w:space="0" w:color="2BFFE9"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8FFF7" w:themeColor="accent2" w:themeTint="32" w:fill="B8FFF7" w:themeFill="accent2" w:themeFillTint="32"/>
      </w:tcPr>
    </w:tblStylePr>
    <w:tblStylePr w:type="band1Horz">
      <w:rPr>
        <w:rFonts w:ascii="Arial" w:hAnsi="Arial"/>
        <w:color w:val="404040"/>
        <w:sz w:val="22"/>
      </w:rPr>
      <w:tblPr/>
      <w:tcPr>
        <w:shd w:val="clear" w:color="B8FFF7" w:themeColor="accent2" w:themeTint="32" w:fill="B8FFF7" w:themeFill="accent2" w:themeFillTint="32"/>
      </w:tcPr>
    </w:tblStylePr>
  </w:style>
  <w:style w:type="table" w:styleId="GridTable2-Accent3">
    <w:name w:val="Grid Table 2 Accent 3"/>
    <w:basedOn w:val="TableNormal"/>
    <w:uiPriority w:val="99"/>
    <w:pPr>
      <w:spacing w:after="0" w:line="240" w:lineRule="auto"/>
    </w:pPr>
    <w:tblPr>
      <w:tblStyleRowBandSize w:val="1"/>
      <w:tblStyleColBandSize w:val="1"/>
      <w:tblBorders>
        <w:bottom w:val="single" w:sz="4" w:space="0" w:color="283A97" w:themeColor="accent3" w:themeTint="FE"/>
        <w:insideH w:val="single" w:sz="4" w:space="0" w:color="283A97" w:themeColor="accent3" w:themeTint="FE"/>
        <w:insideV w:val="single" w:sz="4" w:space="0" w:color="283A97" w:themeColor="accent3" w:themeTint="FE"/>
      </w:tblBorders>
    </w:tblPr>
    <w:tblStylePr w:type="firstRow">
      <w:rPr>
        <w:b/>
        <w:color w:val="404040"/>
      </w:rPr>
      <w:tblPr/>
      <w:tcPr>
        <w:tcBorders>
          <w:top w:val="none" w:sz="4" w:space="0" w:color="000000"/>
          <w:left w:val="none" w:sz="4" w:space="0" w:color="000000"/>
          <w:bottom w:val="single" w:sz="12" w:space="0" w:color="283A97" w:themeColor="accent3" w:themeTint="FE"/>
          <w:right w:val="none" w:sz="4" w:space="0" w:color="000000"/>
        </w:tcBorders>
        <w:shd w:val="clear" w:color="FFFFFF" w:fill="auto"/>
      </w:tcPr>
    </w:tblStylePr>
    <w:tblStylePr w:type="lastRow">
      <w:rPr>
        <w:b/>
        <w:color w:val="404040"/>
      </w:rPr>
      <w:tblPr/>
      <w:tcPr>
        <w:tcBorders>
          <w:top w:val="single" w:sz="4" w:space="0" w:color="283A97"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D1F1" w:themeColor="accent3" w:themeTint="34" w:fill="CBD1F1" w:themeFill="accent3" w:themeFillTint="34"/>
      </w:tcPr>
    </w:tblStylePr>
    <w:tblStylePr w:type="band1Horz">
      <w:rPr>
        <w:rFonts w:ascii="Arial" w:hAnsi="Arial"/>
        <w:color w:val="404040"/>
        <w:sz w:val="22"/>
      </w:rPr>
      <w:tblPr/>
      <w:tcPr>
        <w:shd w:val="clear" w:color="CBD1F1" w:themeColor="accent3" w:themeTint="34" w:fill="CBD1F1" w:themeFill="accent3" w:themeFillTint="34"/>
      </w:tcPr>
    </w:tblStylePr>
  </w:style>
  <w:style w:type="table" w:styleId="GridTable2-Accent4">
    <w:name w:val="Grid Table 2 Accent 4"/>
    <w:basedOn w:val="TableNormal"/>
    <w:uiPriority w:val="99"/>
    <w:pPr>
      <w:spacing w:after="0" w:line="240" w:lineRule="auto"/>
    </w:pPr>
    <w:tblPr>
      <w:tblStyleRowBandSize w:val="1"/>
      <w:tblStyleColBandSize w:val="1"/>
      <w:tblBorders>
        <w:bottom w:val="single" w:sz="4" w:space="0" w:color="BDDD8A" w:themeColor="accent4" w:themeTint="9A"/>
        <w:insideH w:val="single" w:sz="4" w:space="0" w:color="BDDD8A" w:themeColor="accent4" w:themeTint="9A"/>
        <w:insideV w:val="single" w:sz="4" w:space="0" w:color="BDDD8A" w:themeColor="accent4" w:themeTint="9A"/>
      </w:tblBorders>
    </w:tblPr>
    <w:tblStylePr w:type="firstRow">
      <w:rPr>
        <w:b/>
        <w:color w:val="404040"/>
      </w:rPr>
      <w:tblPr/>
      <w:tcPr>
        <w:tcBorders>
          <w:top w:val="none" w:sz="4" w:space="0" w:color="000000"/>
          <w:left w:val="none" w:sz="4" w:space="0" w:color="000000"/>
          <w:bottom w:val="single" w:sz="12" w:space="0" w:color="BDDD8A" w:themeColor="accent4" w:themeTint="9A"/>
          <w:right w:val="none" w:sz="4" w:space="0" w:color="000000"/>
        </w:tcBorders>
        <w:shd w:val="clear" w:color="FFFFFF" w:fill="auto"/>
      </w:tcPr>
    </w:tblStylePr>
    <w:tblStylePr w:type="lastRow">
      <w:rPr>
        <w:b/>
        <w:color w:val="404040"/>
      </w:rPr>
      <w:tblPr/>
      <w:tcPr>
        <w:tcBorders>
          <w:top w:val="single" w:sz="4" w:space="0" w:color="BDDD8A"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F3D7" w:themeColor="accent4" w:themeTint="34" w:fill="E8F3D7" w:themeFill="accent4" w:themeFillTint="34"/>
      </w:tcPr>
    </w:tblStylePr>
    <w:tblStylePr w:type="band1Horz">
      <w:rPr>
        <w:rFonts w:ascii="Arial" w:hAnsi="Arial"/>
        <w:color w:val="404040"/>
        <w:sz w:val="22"/>
      </w:rPr>
      <w:tblPr/>
      <w:tcPr>
        <w:shd w:val="clear" w:color="E8F3D7" w:themeColor="accent4" w:themeTint="34" w:fill="E8F3D7" w:themeFill="accent4" w:themeFillTint="34"/>
      </w:tcPr>
    </w:tblStylePr>
  </w:style>
  <w:style w:type="table" w:styleId="GridTable2-Accent5">
    <w:name w:val="Grid Table 2 Accent 5"/>
    <w:basedOn w:val="TableNormal"/>
    <w:uiPriority w:val="99"/>
    <w:pPr>
      <w:spacing w:after="0" w:line="240" w:lineRule="auto"/>
    </w:pPr>
    <w:tblPr>
      <w:tblStyleRowBandSize w:val="1"/>
      <w:tblStyleColBandSize w:val="1"/>
      <w:tblBorders>
        <w:bottom w:val="single" w:sz="4" w:space="0" w:color="72B6B0" w:themeColor="accent5"/>
        <w:insideH w:val="single" w:sz="4" w:space="0" w:color="72B6B0" w:themeColor="accent5"/>
        <w:insideV w:val="single" w:sz="4" w:space="0" w:color="72B6B0" w:themeColor="accent5"/>
      </w:tblBorders>
    </w:tblPr>
    <w:tblStylePr w:type="firstRow">
      <w:rPr>
        <w:b/>
        <w:color w:val="404040"/>
      </w:rPr>
      <w:tblPr/>
      <w:tcPr>
        <w:tcBorders>
          <w:top w:val="none" w:sz="4" w:space="0" w:color="000000"/>
          <w:left w:val="none" w:sz="4" w:space="0" w:color="000000"/>
          <w:bottom w:val="single" w:sz="12" w:space="0" w:color="72B6B0" w:themeColor="accent5"/>
          <w:right w:val="none" w:sz="4" w:space="0" w:color="000000"/>
        </w:tcBorders>
        <w:shd w:val="clear" w:color="FFFFFF" w:fill="auto"/>
      </w:tcPr>
    </w:tblStylePr>
    <w:tblStylePr w:type="lastRow">
      <w:rPr>
        <w:b/>
        <w:color w:val="404040"/>
      </w:rPr>
      <w:tblPr/>
      <w:tcPr>
        <w:tcBorders>
          <w:top w:val="single" w:sz="4" w:space="0" w:color="72B6B0"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2F0EE" w:themeColor="accent5" w:themeTint="34" w:fill="E2F0EE" w:themeFill="accent5" w:themeFillTint="34"/>
      </w:tcPr>
    </w:tblStylePr>
    <w:tblStylePr w:type="band1Horz">
      <w:rPr>
        <w:rFonts w:ascii="Arial" w:hAnsi="Arial"/>
        <w:color w:val="404040"/>
        <w:sz w:val="22"/>
      </w:rPr>
      <w:tblPr/>
      <w:tcPr>
        <w:shd w:val="clear" w:color="E2F0EE" w:themeColor="accent5" w:themeTint="34" w:fill="E2F0EE" w:themeFill="accent5" w:themeFillTint="34"/>
      </w:tcPr>
    </w:tblStylePr>
  </w:style>
  <w:style w:type="table" w:styleId="GridTable2-Accent6">
    <w:name w:val="Grid Table 2 Accent 6"/>
    <w:basedOn w:val="TableNormal"/>
    <w:uiPriority w:val="99"/>
    <w:pPr>
      <w:spacing w:after="0" w:line="240" w:lineRule="auto"/>
    </w:pPr>
    <w:tblPr>
      <w:tblStyleRowBandSize w:val="1"/>
      <w:tblStyleColBandSize w:val="1"/>
      <w:tblBorders>
        <w:bottom w:val="single" w:sz="4" w:space="0" w:color="F0B142" w:themeColor="accent6"/>
        <w:insideH w:val="single" w:sz="4" w:space="0" w:color="F0B142" w:themeColor="accent6"/>
        <w:insideV w:val="single" w:sz="4" w:space="0" w:color="F0B142" w:themeColor="accent6"/>
      </w:tblBorders>
    </w:tblPr>
    <w:tblStylePr w:type="firstRow">
      <w:rPr>
        <w:b/>
        <w:color w:val="404040"/>
      </w:rPr>
      <w:tblPr/>
      <w:tcPr>
        <w:tcBorders>
          <w:top w:val="none" w:sz="4" w:space="0" w:color="000000"/>
          <w:left w:val="none" w:sz="4" w:space="0" w:color="000000"/>
          <w:bottom w:val="single" w:sz="12" w:space="0" w:color="F0B142" w:themeColor="accent6"/>
          <w:right w:val="none" w:sz="4" w:space="0" w:color="000000"/>
        </w:tcBorders>
        <w:shd w:val="clear" w:color="FFFFFF" w:fill="auto"/>
      </w:tcPr>
    </w:tblStylePr>
    <w:tblStylePr w:type="lastRow">
      <w:rPr>
        <w:b/>
        <w:color w:val="404040"/>
      </w:rPr>
      <w:tblPr/>
      <w:tcPr>
        <w:tcBorders>
          <w:top w:val="single" w:sz="4" w:space="0" w:color="F0B142"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CEED8" w:themeColor="accent6" w:themeTint="34" w:fill="FCEED8" w:themeFill="accent6" w:themeFillTint="34"/>
      </w:tcPr>
    </w:tblStylePr>
    <w:tblStylePr w:type="band1Horz">
      <w:rPr>
        <w:rFonts w:ascii="Arial" w:hAnsi="Arial"/>
        <w:color w:val="404040"/>
        <w:sz w:val="22"/>
      </w:rPr>
      <w:tblPr/>
      <w:tcPr>
        <w:shd w:val="clear" w:color="FCEED8" w:themeColor="accent6" w:themeTint="34" w:fill="FCEED8" w:themeFill="accent6" w:themeFillTint="34"/>
      </w:tcPr>
    </w:tblStylePr>
  </w:style>
  <w:style w:type="table" w:styleId="GridTable3-Accent1">
    <w:name w:val="Grid Table 3 Accent 1"/>
    <w:basedOn w:val="TableNormal"/>
    <w:uiPriority w:val="99"/>
    <w:pPr>
      <w:spacing w:after="0" w:line="240" w:lineRule="auto"/>
    </w:pPr>
    <w:tblPr>
      <w:tblStyleRowBandSize w:val="1"/>
      <w:tblStyleColBandSize w:val="1"/>
      <w:tblBorders>
        <w:bottom w:val="single" w:sz="4" w:space="0" w:color="00C75A" w:themeColor="accent1" w:themeTint="EA"/>
        <w:insideH w:val="single" w:sz="4" w:space="0" w:color="00C75A" w:themeColor="accent1" w:themeTint="EA"/>
        <w:insideV w:val="single" w:sz="4" w:space="0" w:color="00C75A"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BAFFD9" w:themeColor="accent1" w:themeTint="34" w:fill="BAFFD9" w:themeFill="accent1" w:themeFillTint="34"/>
      </w:tcPr>
    </w:tblStylePr>
    <w:tblStylePr w:type="band1Horz">
      <w:rPr>
        <w:rFonts w:ascii="Arial" w:hAnsi="Arial"/>
        <w:color w:val="404040"/>
        <w:sz w:val="22"/>
      </w:rPr>
      <w:tblPr/>
      <w:tcPr>
        <w:shd w:val="clear" w:color="BAFFD9" w:themeColor="accent1" w:themeTint="34" w:fill="BAFFD9" w:themeFill="accent1" w:themeFillTint="34"/>
      </w:tcPr>
    </w:tblStylePr>
  </w:style>
  <w:style w:type="table" w:styleId="GridTable3-Accent2">
    <w:name w:val="Grid Table 3 Accent 2"/>
    <w:basedOn w:val="TableNormal"/>
    <w:uiPriority w:val="99"/>
    <w:pPr>
      <w:spacing w:after="0" w:line="240" w:lineRule="auto"/>
    </w:pPr>
    <w:tblPr>
      <w:tblStyleRowBandSize w:val="1"/>
      <w:tblStyleColBandSize w:val="1"/>
      <w:tblBorders>
        <w:bottom w:val="single" w:sz="4" w:space="0" w:color="2BFFE9" w:themeColor="accent2" w:themeTint="97"/>
        <w:insideH w:val="single" w:sz="4" w:space="0" w:color="2BFFE9" w:themeColor="accent2" w:themeTint="97"/>
        <w:insideV w:val="single" w:sz="4" w:space="0" w:color="2BFFE9"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B8FFF7" w:themeColor="accent2" w:themeTint="32" w:fill="B8FFF7" w:themeFill="accent2" w:themeFillTint="32"/>
      </w:tcPr>
    </w:tblStylePr>
    <w:tblStylePr w:type="band1Horz">
      <w:rPr>
        <w:rFonts w:ascii="Arial" w:hAnsi="Arial"/>
        <w:color w:val="404040"/>
        <w:sz w:val="22"/>
      </w:rPr>
      <w:tblPr/>
      <w:tcPr>
        <w:shd w:val="clear" w:color="B8FFF7" w:themeColor="accent2" w:themeTint="32" w:fill="B8FFF7" w:themeFill="accent2" w:themeFillTint="32"/>
      </w:tcPr>
    </w:tblStylePr>
  </w:style>
  <w:style w:type="table" w:styleId="GridTable3-Accent3">
    <w:name w:val="Grid Table 3 Accent 3"/>
    <w:basedOn w:val="TableNormal"/>
    <w:uiPriority w:val="99"/>
    <w:pPr>
      <w:spacing w:after="0" w:line="240" w:lineRule="auto"/>
    </w:pPr>
    <w:tblPr>
      <w:tblStyleRowBandSize w:val="1"/>
      <w:tblStyleColBandSize w:val="1"/>
      <w:tblBorders>
        <w:bottom w:val="single" w:sz="4" w:space="0" w:color="283A97" w:themeColor="accent3" w:themeTint="FE"/>
        <w:insideH w:val="single" w:sz="4" w:space="0" w:color="283A97" w:themeColor="accent3" w:themeTint="FE"/>
        <w:insideV w:val="single" w:sz="4" w:space="0" w:color="283A97"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D1F1" w:themeColor="accent3" w:themeTint="34" w:fill="CBD1F1" w:themeFill="accent3" w:themeFillTint="34"/>
      </w:tcPr>
    </w:tblStylePr>
    <w:tblStylePr w:type="band1Horz">
      <w:rPr>
        <w:rFonts w:ascii="Arial" w:hAnsi="Arial"/>
        <w:color w:val="404040"/>
        <w:sz w:val="22"/>
      </w:rPr>
      <w:tblPr/>
      <w:tcPr>
        <w:shd w:val="clear" w:color="CBD1F1" w:themeColor="accent3" w:themeTint="34" w:fill="CBD1F1" w:themeFill="accent3" w:themeFillTint="34"/>
      </w:tcPr>
    </w:tblStylePr>
  </w:style>
  <w:style w:type="table" w:styleId="GridTable3-Accent4">
    <w:name w:val="Grid Table 3 Accent 4"/>
    <w:basedOn w:val="TableNormal"/>
    <w:uiPriority w:val="99"/>
    <w:pPr>
      <w:spacing w:after="0" w:line="240" w:lineRule="auto"/>
    </w:pPr>
    <w:tblPr>
      <w:tblStyleRowBandSize w:val="1"/>
      <w:tblStyleColBandSize w:val="1"/>
      <w:tblBorders>
        <w:bottom w:val="single" w:sz="4" w:space="0" w:color="BDDD8A" w:themeColor="accent4" w:themeTint="9A"/>
        <w:insideH w:val="single" w:sz="4" w:space="0" w:color="BDDD8A" w:themeColor="accent4" w:themeTint="9A"/>
        <w:insideV w:val="single" w:sz="4" w:space="0" w:color="BDDD8A"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8F3D7" w:themeColor="accent4" w:themeTint="34" w:fill="E8F3D7" w:themeFill="accent4" w:themeFillTint="34"/>
      </w:tcPr>
    </w:tblStylePr>
    <w:tblStylePr w:type="band1Horz">
      <w:rPr>
        <w:rFonts w:ascii="Arial" w:hAnsi="Arial"/>
        <w:color w:val="404040"/>
        <w:sz w:val="22"/>
      </w:rPr>
      <w:tblPr/>
      <w:tcPr>
        <w:shd w:val="clear" w:color="E8F3D7" w:themeColor="accent4" w:themeTint="34" w:fill="E8F3D7" w:themeFill="accent4" w:themeFillTint="34"/>
      </w:tcPr>
    </w:tblStylePr>
  </w:style>
  <w:style w:type="table" w:styleId="GridTable3-Accent5">
    <w:name w:val="Grid Table 3 Accent 5"/>
    <w:basedOn w:val="TableNormal"/>
    <w:uiPriority w:val="99"/>
    <w:pPr>
      <w:spacing w:after="0" w:line="240" w:lineRule="auto"/>
    </w:pPr>
    <w:tblPr>
      <w:tblStyleRowBandSize w:val="1"/>
      <w:tblStyleColBandSize w:val="1"/>
      <w:tblBorders>
        <w:bottom w:val="single" w:sz="4" w:space="0" w:color="72B6B0" w:themeColor="accent5"/>
        <w:insideH w:val="single" w:sz="4" w:space="0" w:color="72B6B0" w:themeColor="accent5"/>
        <w:insideV w:val="single" w:sz="4" w:space="0" w:color="72B6B0"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2F0EE" w:themeColor="accent5" w:themeTint="34" w:fill="E2F0EE" w:themeFill="accent5" w:themeFillTint="34"/>
      </w:tcPr>
    </w:tblStylePr>
    <w:tblStylePr w:type="band1Horz">
      <w:rPr>
        <w:rFonts w:ascii="Arial" w:hAnsi="Arial"/>
        <w:color w:val="404040"/>
        <w:sz w:val="22"/>
      </w:rPr>
      <w:tblPr/>
      <w:tcPr>
        <w:shd w:val="clear" w:color="E2F0EE" w:themeColor="accent5" w:themeTint="34" w:fill="E2F0EE" w:themeFill="accent5" w:themeFillTint="34"/>
      </w:tcPr>
    </w:tblStylePr>
  </w:style>
  <w:style w:type="table" w:styleId="GridTable3-Accent6">
    <w:name w:val="Grid Table 3 Accent 6"/>
    <w:basedOn w:val="TableNormal"/>
    <w:uiPriority w:val="99"/>
    <w:pPr>
      <w:spacing w:after="0" w:line="240" w:lineRule="auto"/>
    </w:pPr>
    <w:tblPr>
      <w:tblStyleRowBandSize w:val="1"/>
      <w:tblStyleColBandSize w:val="1"/>
      <w:tblBorders>
        <w:bottom w:val="single" w:sz="4" w:space="0" w:color="F0B142" w:themeColor="accent6"/>
        <w:insideH w:val="single" w:sz="4" w:space="0" w:color="F0B142" w:themeColor="accent6"/>
        <w:insideV w:val="single" w:sz="4" w:space="0" w:color="F0B142"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CEED8" w:themeColor="accent6" w:themeTint="34" w:fill="FCEED8" w:themeFill="accent6" w:themeFillTint="34"/>
      </w:tcPr>
    </w:tblStylePr>
    <w:tblStylePr w:type="band1Horz">
      <w:rPr>
        <w:rFonts w:ascii="Arial" w:hAnsi="Arial"/>
        <w:color w:val="404040"/>
        <w:sz w:val="22"/>
      </w:rPr>
      <w:tblPr/>
      <w:tcPr>
        <w:shd w:val="clear" w:color="FCEED8" w:themeColor="accent6" w:themeTint="34" w:fill="FCEED8" w:themeFill="accent6" w:themeFillTint="34"/>
      </w:tcPr>
    </w:tblStylePr>
  </w:style>
  <w:style w:type="table" w:styleId="GridTable4-Accent1">
    <w:name w:val="Grid Table 4 Accent 1"/>
    <w:basedOn w:val="TableNormal"/>
    <w:uiPriority w:val="49"/>
    <w:pPr>
      <w:spacing w:after="0" w:line="240" w:lineRule="auto"/>
    </w:pPr>
    <w:tblPr>
      <w:tblStyleRowBandSize w:val="1"/>
      <w:tblStyleColBandSize w:val="1"/>
      <w:tblBorders>
        <w:top w:val="single" w:sz="4" w:space="0" w:color="34FF8F" w:themeColor="accent1" w:themeTint="99"/>
        <w:left w:val="single" w:sz="4" w:space="0" w:color="34FF8F" w:themeColor="accent1" w:themeTint="99"/>
        <w:bottom w:val="single" w:sz="4" w:space="0" w:color="34FF8F" w:themeColor="accent1" w:themeTint="99"/>
        <w:right w:val="single" w:sz="4" w:space="0" w:color="34FF8F" w:themeColor="accent1" w:themeTint="99"/>
        <w:insideH w:val="single" w:sz="4" w:space="0" w:color="34FF8F" w:themeColor="accent1" w:themeTint="99"/>
        <w:insideV w:val="single" w:sz="4" w:space="0" w:color="34FF8F" w:themeColor="accent1" w:themeTint="99"/>
      </w:tblBorders>
    </w:tblPr>
    <w:tblStylePr w:type="firstRow">
      <w:rPr>
        <w:b/>
        <w:bCs/>
        <w:color w:val="FFFFFF" w:themeColor="background1"/>
      </w:rPr>
      <w:tblPr/>
      <w:tcPr>
        <w:tcBorders>
          <w:top w:val="single" w:sz="4" w:space="0" w:color="00AC4E" w:themeColor="accent1"/>
          <w:left w:val="single" w:sz="4" w:space="0" w:color="00AC4E" w:themeColor="accent1"/>
          <w:bottom w:val="single" w:sz="4" w:space="0" w:color="00AC4E" w:themeColor="accent1"/>
          <w:right w:val="single" w:sz="4" w:space="0" w:color="00AC4E" w:themeColor="accent1"/>
        </w:tcBorders>
        <w:shd w:val="clear" w:color="auto" w:fill="00AC4E" w:themeFill="accent1"/>
      </w:tcPr>
    </w:tblStylePr>
    <w:tblStylePr w:type="lastRow">
      <w:rPr>
        <w:b/>
        <w:bCs/>
      </w:rPr>
      <w:tblPr/>
      <w:tcPr>
        <w:tcBorders>
          <w:top w:val="single" w:sz="4" w:space="0" w:color="00AC4E" w:themeColor="accent1"/>
        </w:tcBorders>
      </w:tcPr>
    </w:tblStylePr>
    <w:tblStylePr w:type="firstCol">
      <w:rPr>
        <w:b/>
        <w:bCs/>
      </w:rPr>
    </w:tblStylePr>
    <w:tblStylePr w:type="lastCol">
      <w:rPr>
        <w:b/>
        <w:bCs/>
      </w:rPr>
    </w:tblStylePr>
    <w:tblStylePr w:type="band1Vert">
      <w:tblPr/>
      <w:tcPr>
        <w:shd w:val="clear" w:color="auto" w:fill="BBFFD9" w:themeFill="accent1" w:themeFillTint="33"/>
      </w:tcPr>
    </w:tblStylePr>
    <w:tblStylePr w:type="band1Horz">
      <w:tblPr/>
      <w:tcPr>
        <w:shd w:val="clear" w:color="auto" w:fill="BBFFD9" w:themeFill="accent1" w:themeFillTint="33"/>
      </w:tcPr>
    </w:tblStylePr>
  </w:style>
  <w:style w:type="table" w:styleId="GridTable4-Accent2">
    <w:name w:val="Grid Table 4 Accent 2"/>
    <w:basedOn w:val="TableNormal"/>
    <w:uiPriority w:val="49"/>
    <w:pPr>
      <w:spacing w:after="0" w:line="240" w:lineRule="auto"/>
    </w:pPr>
    <w:tblPr>
      <w:tblStyleRowBandSize w:val="1"/>
      <w:tblStyleColBandSize w:val="1"/>
    </w:tblPr>
    <w:tcPr>
      <w:shd w:val="clear" w:color="auto" w:fill="F5F5F6" w:themeFill="background2"/>
      <w:vAlign w:val="center"/>
    </w:tcPr>
    <w:tblStylePr w:type="firstRow">
      <w:rPr>
        <w:b/>
        <w:bCs/>
        <w:color w:val="FFFFFF" w:themeColor="background1"/>
      </w:rPr>
      <w:tblPr/>
      <w:tcPr>
        <w:shd w:val="clear" w:color="auto" w:fill="48516A" w:themeFill="text1"/>
      </w:tcPr>
    </w:tblStylePr>
    <w:tblStylePr w:type="lastRow">
      <w:rPr>
        <w:b/>
        <w:bCs/>
      </w:rPr>
      <w:tblPr/>
      <w:tcPr>
        <w:tcBorders>
          <w:top w:val="single" w:sz="4" w:space="0" w:color="009889" w:themeColor="accent2"/>
        </w:tcBorders>
      </w:tcPr>
    </w:tblStylePr>
    <w:tblStylePr w:type="firstCol">
      <w:rPr>
        <w:b/>
        <w:bCs/>
      </w:rPr>
    </w:tblStylePr>
    <w:tblStylePr w:type="lastCol">
      <w:rPr>
        <w:b/>
        <w:bCs/>
      </w:rPr>
    </w:tblStylePr>
    <w:tblStylePr w:type="band2Horz">
      <w:tblPr/>
      <w:tcPr>
        <w:shd w:val="clear" w:color="auto" w:fill="FFFFFF" w:themeFill="background1"/>
      </w:tcPr>
    </w:tblStylePr>
  </w:style>
  <w:style w:type="table" w:styleId="GridTable4-Accent3">
    <w:name w:val="Grid Table 4 Accent 3"/>
    <w:basedOn w:val="TableNormal"/>
    <w:uiPriority w:val="59"/>
    <w:pPr>
      <w:spacing w:after="0" w:line="240" w:lineRule="auto"/>
    </w:pPr>
    <w:tblPr>
      <w:tblStyleRowBandSize w:val="1"/>
      <w:tblStyleColBandSize w:val="1"/>
      <w:tblBorders>
        <w:top w:val="single" w:sz="4" w:space="0" w:color="7081D9" w:themeColor="accent3" w:themeTint="90"/>
        <w:left w:val="single" w:sz="4" w:space="0" w:color="7081D9" w:themeColor="accent3" w:themeTint="90"/>
        <w:bottom w:val="single" w:sz="4" w:space="0" w:color="7081D9" w:themeColor="accent3" w:themeTint="90"/>
        <w:right w:val="single" w:sz="4" w:space="0" w:color="7081D9" w:themeColor="accent3" w:themeTint="90"/>
        <w:insideH w:val="single" w:sz="4" w:space="0" w:color="7081D9" w:themeColor="accent3" w:themeTint="90"/>
        <w:insideV w:val="single" w:sz="4" w:space="0" w:color="7081D9" w:themeColor="accent3" w:themeTint="90"/>
      </w:tblBorders>
    </w:tblPr>
    <w:tblStylePr w:type="firstRow">
      <w:rPr>
        <w:rFonts w:ascii="Arial" w:hAnsi="Arial"/>
        <w:b/>
        <w:color w:val="FFFFFF"/>
        <w:sz w:val="22"/>
      </w:rPr>
      <w:tblPr/>
      <w:tcPr>
        <w:tcBorders>
          <w:top w:val="single" w:sz="4" w:space="0" w:color="283A97" w:themeColor="accent3" w:themeTint="FE"/>
          <w:left w:val="single" w:sz="4" w:space="0" w:color="283A97" w:themeColor="accent3" w:themeTint="FE"/>
          <w:bottom w:val="single" w:sz="4" w:space="0" w:color="283A97" w:themeColor="accent3" w:themeTint="FE"/>
          <w:right w:val="single" w:sz="4" w:space="0" w:color="283A97" w:themeColor="accent3" w:themeTint="FE"/>
        </w:tcBorders>
        <w:shd w:val="clear" w:color="283A97" w:themeColor="accent3" w:themeTint="FE" w:fill="283A97" w:themeFill="accent3" w:themeFillTint="FE"/>
      </w:tcPr>
    </w:tblStylePr>
    <w:tblStylePr w:type="lastRow">
      <w:rPr>
        <w:b/>
        <w:color w:val="404040"/>
      </w:rPr>
      <w:tblPr/>
      <w:tcPr>
        <w:tcBorders>
          <w:top w:val="single" w:sz="4" w:space="0" w:color="283A97"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D1F1" w:themeColor="accent3" w:themeTint="34" w:fill="CBD1F1" w:themeFill="accent3" w:themeFillTint="34"/>
      </w:tcPr>
    </w:tblStylePr>
    <w:tblStylePr w:type="band1Horz">
      <w:rPr>
        <w:rFonts w:ascii="Arial" w:hAnsi="Arial"/>
        <w:color w:val="404040"/>
        <w:sz w:val="22"/>
      </w:rPr>
      <w:tblPr/>
      <w:tcPr>
        <w:shd w:val="clear" w:color="CBD1F1" w:themeColor="accent3" w:themeTint="34" w:fill="CBD1F1" w:themeFill="accent3" w:themeFillTint="34"/>
      </w:tcPr>
    </w:tblStylePr>
  </w:style>
  <w:style w:type="table" w:styleId="GridTable4-Accent4">
    <w:name w:val="Grid Table 4 Accent 4"/>
    <w:basedOn w:val="TableNormal"/>
    <w:uiPriority w:val="59"/>
    <w:pPr>
      <w:spacing w:after="0" w:line="240" w:lineRule="auto"/>
    </w:pPr>
    <w:tblPr>
      <w:tblStyleRowBandSize w:val="1"/>
      <w:tblStyleColBandSize w:val="1"/>
      <w:tblBorders>
        <w:top w:val="single" w:sz="4" w:space="0" w:color="C1E091" w:themeColor="accent4" w:themeTint="90"/>
        <w:left w:val="single" w:sz="4" w:space="0" w:color="C1E091" w:themeColor="accent4" w:themeTint="90"/>
        <w:bottom w:val="single" w:sz="4" w:space="0" w:color="C1E091" w:themeColor="accent4" w:themeTint="90"/>
        <w:right w:val="single" w:sz="4" w:space="0" w:color="C1E091" w:themeColor="accent4" w:themeTint="90"/>
        <w:insideH w:val="single" w:sz="4" w:space="0" w:color="C1E091" w:themeColor="accent4" w:themeTint="90"/>
        <w:insideV w:val="single" w:sz="4" w:space="0" w:color="C1E091" w:themeColor="accent4" w:themeTint="90"/>
      </w:tblBorders>
    </w:tblPr>
    <w:tblStylePr w:type="firstRow">
      <w:rPr>
        <w:rFonts w:ascii="Arial" w:hAnsi="Arial"/>
        <w:b/>
        <w:color w:val="FFFFFF"/>
        <w:sz w:val="22"/>
      </w:rPr>
      <w:tblPr/>
      <w:tcPr>
        <w:tcBorders>
          <w:top w:val="single" w:sz="4" w:space="0" w:color="BDDD8A" w:themeColor="accent4" w:themeTint="9A"/>
          <w:left w:val="single" w:sz="4" w:space="0" w:color="BDDD8A" w:themeColor="accent4" w:themeTint="9A"/>
          <w:bottom w:val="single" w:sz="4" w:space="0" w:color="BDDD8A" w:themeColor="accent4" w:themeTint="9A"/>
          <w:right w:val="single" w:sz="4" w:space="0" w:color="BDDD8A" w:themeColor="accent4" w:themeTint="9A"/>
        </w:tcBorders>
        <w:shd w:val="clear" w:color="BDDD8A" w:themeColor="accent4" w:themeTint="9A" w:fill="BDDD8A" w:themeFill="accent4" w:themeFillTint="9A"/>
      </w:tcPr>
    </w:tblStylePr>
    <w:tblStylePr w:type="lastRow">
      <w:rPr>
        <w:b/>
        <w:color w:val="404040"/>
      </w:rPr>
      <w:tblPr/>
      <w:tcPr>
        <w:tcBorders>
          <w:top w:val="single" w:sz="4" w:space="0" w:color="BDDD8A"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F3D7" w:themeColor="accent4" w:themeTint="34" w:fill="E8F3D7" w:themeFill="accent4" w:themeFillTint="34"/>
      </w:tcPr>
    </w:tblStylePr>
    <w:tblStylePr w:type="band1Horz">
      <w:rPr>
        <w:rFonts w:ascii="Arial" w:hAnsi="Arial"/>
        <w:color w:val="404040"/>
        <w:sz w:val="22"/>
      </w:rPr>
      <w:tblPr/>
      <w:tcPr>
        <w:shd w:val="clear" w:color="E8F3D7" w:themeColor="accent4" w:themeTint="34" w:fill="E8F3D7" w:themeFill="accent4" w:themeFillTint="34"/>
      </w:tcPr>
    </w:tblStylePr>
  </w:style>
  <w:style w:type="table" w:styleId="GridTable4-Accent5">
    <w:name w:val="Grid Table 4 Accent 5"/>
    <w:basedOn w:val="TableNormal"/>
    <w:uiPriority w:val="49"/>
    <w:pPr>
      <w:spacing w:after="0" w:line="240" w:lineRule="auto"/>
    </w:pPr>
    <w:tblPr>
      <w:tblStyleRowBandSize w:val="1"/>
      <w:tblStyleColBandSize w:val="1"/>
      <w:tblBorders>
        <w:top w:val="single" w:sz="4" w:space="0" w:color="AAD3CF" w:themeColor="accent5" w:themeTint="99"/>
        <w:left w:val="single" w:sz="4" w:space="0" w:color="AAD3CF" w:themeColor="accent5" w:themeTint="99"/>
        <w:bottom w:val="single" w:sz="4" w:space="0" w:color="AAD3CF" w:themeColor="accent5" w:themeTint="99"/>
        <w:right w:val="single" w:sz="4" w:space="0" w:color="AAD3CF" w:themeColor="accent5" w:themeTint="99"/>
        <w:insideH w:val="single" w:sz="4" w:space="0" w:color="AAD3CF" w:themeColor="accent5" w:themeTint="99"/>
        <w:insideV w:val="single" w:sz="4" w:space="0" w:color="AAD3CF" w:themeColor="accent5" w:themeTint="99"/>
      </w:tblBorders>
    </w:tblPr>
    <w:tblStylePr w:type="firstRow">
      <w:rPr>
        <w:b/>
        <w:bCs/>
        <w:color w:val="48516A" w:themeColor="text1"/>
      </w:rPr>
      <w:tblPr/>
      <w:tcPr>
        <w:shd w:val="clear" w:color="auto" w:fill="FEC111"/>
      </w:tcPr>
    </w:tblStylePr>
    <w:tblStylePr w:type="lastRow">
      <w:rPr>
        <w:b/>
        <w:bCs/>
      </w:rPr>
      <w:tblPr/>
      <w:tcPr>
        <w:tcBorders>
          <w:top w:val="single" w:sz="4" w:space="0" w:color="72B6B0" w:themeColor="accent5"/>
        </w:tcBorders>
      </w:tcPr>
    </w:tblStylePr>
    <w:tblStylePr w:type="firstCol">
      <w:rPr>
        <w:b/>
        <w:bCs/>
      </w:rPr>
    </w:tblStylePr>
    <w:tblStylePr w:type="lastCol">
      <w:rPr>
        <w:b/>
        <w:bCs/>
      </w:rPr>
    </w:tblStylePr>
    <w:tblStylePr w:type="band1Vert">
      <w:tblPr/>
      <w:tcPr>
        <w:shd w:val="clear" w:color="auto" w:fill="E2F0EF" w:themeFill="accent5" w:themeFillTint="33"/>
      </w:tcPr>
    </w:tblStylePr>
    <w:tblStylePr w:type="band1Horz">
      <w:tblPr/>
      <w:tcPr>
        <w:shd w:val="clear" w:color="auto" w:fill="E2F0EF" w:themeFill="accent5" w:themeFillTint="33"/>
      </w:tcPr>
    </w:tblStylePr>
  </w:style>
  <w:style w:type="table" w:styleId="GridTable4-Accent6">
    <w:name w:val="Grid Table 4 Accent 6"/>
    <w:basedOn w:val="TableNormal"/>
    <w:uiPriority w:val="49"/>
    <w:pPr>
      <w:spacing w:after="0" w:line="240" w:lineRule="auto"/>
    </w:pPr>
    <w:tblPr>
      <w:tblStyleRowBandSize w:val="1"/>
      <w:tblStyleColBandSize w:val="1"/>
      <w:tblBorders>
        <w:top w:val="single" w:sz="4" w:space="0" w:color="F6CF8D" w:themeColor="accent6" w:themeTint="99"/>
        <w:left w:val="single" w:sz="4" w:space="0" w:color="F6CF8D" w:themeColor="accent6" w:themeTint="99"/>
        <w:bottom w:val="single" w:sz="4" w:space="0" w:color="F6CF8D" w:themeColor="accent6" w:themeTint="99"/>
        <w:right w:val="single" w:sz="4" w:space="0" w:color="F6CF8D" w:themeColor="accent6" w:themeTint="99"/>
        <w:insideH w:val="single" w:sz="4" w:space="0" w:color="F6CF8D" w:themeColor="accent6" w:themeTint="99"/>
        <w:insideV w:val="single" w:sz="4" w:space="0" w:color="F6CF8D" w:themeColor="accent6" w:themeTint="99"/>
      </w:tblBorders>
    </w:tblPr>
    <w:tblStylePr w:type="firstRow">
      <w:rPr>
        <w:b/>
        <w:bCs/>
        <w:color w:val="FFFFFF" w:themeColor="background1"/>
      </w:rPr>
      <w:tblPr/>
      <w:tcPr>
        <w:shd w:val="clear" w:color="auto" w:fill="75BC43"/>
      </w:tcPr>
    </w:tblStylePr>
    <w:tblStylePr w:type="lastRow">
      <w:rPr>
        <w:b/>
        <w:bCs/>
      </w:rPr>
      <w:tblPr/>
      <w:tcPr>
        <w:tcBorders>
          <w:top w:val="single" w:sz="4" w:space="0" w:color="F0B142" w:themeColor="accent6"/>
        </w:tcBorders>
      </w:tcPr>
    </w:tblStylePr>
    <w:tblStylePr w:type="firstCol">
      <w:rPr>
        <w:b/>
        <w:bCs/>
      </w:rPr>
    </w:tblStylePr>
    <w:tblStylePr w:type="lastCol">
      <w:rPr>
        <w:b/>
        <w:bCs/>
      </w:rPr>
    </w:tblStylePr>
    <w:tblStylePr w:type="band1Vert">
      <w:tblPr/>
      <w:tcPr>
        <w:shd w:val="clear" w:color="auto" w:fill="FCEFD9" w:themeFill="accent6" w:themeFillTint="33"/>
      </w:tcPr>
    </w:tblStylePr>
    <w:tblStylePr w:type="band1Horz">
      <w:tblPr/>
      <w:tcPr>
        <w:shd w:val="clear" w:color="auto" w:fill="DDEED0"/>
      </w:tcPr>
    </w:tblStylePr>
  </w:style>
  <w:style w:type="table" w:styleId="GridTable5Dark-Accent2">
    <w:name w:val="Grid Table 5 Dark Accent 2"/>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8FFF7" w:themeColor="accent2" w:themeTint="32" w:fill="B8FFF7" w:themeFill="accent2" w:themeFillTint="32"/>
    </w:tblPr>
    <w:tblStylePr w:type="firstRow">
      <w:rPr>
        <w:rFonts w:ascii="Arial" w:hAnsi="Arial"/>
        <w:b/>
        <w:color w:val="FFFFFF"/>
        <w:sz w:val="22"/>
      </w:rPr>
      <w:tblPr/>
      <w:tcPr>
        <w:shd w:val="clear" w:color="009889" w:themeColor="accent2" w:fill="009889" w:themeFill="accent2"/>
      </w:tcPr>
    </w:tblStylePr>
    <w:tblStylePr w:type="lastRow">
      <w:rPr>
        <w:rFonts w:ascii="Arial" w:hAnsi="Arial"/>
        <w:b/>
        <w:color w:val="FFFFFF"/>
        <w:sz w:val="22"/>
      </w:rPr>
      <w:tblPr/>
      <w:tcPr>
        <w:tcBorders>
          <w:top w:val="single" w:sz="4" w:space="0" w:color="FFFFFF" w:themeColor="light1"/>
        </w:tcBorders>
        <w:shd w:val="clear" w:color="009889" w:themeColor="accent2" w:fill="009889" w:themeFill="accent2"/>
      </w:tcPr>
    </w:tblStylePr>
    <w:tblStylePr w:type="firstCol">
      <w:rPr>
        <w:rFonts w:ascii="Arial" w:hAnsi="Arial"/>
        <w:b/>
        <w:color w:val="FFFFFF"/>
        <w:sz w:val="22"/>
      </w:rPr>
      <w:tblPr/>
      <w:tcPr>
        <w:shd w:val="clear" w:color="009889" w:themeColor="accent2" w:fill="009889" w:themeFill="accent2"/>
      </w:tcPr>
    </w:tblStylePr>
    <w:tblStylePr w:type="lastCol">
      <w:rPr>
        <w:rFonts w:ascii="Arial" w:hAnsi="Arial"/>
        <w:b/>
        <w:color w:val="FFFFFF"/>
        <w:sz w:val="22"/>
      </w:rPr>
      <w:tblPr/>
      <w:tcPr>
        <w:shd w:val="clear" w:color="009889" w:themeColor="accent2" w:fill="009889" w:themeFill="accent2"/>
      </w:tcPr>
    </w:tblStylePr>
    <w:tblStylePr w:type="band1Vert">
      <w:tblPr/>
      <w:tcPr>
        <w:shd w:val="clear" w:color="5AFFEE" w:themeColor="accent2" w:themeTint="75" w:fill="5AFFEE" w:themeFill="accent2" w:themeFillTint="75"/>
      </w:tcPr>
    </w:tblStylePr>
    <w:tblStylePr w:type="band1Horz">
      <w:tblPr/>
      <w:tcPr>
        <w:shd w:val="clear" w:color="5AFFEE" w:themeColor="accent2" w:themeTint="75" w:fill="5AFFEE" w:themeFill="accent2" w:themeFillTint="75"/>
      </w:tcPr>
    </w:tblStylePr>
  </w:style>
  <w:style w:type="table" w:styleId="GridTable5Dark-Accent3">
    <w:name w:val="Grid Table 5 Dark Accent 3"/>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BD1F1" w:themeColor="accent3" w:themeTint="34" w:fill="CBD1F1" w:themeFill="accent3" w:themeFillTint="34"/>
    </w:tblPr>
    <w:tblStylePr w:type="firstRow">
      <w:rPr>
        <w:rFonts w:ascii="Arial" w:hAnsi="Arial"/>
        <w:b/>
        <w:color w:val="FFFFFF"/>
        <w:sz w:val="22"/>
      </w:rPr>
      <w:tblPr/>
      <w:tcPr>
        <w:shd w:val="clear" w:color="283A97" w:themeColor="accent3" w:fill="283A97" w:themeFill="accent3"/>
      </w:tcPr>
    </w:tblStylePr>
    <w:tblStylePr w:type="lastRow">
      <w:rPr>
        <w:rFonts w:ascii="Arial" w:hAnsi="Arial"/>
        <w:b/>
        <w:color w:val="FFFFFF"/>
        <w:sz w:val="22"/>
      </w:rPr>
      <w:tblPr/>
      <w:tcPr>
        <w:tcBorders>
          <w:top w:val="single" w:sz="4" w:space="0" w:color="FFFFFF" w:themeColor="light1"/>
        </w:tcBorders>
        <w:shd w:val="clear" w:color="283A97" w:themeColor="accent3" w:fill="283A97" w:themeFill="accent3"/>
      </w:tcPr>
    </w:tblStylePr>
    <w:tblStylePr w:type="firstCol">
      <w:rPr>
        <w:rFonts w:ascii="Arial" w:hAnsi="Arial"/>
        <w:b/>
        <w:color w:val="FFFFFF"/>
        <w:sz w:val="22"/>
      </w:rPr>
      <w:tblPr/>
      <w:tcPr>
        <w:shd w:val="clear" w:color="283A97" w:themeColor="accent3" w:fill="283A97" w:themeFill="accent3"/>
      </w:tcPr>
    </w:tblStylePr>
    <w:tblStylePr w:type="lastCol">
      <w:rPr>
        <w:rFonts w:ascii="Arial" w:hAnsi="Arial"/>
        <w:b/>
        <w:color w:val="FFFFFF"/>
        <w:sz w:val="22"/>
      </w:rPr>
      <w:tblPr/>
      <w:tcPr>
        <w:shd w:val="clear" w:color="283A97" w:themeColor="accent3" w:fill="283A97" w:themeFill="accent3"/>
      </w:tcPr>
    </w:tblStylePr>
    <w:tblStylePr w:type="band1Vert">
      <w:tblPr/>
      <w:tcPr>
        <w:shd w:val="clear" w:color="8B98E0" w:themeColor="accent3" w:themeTint="75" w:fill="8B98E0" w:themeFill="accent3" w:themeFillTint="75"/>
      </w:tcPr>
    </w:tblStylePr>
    <w:tblStylePr w:type="band1Horz">
      <w:tblPr/>
      <w:tcPr>
        <w:shd w:val="clear" w:color="8B98E0" w:themeColor="accent3" w:themeTint="75" w:fill="8B98E0" w:themeFill="accent3" w:themeFillTint="75"/>
      </w:tcPr>
    </w:tblStylePr>
  </w:style>
  <w:style w:type="table" w:styleId="GridTable5Dark-Accent5">
    <w:name w:val="Grid Table 5 Dark Accent 5"/>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2F0EE" w:themeColor="accent5" w:themeTint="34" w:fill="E2F0EE" w:themeFill="accent5" w:themeFillTint="34"/>
    </w:tblPr>
    <w:tblStylePr w:type="firstRow">
      <w:rPr>
        <w:rFonts w:ascii="Arial" w:hAnsi="Arial"/>
        <w:b/>
        <w:color w:val="FFFFFF"/>
        <w:sz w:val="22"/>
      </w:rPr>
      <w:tblPr/>
      <w:tcPr>
        <w:shd w:val="clear" w:color="72B6B0" w:themeColor="accent5" w:fill="72B6B0" w:themeFill="accent5"/>
      </w:tcPr>
    </w:tblStylePr>
    <w:tblStylePr w:type="lastRow">
      <w:rPr>
        <w:rFonts w:ascii="Arial" w:hAnsi="Arial"/>
        <w:b/>
        <w:color w:val="FFFFFF"/>
        <w:sz w:val="22"/>
      </w:rPr>
      <w:tblPr/>
      <w:tcPr>
        <w:tcBorders>
          <w:top w:val="single" w:sz="4" w:space="0" w:color="FFFFFF" w:themeColor="light1"/>
        </w:tcBorders>
        <w:shd w:val="clear" w:color="72B6B0" w:themeColor="accent5" w:fill="72B6B0" w:themeFill="accent5"/>
      </w:tcPr>
    </w:tblStylePr>
    <w:tblStylePr w:type="firstCol">
      <w:rPr>
        <w:rFonts w:ascii="Arial" w:hAnsi="Arial"/>
        <w:b/>
        <w:color w:val="FFFFFF"/>
        <w:sz w:val="22"/>
      </w:rPr>
      <w:tblPr/>
      <w:tcPr>
        <w:shd w:val="clear" w:color="72B6B0" w:themeColor="accent5" w:fill="72B6B0" w:themeFill="accent5"/>
      </w:tcPr>
    </w:tblStylePr>
    <w:tblStylePr w:type="lastCol">
      <w:rPr>
        <w:rFonts w:ascii="Arial" w:hAnsi="Arial"/>
        <w:b/>
        <w:color w:val="FFFFFF"/>
        <w:sz w:val="22"/>
      </w:rPr>
      <w:tblPr/>
      <w:tcPr>
        <w:shd w:val="clear" w:color="72B6B0" w:themeColor="accent5" w:fill="72B6B0" w:themeFill="accent5"/>
      </w:tcPr>
    </w:tblStylePr>
    <w:tblStylePr w:type="band1Vert">
      <w:tblPr/>
      <w:tcPr>
        <w:shd w:val="clear" w:color="BEDDDA" w:themeColor="accent5" w:themeTint="75" w:fill="BEDDDA" w:themeFill="accent5" w:themeFillTint="75"/>
      </w:tcPr>
    </w:tblStylePr>
    <w:tblStylePr w:type="band1Horz">
      <w:tblPr/>
      <w:tcPr>
        <w:shd w:val="clear" w:color="BEDDDA" w:themeColor="accent5" w:themeTint="75" w:fill="BEDDDA" w:themeFill="accent5" w:themeFillTint="75"/>
      </w:tcPr>
    </w:tblStylePr>
  </w:style>
  <w:style w:type="table" w:styleId="GridTable5Dark-Accent6">
    <w:name w:val="Grid Table 5 Dark Accent 6"/>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CEED8" w:themeColor="accent6" w:themeTint="34" w:fill="FCEED8" w:themeFill="accent6" w:themeFillTint="34"/>
    </w:tblPr>
    <w:tblStylePr w:type="firstRow">
      <w:rPr>
        <w:rFonts w:ascii="Arial" w:hAnsi="Arial"/>
        <w:b/>
        <w:color w:val="FFFFFF"/>
        <w:sz w:val="22"/>
      </w:rPr>
      <w:tblPr/>
      <w:tcPr>
        <w:shd w:val="clear" w:color="F0B142" w:themeColor="accent6" w:fill="F0B142" w:themeFill="accent6"/>
      </w:tcPr>
    </w:tblStylePr>
    <w:tblStylePr w:type="lastRow">
      <w:rPr>
        <w:rFonts w:ascii="Arial" w:hAnsi="Arial"/>
        <w:b/>
        <w:color w:val="FFFFFF"/>
        <w:sz w:val="22"/>
      </w:rPr>
      <w:tblPr/>
      <w:tcPr>
        <w:tcBorders>
          <w:top w:val="single" w:sz="4" w:space="0" w:color="FFFFFF" w:themeColor="light1"/>
        </w:tcBorders>
        <w:shd w:val="clear" w:color="F0B142" w:themeColor="accent6" w:fill="F0B142" w:themeFill="accent6"/>
      </w:tcPr>
    </w:tblStylePr>
    <w:tblStylePr w:type="firstCol">
      <w:rPr>
        <w:rFonts w:ascii="Arial" w:hAnsi="Arial"/>
        <w:b/>
        <w:color w:val="FFFFFF"/>
        <w:sz w:val="22"/>
      </w:rPr>
      <w:tblPr/>
      <w:tcPr>
        <w:shd w:val="clear" w:color="F0B142" w:themeColor="accent6" w:fill="F0B142" w:themeFill="accent6"/>
      </w:tcPr>
    </w:tblStylePr>
    <w:tblStylePr w:type="lastCol">
      <w:rPr>
        <w:rFonts w:ascii="Arial" w:hAnsi="Arial"/>
        <w:b/>
        <w:color w:val="FFFFFF"/>
        <w:sz w:val="22"/>
      </w:rPr>
      <w:tblPr/>
      <w:tcPr>
        <w:shd w:val="clear" w:color="F0B142" w:themeColor="accent6" w:fill="F0B142" w:themeFill="accent6"/>
      </w:tcPr>
    </w:tblStylePr>
    <w:tblStylePr w:type="band1Vert">
      <w:tblPr/>
      <w:tcPr>
        <w:shd w:val="clear" w:color="F8DAA8" w:themeColor="accent6" w:themeTint="75" w:fill="F8DAA8" w:themeFill="accent6" w:themeFillTint="75"/>
      </w:tcPr>
    </w:tblStylePr>
    <w:tblStylePr w:type="band1Horz">
      <w:tblPr/>
      <w:tcPr>
        <w:shd w:val="clear" w:color="F8DAA8" w:themeColor="accent6" w:themeTint="75" w:fill="F8DAA8" w:themeFill="accent6" w:themeFillTint="75"/>
      </w:tcPr>
    </w:tblStylePr>
  </w:style>
  <w:style w:type="table" w:styleId="GridTable6Colorful-Accent1">
    <w:name w:val="Grid Table 6 Colorful Accent 1"/>
    <w:basedOn w:val="TableNormal"/>
    <w:uiPriority w:val="51"/>
    <w:pPr>
      <w:spacing w:after="0" w:line="240" w:lineRule="auto"/>
    </w:pPr>
    <w:rPr>
      <w:rFonts w:eastAsiaTheme="minorHAnsi"/>
      <w:color w:val="00803A" w:themeColor="accent1" w:themeShade="BF"/>
      <w:sz w:val="22"/>
      <w:szCs w:val="22"/>
      <w:lang w:val="sv-SE"/>
      <w14:ligatures w14:val="standardContextual"/>
    </w:rPr>
    <w:tblPr>
      <w:tblStyleRowBandSize w:val="1"/>
      <w:tblStyleColBandSize w:val="1"/>
      <w:tblBorders>
        <w:top w:val="single" w:sz="4" w:space="0" w:color="34FF8F" w:themeColor="accent1" w:themeTint="99"/>
        <w:left w:val="single" w:sz="4" w:space="0" w:color="34FF8F" w:themeColor="accent1" w:themeTint="99"/>
        <w:bottom w:val="single" w:sz="4" w:space="0" w:color="34FF8F" w:themeColor="accent1" w:themeTint="99"/>
        <w:right w:val="single" w:sz="4" w:space="0" w:color="34FF8F" w:themeColor="accent1" w:themeTint="99"/>
        <w:insideH w:val="single" w:sz="4" w:space="0" w:color="34FF8F" w:themeColor="accent1" w:themeTint="99"/>
        <w:insideV w:val="single" w:sz="4" w:space="0" w:color="34FF8F" w:themeColor="accent1" w:themeTint="99"/>
      </w:tblBorders>
    </w:tblPr>
    <w:tblStylePr w:type="firstRow">
      <w:rPr>
        <w:b/>
        <w:bCs/>
      </w:rPr>
      <w:tblPr/>
      <w:tcPr>
        <w:tcBorders>
          <w:bottom w:val="single" w:sz="12" w:space="0" w:color="34FF8F" w:themeColor="accent1" w:themeTint="99"/>
        </w:tcBorders>
      </w:tcPr>
    </w:tblStylePr>
    <w:tblStylePr w:type="lastRow">
      <w:rPr>
        <w:b/>
        <w:bCs/>
      </w:rPr>
      <w:tblPr/>
      <w:tcPr>
        <w:tcBorders>
          <w:top w:val="single" w:sz="4" w:space="0" w:color="34FF8F" w:themeColor="accent1" w:themeTint="99"/>
        </w:tcBorders>
      </w:tcPr>
    </w:tblStylePr>
    <w:tblStylePr w:type="firstCol">
      <w:rPr>
        <w:b/>
        <w:bCs/>
      </w:rPr>
    </w:tblStylePr>
    <w:tblStylePr w:type="lastCol">
      <w:rPr>
        <w:b/>
        <w:bCs/>
      </w:rPr>
    </w:tblStylePr>
    <w:tblStylePr w:type="band1Vert">
      <w:tblPr/>
      <w:tcPr>
        <w:shd w:val="clear" w:color="auto" w:fill="BBFFD9" w:themeFill="accent1" w:themeFillTint="33"/>
      </w:tcPr>
    </w:tblStylePr>
    <w:tblStylePr w:type="band1Horz">
      <w:tblPr/>
      <w:tcPr>
        <w:shd w:val="clear" w:color="auto" w:fill="BBFFD9" w:themeFill="accent1" w:themeFillTint="33"/>
      </w:tcPr>
    </w:tblStylePr>
  </w:style>
  <w:style w:type="table" w:styleId="GridTable6Colorful-Accent2">
    <w:name w:val="Grid Table 6 Colorful Accent 2"/>
    <w:basedOn w:val="TableNormal"/>
    <w:uiPriority w:val="99"/>
    <w:pPr>
      <w:spacing w:after="0" w:line="240" w:lineRule="auto"/>
    </w:pPr>
    <w:tblPr>
      <w:tblStyleRowBandSize w:val="1"/>
      <w:tblStyleColBandSize w:val="1"/>
      <w:tblBorders>
        <w:top w:val="single" w:sz="4" w:space="0" w:color="2BFFE9" w:themeColor="accent2" w:themeTint="97"/>
        <w:left w:val="single" w:sz="4" w:space="0" w:color="2BFFE9" w:themeColor="accent2" w:themeTint="97"/>
        <w:bottom w:val="single" w:sz="4" w:space="0" w:color="2BFFE9" w:themeColor="accent2" w:themeTint="97"/>
        <w:right w:val="single" w:sz="4" w:space="0" w:color="2BFFE9" w:themeColor="accent2" w:themeTint="97"/>
        <w:insideH w:val="single" w:sz="4" w:space="0" w:color="2BFFE9" w:themeColor="accent2" w:themeTint="97"/>
        <w:insideV w:val="single" w:sz="4" w:space="0" w:color="2BFFE9" w:themeColor="accent2" w:themeTint="97"/>
      </w:tblBorders>
    </w:tblPr>
    <w:tblStylePr w:type="firstRow">
      <w:rPr>
        <w:b/>
        <w:color w:val="2BFFE9" w:themeColor="accent2" w:themeTint="97" w:themeShade="95"/>
      </w:rPr>
      <w:tblPr/>
      <w:tcPr>
        <w:tcBorders>
          <w:bottom w:val="single" w:sz="12" w:space="0" w:color="2BFFE9" w:themeColor="accent2" w:themeTint="97"/>
        </w:tcBorders>
      </w:tcPr>
    </w:tblStylePr>
    <w:tblStylePr w:type="lastRow">
      <w:rPr>
        <w:b/>
        <w:color w:val="2BFFE9" w:themeColor="accent2" w:themeTint="97" w:themeShade="95"/>
      </w:rPr>
    </w:tblStylePr>
    <w:tblStylePr w:type="firstCol">
      <w:rPr>
        <w:b/>
        <w:color w:val="2BFFE9" w:themeColor="accent2" w:themeTint="97" w:themeShade="95"/>
      </w:rPr>
    </w:tblStylePr>
    <w:tblStylePr w:type="lastCol">
      <w:rPr>
        <w:b/>
        <w:color w:val="2BFFE9" w:themeColor="accent2" w:themeTint="97" w:themeShade="95"/>
      </w:rPr>
    </w:tblStylePr>
    <w:tblStylePr w:type="band1Vert">
      <w:tblPr/>
      <w:tcPr>
        <w:shd w:val="clear" w:color="B8FFF7" w:themeColor="accent2" w:themeTint="32" w:fill="B8FFF7" w:themeFill="accent2" w:themeFillTint="32"/>
      </w:tcPr>
    </w:tblStylePr>
    <w:tblStylePr w:type="band1Horz">
      <w:rPr>
        <w:rFonts w:ascii="Arial" w:hAnsi="Arial"/>
        <w:color w:val="2BFFE9" w:themeColor="accent2" w:themeTint="97" w:themeShade="95"/>
        <w:sz w:val="22"/>
      </w:rPr>
      <w:tblPr/>
      <w:tcPr>
        <w:shd w:val="clear" w:color="B8FFF7" w:themeColor="accent2" w:themeTint="32" w:fill="B8FFF7" w:themeFill="accent2" w:themeFillTint="32"/>
      </w:tcPr>
    </w:tblStylePr>
    <w:tblStylePr w:type="band2Horz">
      <w:rPr>
        <w:rFonts w:ascii="Arial" w:hAnsi="Arial"/>
        <w:color w:val="2BFFE9" w:themeColor="accent2" w:themeTint="97" w:themeShade="95"/>
        <w:sz w:val="22"/>
      </w:rPr>
    </w:tblStylePr>
  </w:style>
  <w:style w:type="table" w:styleId="GridTable6Colorful-Accent3">
    <w:name w:val="Grid Table 6 Colorful Accent 3"/>
    <w:basedOn w:val="TableNormal"/>
    <w:uiPriority w:val="99"/>
    <w:pPr>
      <w:spacing w:after="0" w:line="240" w:lineRule="auto"/>
    </w:pPr>
    <w:tblPr>
      <w:tblStyleRowBandSize w:val="1"/>
      <w:tblStyleColBandSize w:val="1"/>
      <w:tblBorders>
        <w:top w:val="single" w:sz="4" w:space="0" w:color="283A97" w:themeColor="accent3" w:themeTint="FE"/>
        <w:left w:val="single" w:sz="4" w:space="0" w:color="283A97" w:themeColor="accent3" w:themeTint="FE"/>
        <w:bottom w:val="single" w:sz="4" w:space="0" w:color="283A97" w:themeColor="accent3" w:themeTint="FE"/>
        <w:right w:val="single" w:sz="4" w:space="0" w:color="283A97" w:themeColor="accent3" w:themeTint="FE"/>
        <w:insideH w:val="single" w:sz="4" w:space="0" w:color="283A97" w:themeColor="accent3" w:themeTint="FE"/>
        <w:insideV w:val="single" w:sz="4" w:space="0" w:color="283A97" w:themeColor="accent3" w:themeTint="FE"/>
      </w:tblBorders>
    </w:tblPr>
    <w:tblStylePr w:type="firstRow">
      <w:rPr>
        <w:b/>
        <w:color w:val="283A97" w:themeColor="accent3" w:themeTint="FE" w:themeShade="95"/>
      </w:rPr>
      <w:tblPr/>
      <w:tcPr>
        <w:tcBorders>
          <w:bottom w:val="single" w:sz="12" w:space="0" w:color="283A97" w:themeColor="accent3" w:themeTint="FE"/>
        </w:tcBorders>
      </w:tcPr>
    </w:tblStylePr>
    <w:tblStylePr w:type="lastRow">
      <w:rPr>
        <w:b/>
        <w:color w:val="283A97" w:themeColor="accent3" w:themeTint="FE" w:themeShade="95"/>
      </w:rPr>
    </w:tblStylePr>
    <w:tblStylePr w:type="firstCol">
      <w:rPr>
        <w:b/>
        <w:color w:val="283A97" w:themeColor="accent3" w:themeTint="FE" w:themeShade="95"/>
      </w:rPr>
    </w:tblStylePr>
    <w:tblStylePr w:type="lastCol">
      <w:rPr>
        <w:b/>
        <w:color w:val="283A97" w:themeColor="accent3" w:themeTint="FE" w:themeShade="95"/>
      </w:rPr>
    </w:tblStylePr>
    <w:tblStylePr w:type="band1Vert">
      <w:tblPr/>
      <w:tcPr>
        <w:shd w:val="clear" w:color="CBD1F1" w:themeColor="accent3" w:themeTint="34" w:fill="CBD1F1" w:themeFill="accent3" w:themeFillTint="34"/>
      </w:tcPr>
    </w:tblStylePr>
    <w:tblStylePr w:type="band1Horz">
      <w:rPr>
        <w:rFonts w:ascii="Arial" w:hAnsi="Arial"/>
        <w:color w:val="283A97" w:themeColor="accent3" w:themeTint="FE" w:themeShade="95"/>
        <w:sz w:val="22"/>
      </w:rPr>
      <w:tblPr/>
      <w:tcPr>
        <w:shd w:val="clear" w:color="CBD1F1" w:themeColor="accent3" w:themeTint="34" w:fill="CBD1F1" w:themeFill="accent3" w:themeFillTint="34"/>
      </w:tcPr>
    </w:tblStylePr>
    <w:tblStylePr w:type="band2Horz">
      <w:rPr>
        <w:rFonts w:ascii="Arial" w:hAnsi="Arial"/>
        <w:color w:val="283A97" w:themeColor="accent3" w:themeTint="FE" w:themeShade="95"/>
        <w:sz w:val="22"/>
      </w:rPr>
    </w:tblStylePr>
  </w:style>
  <w:style w:type="table" w:styleId="GridTable6Colorful-Accent4">
    <w:name w:val="Grid Table 6 Colorful Accent 4"/>
    <w:basedOn w:val="TableNormal"/>
    <w:uiPriority w:val="99"/>
    <w:pPr>
      <w:spacing w:after="0" w:line="240" w:lineRule="auto"/>
    </w:pPr>
    <w:tblPr>
      <w:tblStyleRowBandSize w:val="1"/>
      <w:tblStyleColBandSize w:val="1"/>
      <w:tblBorders>
        <w:top w:val="single" w:sz="4" w:space="0" w:color="BDDD8A" w:themeColor="accent4" w:themeTint="9A"/>
        <w:left w:val="single" w:sz="4" w:space="0" w:color="BDDD8A" w:themeColor="accent4" w:themeTint="9A"/>
        <w:bottom w:val="single" w:sz="4" w:space="0" w:color="BDDD8A" w:themeColor="accent4" w:themeTint="9A"/>
        <w:right w:val="single" w:sz="4" w:space="0" w:color="BDDD8A" w:themeColor="accent4" w:themeTint="9A"/>
        <w:insideH w:val="single" w:sz="4" w:space="0" w:color="BDDD8A" w:themeColor="accent4" w:themeTint="9A"/>
        <w:insideV w:val="single" w:sz="4" w:space="0" w:color="BDDD8A" w:themeColor="accent4" w:themeTint="9A"/>
      </w:tblBorders>
    </w:tblPr>
    <w:tblStylePr w:type="firstRow">
      <w:rPr>
        <w:b/>
        <w:color w:val="BDDD8A" w:themeColor="accent4" w:themeTint="9A" w:themeShade="95"/>
      </w:rPr>
      <w:tblPr/>
      <w:tcPr>
        <w:tcBorders>
          <w:bottom w:val="single" w:sz="12" w:space="0" w:color="BDDD8A" w:themeColor="accent4" w:themeTint="9A"/>
        </w:tcBorders>
      </w:tcPr>
    </w:tblStylePr>
    <w:tblStylePr w:type="lastRow">
      <w:rPr>
        <w:b/>
        <w:color w:val="BDDD8A" w:themeColor="accent4" w:themeTint="9A" w:themeShade="95"/>
      </w:rPr>
    </w:tblStylePr>
    <w:tblStylePr w:type="firstCol">
      <w:rPr>
        <w:b/>
        <w:color w:val="BDDD8A" w:themeColor="accent4" w:themeTint="9A" w:themeShade="95"/>
      </w:rPr>
    </w:tblStylePr>
    <w:tblStylePr w:type="lastCol">
      <w:rPr>
        <w:b/>
        <w:color w:val="BDDD8A" w:themeColor="accent4" w:themeTint="9A" w:themeShade="95"/>
      </w:rPr>
    </w:tblStylePr>
    <w:tblStylePr w:type="band1Vert">
      <w:tblPr/>
      <w:tcPr>
        <w:shd w:val="clear" w:color="E8F3D7" w:themeColor="accent4" w:themeTint="34" w:fill="E8F3D7" w:themeFill="accent4" w:themeFillTint="34"/>
      </w:tcPr>
    </w:tblStylePr>
    <w:tblStylePr w:type="band1Horz">
      <w:rPr>
        <w:rFonts w:ascii="Arial" w:hAnsi="Arial"/>
        <w:color w:val="BDDD8A" w:themeColor="accent4" w:themeTint="9A" w:themeShade="95"/>
        <w:sz w:val="22"/>
      </w:rPr>
      <w:tblPr/>
      <w:tcPr>
        <w:shd w:val="clear" w:color="E8F3D7" w:themeColor="accent4" w:themeTint="34" w:fill="E8F3D7" w:themeFill="accent4" w:themeFillTint="34"/>
      </w:tcPr>
    </w:tblStylePr>
    <w:tblStylePr w:type="band2Horz">
      <w:rPr>
        <w:rFonts w:ascii="Arial" w:hAnsi="Arial"/>
        <w:color w:val="BDDD8A" w:themeColor="accent4" w:themeTint="9A" w:themeShade="95"/>
        <w:sz w:val="22"/>
      </w:rPr>
    </w:tblStylePr>
  </w:style>
  <w:style w:type="table" w:styleId="GridTable6Colorful-Accent5">
    <w:name w:val="Grid Table 6 Colorful Accent 5"/>
    <w:basedOn w:val="TableNormal"/>
    <w:uiPriority w:val="99"/>
    <w:pPr>
      <w:spacing w:after="0" w:line="240" w:lineRule="auto"/>
    </w:pPr>
    <w:tblPr>
      <w:tblStyleRowBandSize w:val="1"/>
      <w:tblStyleColBandSize w:val="1"/>
      <w:tblBorders>
        <w:top w:val="single" w:sz="4" w:space="0" w:color="72B6B0" w:themeColor="accent5"/>
        <w:left w:val="single" w:sz="4" w:space="0" w:color="72B6B0" w:themeColor="accent5"/>
        <w:bottom w:val="single" w:sz="4" w:space="0" w:color="72B6B0" w:themeColor="accent5"/>
        <w:right w:val="single" w:sz="4" w:space="0" w:color="72B6B0" w:themeColor="accent5"/>
        <w:insideH w:val="single" w:sz="4" w:space="0" w:color="72B6B0" w:themeColor="accent5"/>
        <w:insideV w:val="single" w:sz="4" w:space="0" w:color="72B6B0" w:themeColor="accent5"/>
      </w:tblBorders>
    </w:tblPr>
    <w:tblStylePr w:type="firstRow">
      <w:rPr>
        <w:b/>
        <w:color w:val="3B716C" w:themeColor="accent5" w:themeShade="95"/>
      </w:rPr>
      <w:tblPr/>
      <w:tcPr>
        <w:tcBorders>
          <w:bottom w:val="single" w:sz="12" w:space="0" w:color="72B6B0" w:themeColor="accent5"/>
        </w:tcBorders>
      </w:tcPr>
    </w:tblStylePr>
    <w:tblStylePr w:type="lastRow">
      <w:rPr>
        <w:b/>
        <w:color w:val="3B716C" w:themeColor="accent5" w:themeShade="95"/>
      </w:rPr>
    </w:tblStylePr>
    <w:tblStylePr w:type="firstCol">
      <w:rPr>
        <w:b/>
        <w:color w:val="3B716C" w:themeColor="accent5" w:themeShade="95"/>
      </w:rPr>
    </w:tblStylePr>
    <w:tblStylePr w:type="lastCol">
      <w:rPr>
        <w:b/>
        <w:color w:val="3B716C" w:themeColor="accent5" w:themeShade="95"/>
      </w:rPr>
    </w:tblStylePr>
    <w:tblStylePr w:type="band1Vert">
      <w:tblPr/>
      <w:tcPr>
        <w:shd w:val="clear" w:color="E2F0EE" w:themeColor="accent5" w:themeTint="34" w:fill="E2F0EE" w:themeFill="accent5" w:themeFillTint="34"/>
      </w:tcPr>
    </w:tblStylePr>
    <w:tblStylePr w:type="band1Horz">
      <w:rPr>
        <w:rFonts w:ascii="Arial" w:hAnsi="Arial"/>
        <w:color w:val="3B716C" w:themeColor="accent5" w:themeShade="95"/>
        <w:sz w:val="22"/>
      </w:rPr>
      <w:tblPr/>
      <w:tcPr>
        <w:shd w:val="clear" w:color="E2F0EE" w:themeColor="accent5" w:themeTint="34" w:fill="E2F0EE" w:themeFill="accent5" w:themeFillTint="34"/>
      </w:tcPr>
    </w:tblStylePr>
    <w:tblStylePr w:type="band2Horz">
      <w:rPr>
        <w:rFonts w:ascii="Arial" w:hAnsi="Arial"/>
        <w:color w:val="3B716C" w:themeColor="accent5" w:themeShade="95"/>
        <w:sz w:val="22"/>
      </w:rPr>
    </w:tblStylePr>
  </w:style>
  <w:style w:type="table" w:styleId="GridTable6Colorful-Accent6">
    <w:name w:val="Grid Table 6 Colorful Accent 6"/>
    <w:basedOn w:val="TableNormal"/>
    <w:uiPriority w:val="99"/>
    <w:pPr>
      <w:spacing w:after="0" w:line="240" w:lineRule="auto"/>
    </w:pPr>
    <w:tblPr>
      <w:tblStyleRowBandSize w:val="1"/>
      <w:tblStyleColBandSize w:val="1"/>
      <w:tblBorders>
        <w:top w:val="single" w:sz="4" w:space="0" w:color="F0B142" w:themeColor="accent6"/>
        <w:left w:val="single" w:sz="4" w:space="0" w:color="F0B142" w:themeColor="accent6"/>
        <w:bottom w:val="single" w:sz="4" w:space="0" w:color="F0B142" w:themeColor="accent6"/>
        <w:right w:val="single" w:sz="4" w:space="0" w:color="F0B142" w:themeColor="accent6"/>
        <w:insideH w:val="single" w:sz="4" w:space="0" w:color="F0B142" w:themeColor="accent6"/>
        <w:insideV w:val="single" w:sz="4" w:space="0" w:color="F0B142" w:themeColor="accent6"/>
      </w:tblBorders>
    </w:tblPr>
    <w:tblStylePr w:type="firstRow">
      <w:rPr>
        <w:b/>
        <w:color w:val="3B716C" w:themeColor="accent5" w:themeShade="95"/>
      </w:rPr>
      <w:tblPr/>
      <w:tcPr>
        <w:tcBorders>
          <w:bottom w:val="single" w:sz="12" w:space="0" w:color="F0B142" w:themeColor="accent6"/>
        </w:tcBorders>
      </w:tcPr>
    </w:tblStylePr>
    <w:tblStylePr w:type="lastRow">
      <w:rPr>
        <w:b/>
        <w:color w:val="3B716C" w:themeColor="accent5" w:themeShade="95"/>
      </w:rPr>
    </w:tblStylePr>
    <w:tblStylePr w:type="firstCol">
      <w:rPr>
        <w:b/>
        <w:color w:val="3B716C" w:themeColor="accent5" w:themeShade="95"/>
      </w:rPr>
    </w:tblStylePr>
    <w:tblStylePr w:type="lastCol">
      <w:rPr>
        <w:b/>
        <w:color w:val="3B716C" w:themeColor="accent5" w:themeShade="95"/>
      </w:rPr>
    </w:tblStylePr>
    <w:tblStylePr w:type="band1Vert">
      <w:tblPr/>
      <w:tcPr>
        <w:shd w:val="clear" w:color="FCEED8" w:themeColor="accent6" w:themeTint="34" w:fill="FCEED8" w:themeFill="accent6" w:themeFillTint="34"/>
      </w:tcPr>
    </w:tblStylePr>
    <w:tblStylePr w:type="band1Horz">
      <w:rPr>
        <w:rFonts w:ascii="Arial" w:hAnsi="Arial"/>
        <w:color w:val="3B716C" w:themeColor="accent5" w:themeShade="95"/>
        <w:sz w:val="22"/>
      </w:rPr>
      <w:tblPr/>
      <w:tcPr>
        <w:shd w:val="clear" w:color="FCEED8" w:themeColor="accent6" w:themeTint="34" w:fill="FCEED8" w:themeFill="accent6" w:themeFillTint="34"/>
      </w:tcPr>
    </w:tblStylePr>
    <w:tblStylePr w:type="band2Horz">
      <w:rPr>
        <w:rFonts w:ascii="Arial" w:hAnsi="Arial"/>
        <w:color w:val="3B716C" w:themeColor="accent5" w:themeShade="95"/>
        <w:sz w:val="22"/>
      </w:rPr>
    </w:tblStylePr>
  </w:style>
  <w:style w:type="table" w:styleId="GridTable7Colorful-Accent1">
    <w:name w:val="Grid Table 7 Colorful Accent 1"/>
    <w:basedOn w:val="TableNormal"/>
    <w:uiPriority w:val="99"/>
    <w:pPr>
      <w:spacing w:after="0" w:line="240" w:lineRule="auto"/>
    </w:pPr>
    <w:tblPr>
      <w:tblStyleRowBandSize w:val="1"/>
      <w:tblStyleColBandSize w:val="1"/>
      <w:tblBorders>
        <w:bottom w:val="single" w:sz="4" w:space="0" w:color="55FFA1" w:themeColor="accent1" w:themeTint="80"/>
        <w:right w:val="single" w:sz="4" w:space="0" w:color="55FFA1" w:themeColor="accent1" w:themeTint="80"/>
        <w:insideH w:val="single" w:sz="4" w:space="0" w:color="55FFA1" w:themeColor="accent1" w:themeTint="80"/>
        <w:insideV w:val="single" w:sz="4" w:space="0" w:color="55FFA1" w:themeColor="accent1" w:themeTint="80"/>
      </w:tblBorders>
    </w:tblPr>
    <w:tblStylePr w:type="firstRow">
      <w:rPr>
        <w:rFonts w:ascii="Arial" w:hAnsi="Arial"/>
        <w:b/>
        <w:color w:val="55FFA1" w:themeColor="accent1" w:themeTint="80" w:themeShade="95"/>
        <w:sz w:val="22"/>
      </w:rPr>
      <w:tblPr/>
      <w:tcPr>
        <w:tcBorders>
          <w:top w:val="none" w:sz="0" w:space="0" w:color="000000"/>
          <w:left w:val="none" w:sz="0" w:space="0" w:color="000000"/>
          <w:bottom w:val="single" w:sz="4" w:space="0" w:color="55FFA1" w:themeColor="accent1" w:themeTint="80"/>
          <w:right w:val="none" w:sz="0" w:space="0" w:color="000000"/>
        </w:tcBorders>
        <w:shd w:val="clear" w:color="FFFFFF" w:themeColor="light1" w:fill="FFFFFF" w:themeFill="light1"/>
      </w:tcPr>
    </w:tblStylePr>
    <w:tblStylePr w:type="lastRow">
      <w:rPr>
        <w:rFonts w:ascii="Arial" w:hAnsi="Arial"/>
        <w:b/>
        <w:color w:val="55FFA1" w:themeColor="accent1" w:themeTint="80" w:themeShade="95"/>
        <w:sz w:val="22"/>
      </w:rPr>
      <w:tblPr/>
      <w:tcPr>
        <w:tcBorders>
          <w:top w:val="single" w:sz="4" w:space="0" w:color="55FFA1" w:themeColor="accen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55FFA1" w:themeColor="accent1" w:themeTint="80" w:themeShade="95"/>
        <w:sz w:val="22"/>
      </w:rPr>
      <w:tblPr/>
      <w:tcPr>
        <w:tcBorders>
          <w:top w:val="none" w:sz="0" w:space="0" w:color="000000"/>
          <w:left w:val="none" w:sz="0" w:space="0" w:color="000000"/>
          <w:bottom w:val="none" w:sz="0" w:space="0" w:color="000000"/>
          <w:right w:val="single" w:sz="4" w:space="0" w:color="55FFA1" w:themeColor="accent1" w:themeTint="80"/>
        </w:tcBorders>
        <w:shd w:val="clear" w:color="FFFFFF" w:fill="auto"/>
      </w:tcPr>
    </w:tblStylePr>
    <w:tblStylePr w:type="lastCol">
      <w:rPr>
        <w:rFonts w:ascii="Arial" w:hAnsi="Arial"/>
        <w:i/>
        <w:color w:val="55FFA1" w:themeColor="accent1" w:themeTint="80" w:themeShade="95"/>
        <w:sz w:val="22"/>
      </w:rPr>
      <w:tblPr/>
      <w:tcPr>
        <w:tcBorders>
          <w:top w:val="none" w:sz="0" w:space="0" w:color="000000"/>
          <w:left w:val="single" w:sz="4" w:space="0" w:color="55FFA1" w:themeColor="accent1" w:themeTint="80"/>
          <w:bottom w:val="none" w:sz="0" w:space="0" w:color="000000"/>
          <w:right w:val="none" w:sz="0" w:space="0" w:color="000000"/>
        </w:tcBorders>
        <w:shd w:val="clear" w:color="FFFFFF" w:fill="auto"/>
      </w:tcPr>
    </w:tblStylePr>
    <w:tblStylePr w:type="band1Vert">
      <w:tblPr/>
      <w:tcPr>
        <w:shd w:val="clear" w:color="BAFFD9" w:themeColor="accent1" w:themeTint="34" w:fill="BAFFD9" w:themeFill="accent1" w:themeFillTint="34"/>
      </w:tcPr>
    </w:tblStylePr>
    <w:tblStylePr w:type="band1Horz">
      <w:rPr>
        <w:rFonts w:ascii="Arial" w:hAnsi="Arial"/>
        <w:color w:val="55FFA1" w:themeColor="accent1" w:themeTint="80" w:themeShade="95"/>
        <w:sz w:val="22"/>
      </w:rPr>
      <w:tblPr/>
      <w:tcPr>
        <w:shd w:val="clear" w:color="BAFFD9" w:themeColor="accent1" w:themeTint="34" w:fill="BAFFD9" w:themeFill="accent1" w:themeFillTint="34"/>
      </w:tcPr>
    </w:tblStylePr>
    <w:tblStylePr w:type="band2Horz">
      <w:rPr>
        <w:rFonts w:ascii="Arial" w:hAnsi="Arial"/>
        <w:color w:val="55FFA1" w:themeColor="accent1" w:themeTint="80" w:themeShade="95"/>
        <w:sz w:val="22"/>
      </w:rPr>
    </w:tblStylePr>
  </w:style>
  <w:style w:type="table" w:styleId="GridTable7Colorful-Accent2">
    <w:name w:val="Grid Table 7 Colorful Accent 2"/>
    <w:basedOn w:val="TableNormal"/>
    <w:uiPriority w:val="99"/>
    <w:pPr>
      <w:spacing w:after="0" w:line="240" w:lineRule="auto"/>
    </w:pPr>
    <w:tblPr>
      <w:tblStyleRowBandSize w:val="1"/>
      <w:tblStyleColBandSize w:val="1"/>
      <w:tblBorders>
        <w:bottom w:val="single" w:sz="4" w:space="0" w:color="2BFFE9" w:themeColor="accent2" w:themeTint="97"/>
        <w:right w:val="single" w:sz="4" w:space="0" w:color="2BFFE9" w:themeColor="accent2" w:themeTint="97"/>
        <w:insideH w:val="single" w:sz="4" w:space="0" w:color="2BFFE9" w:themeColor="accent2" w:themeTint="97"/>
        <w:insideV w:val="single" w:sz="4" w:space="0" w:color="2BFFE9" w:themeColor="accent2" w:themeTint="97"/>
      </w:tblBorders>
    </w:tblPr>
    <w:tblStylePr w:type="firstRow">
      <w:rPr>
        <w:rFonts w:ascii="Arial" w:hAnsi="Arial"/>
        <w:b/>
        <w:color w:val="2BFFE9" w:themeColor="accent2" w:themeTint="97" w:themeShade="95"/>
        <w:sz w:val="22"/>
      </w:rPr>
      <w:tblPr/>
      <w:tcPr>
        <w:tcBorders>
          <w:top w:val="none" w:sz="0" w:space="0" w:color="000000"/>
          <w:left w:val="none" w:sz="0" w:space="0" w:color="000000"/>
          <w:bottom w:val="single" w:sz="4" w:space="0" w:color="2BFFE9" w:themeColor="accent2" w:themeTint="97"/>
          <w:right w:val="none" w:sz="0" w:space="0" w:color="000000"/>
        </w:tcBorders>
        <w:shd w:val="clear" w:color="FFFFFF" w:themeColor="light1" w:fill="FFFFFF" w:themeFill="light1"/>
      </w:tcPr>
    </w:tblStylePr>
    <w:tblStylePr w:type="lastRow">
      <w:rPr>
        <w:rFonts w:ascii="Arial" w:hAnsi="Arial"/>
        <w:b/>
        <w:color w:val="2BFFE9" w:themeColor="accent2" w:themeTint="97" w:themeShade="95"/>
        <w:sz w:val="22"/>
      </w:rPr>
      <w:tblPr/>
      <w:tcPr>
        <w:tcBorders>
          <w:top w:val="single" w:sz="4" w:space="0" w:color="2BFFE9"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2BFFE9" w:themeColor="accent2" w:themeTint="97" w:themeShade="95"/>
        <w:sz w:val="22"/>
      </w:rPr>
      <w:tblPr/>
      <w:tcPr>
        <w:tcBorders>
          <w:top w:val="none" w:sz="0" w:space="0" w:color="000000"/>
          <w:left w:val="none" w:sz="0" w:space="0" w:color="000000"/>
          <w:bottom w:val="none" w:sz="0" w:space="0" w:color="000000"/>
          <w:right w:val="single" w:sz="4" w:space="0" w:color="2BFFE9" w:themeColor="accent2" w:themeTint="97"/>
        </w:tcBorders>
        <w:shd w:val="clear" w:color="FFFFFF" w:fill="auto"/>
      </w:tcPr>
    </w:tblStylePr>
    <w:tblStylePr w:type="lastCol">
      <w:rPr>
        <w:rFonts w:ascii="Arial" w:hAnsi="Arial"/>
        <w:i/>
        <w:color w:val="2BFFE9" w:themeColor="accent2" w:themeTint="97" w:themeShade="95"/>
        <w:sz w:val="22"/>
      </w:rPr>
      <w:tblPr/>
      <w:tcPr>
        <w:tcBorders>
          <w:top w:val="none" w:sz="0" w:space="0" w:color="000000"/>
          <w:left w:val="single" w:sz="4" w:space="0" w:color="2BFFE9" w:themeColor="accent2" w:themeTint="97"/>
          <w:bottom w:val="none" w:sz="0" w:space="0" w:color="000000"/>
          <w:right w:val="none" w:sz="0" w:space="0" w:color="000000"/>
        </w:tcBorders>
        <w:shd w:val="clear" w:color="FFFFFF" w:fill="auto"/>
      </w:tcPr>
    </w:tblStylePr>
    <w:tblStylePr w:type="band1Vert">
      <w:tblPr/>
      <w:tcPr>
        <w:shd w:val="clear" w:color="B8FFF7" w:themeColor="accent2" w:themeTint="32" w:fill="B8FFF7" w:themeFill="accent2" w:themeFillTint="32"/>
      </w:tcPr>
    </w:tblStylePr>
    <w:tblStylePr w:type="band1Horz">
      <w:rPr>
        <w:rFonts w:ascii="Arial" w:hAnsi="Arial"/>
        <w:color w:val="2BFFE9" w:themeColor="accent2" w:themeTint="97" w:themeShade="95"/>
        <w:sz w:val="22"/>
      </w:rPr>
      <w:tblPr/>
      <w:tcPr>
        <w:shd w:val="clear" w:color="B8FFF7" w:themeColor="accent2" w:themeTint="32" w:fill="B8FFF7" w:themeFill="accent2" w:themeFillTint="32"/>
      </w:tcPr>
    </w:tblStylePr>
    <w:tblStylePr w:type="band2Horz">
      <w:rPr>
        <w:rFonts w:ascii="Arial" w:hAnsi="Arial"/>
        <w:color w:val="2BFFE9" w:themeColor="accent2" w:themeTint="97" w:themeShade="95"/>
        <w:sz w:val="22"/>
      </w:rPr>
    </w:tblStylePr>
  </w:style>
  <w:style w:type="table" w:styleId="GridTable7Colorful-Accent3">
    <w:name w:val="Grid Table 7 Colorful Accent 3"/>
    <w:basedOn w:val="TableNormal"/>
    <w:uiPriority w:val="99"/>
    <w:pPr>
      <w:spacing w:after="0" w:line="240" w:lineRule="auto"/>
    </w:pPr>
    <w:tblPr>
      <w:tblStyleRowBandSize w:val="1"/>
      <w:tblStyleColBandSize w:val="1"/>
      <w:tblBorders>
        <w:bottom w:val="single" w:sz="4" w:space="0" w:color="283A97" w:themeColor="accent3" w:themeTint="FE"/>
        <w:right w:val="single" w:sz="4" w:space="0" w:color="283A97" w:themeColor="accent3" w:themeTint="FE"/>
        <w:insideH w:val="single" w:sz="4" w:space="0" w:color="283A97" w:themeColor="accent3" w:themeTint="FE"/>
        <w:insideV w:val="single" w:sz="4" w:space="0" w:color="283A97" w:themeColor="accent3" w:themeTint="FE"/>
      </w:tblBorders>
    </w:tblPr>
    <w:tblStylePr w:type="firstRow">
      <w:rPr>
        <w:rFonts w:ascii="Arial" w:hAnsi="Arial"/>
        <w:b/>
        <w:color w:val="283A97" w:themeColor="accent3" w:themeTint="FE" w:themeShade="95"/>
        <w:sz w:val="22"/>
      </w:rPr>
      <w:tblPr/>
      <w:tcPr>
        <w:tcBorders>
          <w:top w:val="none" w:sz="0" w:space="0" w:color="000000"/>
          <w:left w:val="none" w:sz="0" w:space="0" w:color="000000"/>
          <w:bottom w:val="single" w:sz="4" w:space="0" w:color="283A97" w:themeColor="accent3" w:themeTint="FE"/>
          <w:right w:val="none" w:sz="0" w:space="0" w:color="000000"/>
        </w:tcBorders>
        <w:shd w:val="clear" w:color="FFFFFF" w:themeColor="light1" w:fill="FFFFFF" w:themeFill="light1"/>
      </w:tcPr>
    </w:tblStylePr>
    <w:tblStylePr w:type="lastRow">
      <w:rPr>
        <w:rFonts w:ascii="Arial" w:hAnsi="Arial"/>
        <w:b/>
        <w:color w:val="283A97" w:themeColor="accent3" w:themeTint="FE" w:themeShade="95"/>
        <w:sz w:val="22"/>
      </w:rPr>
      <w:tblPr/>
      <w:tcPr>
        <w:tcBorders>
          <w:top w:val="single" w:sz="4" w:space="0" w:color="283A97" w:themeColor="accent3" w:themeTint="FE"/>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283A97" w:themeColor="accent3" w:themeTint="FE" w:themeShade="95"/>
        <w:sz w:val="22"/>
      </w:rPr>
      <w:tblPr/>
      <w:tcPr>
        <w:tcBorders>
          <w:top w:val="none" w:sz="0" w:space="0" w:color="000000"/>
          <w:left w:val="none" w:sz="0" w:space="0" w:color="000000"/>
          <w:bottom w:val="none" w:sz="0" w:space="0" w:color="000000"/>
          <w:right w:val="single" w:sz="4" w:space="0" w:color="283A97" w:themeColor="accent3" w:themeTint="FE"/>
        </w:tcBorders>
        <w:shd w:val="clear" w:color="FFFFFF" w:fill="auto"/>
      </w:tcPr>
    </w:tblStylePr>
    <w:tblStylePr w:type="lastCol">
      <w:rPr>
        <w:rFonts w:ascii="Arial" w:hAnsi="Arial"/>
        <w:i/>
        <w:color w:val="283A97" w:themeColor="accent3" w:themeTint="FE" w:themeShade="95"/>
        <w:sz w:val="22"/>
      </w:rPr>
      <w:tblPr/>
      <w:tcPr>
        <w:tcBorders>
          <w:top w:val="none" w:sz="0" w:space="0" w:color="000000"/>
          <w:left w:val="single" w:sz="4" w:space="0" w:color="283A97" w:themeColor="accent3" w:themeTint="FE"/>
          <w:bottom w:val="none" w:sz="0" w:space="0" w:color="000000"/>
          <w:right w:val="none" w:sz="0" w:space="0" w:color="000000"/>
        </w:tcBorders>
        <w:shd w:val="clear" w:color="FFFFFF" w:fill="auto"/>
      </w:tcPr>
    </w:tblStylePr>
    <w:tblStylePr w:type="band1Vert">
      <w:tblPr/>
      <w:tcPr>
        <w:shd w:val="clear" w:color="CBD1F1" w:themeColor="accent3" w:themeTint="34" w:fill="CBD1F1" w:themeFill="accent3" w:themeFillTint="34"/>
      </w:tcPr>
    </w:tblStylePr>
    <w:tblStylePr w:type="band1Horz">
      <w:rPr>
        <w:rFonts w:ascii="Arial" w:hAnsi="Arial"/>
        <w:color w:val="283A97" w:themeColor="accent3" w:themeTint="FE" w:themeShade="95"/>
        <w:sz w:val="22"/>
      </w:rPr>
      <w:tblPr/>
      <w:tcPr>
        <w:shd w:val="clear" w:color="CBD1F1" w:themeColor="accent3" w:themeTint="34" w:fill="CBD1F1" w:themeFill="accent3" w:themeFillTint="34"/>
      </w:tcPr>
    </w:tblStylePr>
    <w:tblStylePr w:type="band2Horz">
      <w:rPr>
        <w:rFonts w:ascii="Arial" w:hAnsi="Arial"/>
        <w:color w:val="283A97" w:themeColor="accent3" w:themeTint="FE" w:themeShade="95"/>
        <w:sz w:val="22"/>
      </w:rPr>
    </w:tblStylePr>
  </w:style>
  <w:style w:type="table" w:styleId="GridTable7Colorful-Accent4">
    <w:name w:val="Grid Table 7 Colorful Accent 4"/>
    <w:basedOn w:val="TableNormal"/>
    <w:uiPriority w:val="99"/>
    <w:pPr>
      <w:spacing w:after="0" w:line="240" w:lineRule="auto"/>
    </w:pPr>
    <w:tblPr>
      <w:tblStyleRowBandSize w:val="1"/>
      <w:tblStyleColBandSize w:val="1"/>
      <w:tblBorders>
        <w:bottom w:val="single" w:sz="4" w:space="0" w:color="BDDD8A" w:themeColor="accent4" w:themeTint="9A"/>
        <w:right w:val="single" w:sz="4" w:space="0" w:color="BDDD8A" w:themeColor="accent4" w:themeTint="9A"/>
        <w:insideH w:val="single" w:sz="4" w:space="0" w:color="BDDD8A" w:themeColor="accent4" w:themeTint="9A"/>
        <w:insideV w:val="single" w:sz="4" w:space="0" w:color="BDDD8A" w:themeColor="accent4" w:themeTint="9A"/>
      </w:tblBorders>
    </w:tblPr>
    <w:tblStylePr w:type="firstRow">
      <w:rPr>
        <w:rFonts w:ascii="Arial" w:hAnsi="Arial"/>
        <w:b/>
        <w:color w:val="BDDD8A" w:themeColor="accent4" w:themeTint="9A" w:themeShade="95"/>
        <w:sz w:val="22"/>
      </w:rPr>
      <w:tblPr/>
      <w:tcPr>
        <w:tcBorders>
          <w:top w:val="none" w:sz="0" w:space="0" w:color="000000"/>
          <w:left w:val="none" w:sz="0" w:space="0" w:color="000000"/>
          <w:bottom w:val="single" w:sz="4" w:space="0" w:color="BDDD8A" w:themeColor="accent4" w:themeTint="9A"/>
          <w:right w:val="none" w:sz="0" w:space="0" w:color="000000"/>
        </w:tcBorders>
        <w:shd w:val="clear" w:color="FFFFFF" w:themeColor="light1" w:fill="FFFFFF" w:themeFill="light1"/>
      </w:tcPr>
    </w:tblStylePr>
    <w:tblStylePr w:type="lastRow">
      <w:rPr>
        <w:rFonts w:ascii="Arial" w:hAnsi="Arial"/>
        <w:b/>
        <w:color w:val="BDDD8A" w:themeColor="accent4" w:themeTint="9A" w:themeShade="95"/>
        <w:sz w:val="22"/>
      </w:rPr>
      <w:tblPr/>
      <w:tcPr>
        <w:tcBorders>
          <w:top w:val="single" w:sz="4" w:space="0" w:color="BDDD8A"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DDD8A" w:themeColor="accent4" w:themeTint="9A" w:themeShade="95"/>
        <w:sz w:val="22"/>
      </w:rPr>
      <w:tblPr/>
      <w:tcPr>
        <w:tcBorders>
          <w:top w:val="none" w:sz="0" w:space="0" w:color="000000"/>
          <w:left w:val="none" w:sz="0" w:space="0" w:color="000000"/>
          <w:bottom w:val="none" w:sz="0" w:space="0" w:color="000000"/>
          <w:right w:val="single" w:sz="4" w:space="0" w:color="BDDD8A" w:themeColor="accent4" w:themeTint="9A"/>
        </w:tcBorders>
        <w:shd w:val="clear" w:color="FFFFFF" w:fill="auto"/>
      </w:tcPr>
    </w:tblStylePr>
    <w:tblStylePr w:type="lastCol">
      <w:rPr>
        <w:rFonts w:ascii="Arial" w:hAnsi="Arial"/>
        <w:i/>
        <w:color w:val="BDDD8A" w:themeColor="accent4" w:themeTint="9A" w:themeShade="95"/>
        <w:sz w:val="22"/>
      </w:rPr>
      <w:tblPr/>
      <w:tcPr>
        <w:tcBorders>
          <w:top w:val="none" w:sz="0" w:space="0" w:color="000000"/>
          <w:left w:val="single" w:sz="4" w:space="0" w:color="BDDD8A" w:themeColor="accent4" w:themeTint="9A"/>
          <w:bottom w:val="none" w:sz="0" w:space="0" w:color="000000"/>
          <w:right w:val="none" w:sz="0" w:space="0" w:color="000000"/>
        </w:tcBorders>
        <w:shd w:val="clear" w:color="FFFFFF" w:fill="auto"/>
      </w:tcPr>
    </w:tblStylePr>
    <w:tblStylePr w:type="band1Vert">
      <w:tblPr/>
      <w:tcPr>
        <w:shd w:val="clear" w:color="E8F3D7" w:themeColor="accent4" w:themeTint="34" w:fill="E8F3D7" w:themeFill="accent4" w:themeFillTint="34"/>
      </w:tcPr>
    </w:tblStylePr>
    <w:tblStylePr w:type="band1Horz">
      <w:rPr>
        <w:rFonts w:ascii="Arial" w:hAnsi="Arial"/>
        <w:color w:val="BDDD8A" w:themeColor="accent4" w:themeTint="9A" w:themeShade="95"/>
        <w:sz w:val="22"/>
      </w:rPr>
      <w:tblPr/>
      <w:tcPr>
        <w:shd w:val="clear" w:color="E8F3D7" w:themeColor="accent4" w:themeTint="34" w:fill="E8F3D7" w:themeFill="accent4" w:themeFillTint="34"/>
      </w:tcPr>
    </w:tblStylePr>
    <w:tblStylePr w:type="band2Horz">
      <w:rPr>
        <w:rFonts w:ascii="Arial" w:hAnsi="Arial"/>
        <w:color w:val="BDDD8A" w:themeColor="accent4" w:themeTint="9A" w:themeShade="95"/>
        <w:sz w:val="22"/>
      </w:rPr>
    </w:tblStylePr>
  </w:style>
  <w:style w:type="table" w:styleId="GridTable7Colorful-Accent5">
    <w:name w:val="Grid Table 7 Colorful Accent 5"/>
    <w:basedOn w:val="TableNormal"/>
    <w:uiPriority w:val="99"/>
    <w:pPr>
      <w:spacing w:after="0" w:line="240" w:lineRule="auto"/>
    </w:pPr>
    <w:tblPr>
      <w:tblStyleRowBandSize w:val="1"/>
      <w:tblStyleColBandSize w:val="1"/>
      <w:tblBorders>
        <w:bottom w:val="single" w:sz="4" w:space="0" w:color="AFD5D2" w:themeColor="accent5" w:themeTint="90"/>
        <w:right w:val="single" w:sz="4" w:space="0" w:color="AFD5D2" w:themeColor="accent5" w:themeTint="90"/>
        <w:insideH w:val="single" w:sz="4" w:space="0" w:color="AFD5D2" w:themeColor="accent5" w:themeTint="90"/>
        <w:insideV w:val="single" w:sz="4" w:space="0" w:color="AFD5D2" w:themeColor="accent5" w:themeTint="90"/>
      </w:tblBorders>
    </w:tblPr>
    <w:tblStylePr w:type="firstRow">
      <w:rPr>
        <w:rFonts w:ascii="Arial" w:hAnsi="Arial"/>
        <w:b/>
        <w:color w:val="3B716C" w:themeColor="accent5" w:themeShade="95"/>
        <w:sz w:val="22"/>
      </w:rPr>
      <w:tblPr/>
      <w:tcPr>
        <w:tcBorders>
          <w:top w:val="none" w:sz="0" w:space="0" w:color="000000"/>
          <w:left w:val="none" w:sz="0" w:space="0" w:color="000000"/>
          <w:bottom w:val="single" w:sz="4" w:space="0" w:color="AFD5D2" w:themeColor="accent5" w:themeTint="90"/>
          <w:right w:val="none" w:sz="0" w:space="0" w:color="000000"/>
        </w:tcBorders>
        <w:shd w:val="clear" w:color="FFFFFF" w:themeColor="light1" w:fill="FFFFFF" w:themeFill="light1"/>
      </w:tcPr>
    </w:tblStylePr>
    <w:tblStylePr w:type="lastRow">
      <w:rPr>
        <w:rFonts w:ascii="Arial" w:hAnsi="Arial"/>
        <w:b/>
        <w:color w:val="3B716C" w:themeColor="accent5" w:themeShade="95"/>
        <w:sz w:val="22"/>
      </w:rPr>
      <w:tblPr/>
      <w:tcPr>
        <w:tcBorders>
          <w:top w:val="single" w:sz="4" w:space="0" w:color="AFD5D2" w:themeColor="accent5"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3B716C" w:themeColor="accent5" w:themeShade="95"/>
        <w:sz w:val="22"/>
      </w:rPr>
      <w:tblPr/>
      <w:tcPr>
        <w:tcBorders>
          <w:top w:val="none" w:sz="0" w:space="0" w:color="000000"/>
          <w:left w:val="none" w:sz="0" w:space="0" w:color="000000"/>
          <w:bottom w:val="none" w:sz="0" w:space="0" w:color="000000"/>
          <w:right w:val="single" w:sz="4" w:space="0" w:color="AFD5D2" w:themeColor="accent5" w:themeTint="90"/>
        </w:tcBorders>
        <w:shd w:val="clear" w:color="FFFFFF" w:fill="auto"/>
      </w:tcPr>
    </w:tblStylePr>
    <w:tblStylePr w:type="lastCol">
      <w:rPr>
        <w:rFonts w:ascii="Arial" w:hAnsi="Arial"/>
        <w:i/>
        <w:color w:val="3B716C" w:themeColor="accent5" w:themeShade="95"/>
        <w:sz w:val="22"/>
      </w:rPr>
      <w:tblPr/>
      <w:tcPr>
        <w:tcBorders>
          <w:top w:val="none" w:sz="0" w:space="0" w:color="000000"/>
          <w:left w:val="single" w:sz="4" w:space="0" w:color="AFD5D2" w:themeColor="accent5" w:themeTint="90"/>
          <w:bottom w:val="none" w:sz="0" w:space="0" w:color="000000"/>
          <w:right w:val="none" w:sz="0" w:space="0" w:color="000000"/>
        </w:tcBorders>
        <w:shd w:val="clear" w:color="FFFFFF" w:fill="auto"/>
      </w:tcPr>
    </w:tblStylePr>
    <w:tblStylePr w:type="band1Vert">
      <w:tblPr/>
      <w:tcPr>
        <w:shd w:val="clear" w:color="E2F0EE" w:themeColor="accent5" w:themeTint="34" w:fill="E2F0EE" w:themeFill="accent5" w:themeFillTint="34"/>
      </w:tcPr>
    </w:tblStylePr>
    <w:tblStylePr w:type="band1Horz">
      <w:rPr>
        <w:rFonts w:ascii="Arial" w:hAnsi="Arial"/>
        <w:color w:val="3B716C" w:themeColor="accent5" w:themeShade="95"/>
        <w:sz w:val="22"/>
      </w:rPr>
      <w:tblPr/>
      <w:tcPr>
        <w:shd w:val="clear" w:color="E2F0EE" w:themeColor="accent5" w:themeTint="34" w:fill="E2F0EE" w:themeFill="accent5" w:themeFillTint="34"/>
      </w:tcPr>
    </w:tblStylePr>
    <w:tblStylePr w:type="band2Horz">
      <w:rPr>
        <w:rFonts w:ascii="Arial" w:hAnsi="Arial"/>
        <w:color w:val="3B716C" w:themeColor="accent5" w:themeShade="95"/>
        <w:sz w:val="22"/>
      </w:rPr>
    </w:tblStylePr>
  </w:style>
  <w:style w:type="table" w:styleId="GridTable7Colorful-Accent6">
    <w:name w:val="Grid Table 7 Colorful Accent 6"/>
    <w:basedOn w:val="TableNormal"/>
    <w:uiPriority w:val="99"/>
    <w:pPr>
      <w:spacing w:after="0" w:line="240" w:lineRule="auto"/>
    </w:pPr>
    <w:tblPr>
      <w:tblStyleRowBandSize w:val="1"/>
      <w:tblStyleColBandSize w:val="1"/>
      <w:tblBorders>
        <w:bottom w:val="single" w:sz="4" w:space="0" w:color="F6D294" w:themeColor="accent6" w:themeTint="90"/>
        <w:right w:val="single" w:sz="4" w:space="0" w:color="F6D294" w:themeColor="accent6" w:themeTint="90"/>
        <w:insideH w:val="single" w:sz="4" w:space="0" w:color="F6D294" w:themeColor="accent6" w:themeTint="90"/>
        <w:insideV w:val="single" w:sz="4" w:space="0" w:color="F6D294" w:themeColor="accent6" w:themeTint="90"/>
      </w:tblBorders>
    </w:tblPr>
    <w:tblStylePr w:type="firstRow">
      <w:rPr>
        <w:rFonts w:ascii="Arial" w:hAnsi="Arial"/>
        <w:b/>
        <w:color w:val="A56D0D" w:themeColor="accent6" w:themeShade="95"/>
        <w:sz w:val="22"/>
      </w:rPr>
      <w:tblPr/>
      <w:tcPr>
        <w:tcBorders>
          <w:top w:val="none" w:sz="0" w:space="0" w:color="000000"/>
          <w:left w:val="none" w:sz="0" w:space="0" w:color="000000"/>
          <w:bottom w:val="single" w:sz="4" w:space="0" w:color="F6D294" w:themeColor="accent6" w:themeTint="90"/>
          <w:right w:val="none" w:sz="0" w:space="0" w:color="000000"/>
        </w:tcBorders>
        <w:shd w:val="clear" w:color="FFFFFF" w:themeColor="light1" w:fill="FFFFFF" w:themeFill="light1"/>
      </w:tcPr>
    </w:tblStylePr>
    <w:tblStylePr w:type="lastRow">
      <w:rPr>
        <w:rFonts w:ascii="Arial" w:hAnsi="Arial"/>
        <w:b/>
        <w:color w:val="A56D0D" w:themeColor="accent6" w:themeShade="95"/>
        <w:sz w:val="22"/>
      </w:rPr>
      <w:tblPr/>
      <w:tcPr>
        <w:tcBorders>
          <w:top w:val="single" w:sz="4" w:space="0" w:color="F6D294" w:themeColor="accent6"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A56D0D" w:themeColor="accent6" w:themeShade="95"/>
        <w:sz w:val="22"/>
      </w:rPr>
      <w:tblPr/>
      <w:tcPr>
        <w:tcBorders>
          <w:top w:val="none" w:sz="0" w:space="0" w:color="000000"/>
          <w:left w:val="none" w:sz="0" w:space="0" w:color="000000"/>
          <w:bottom w:val="none" w:sz="0" w:space="0" w:color="000000"/>
          <w:right w:val="single" w:sz="4" w:space="0" w:color="F6D294" w:themeColor="accent6" w:themeTint="90"/>
        </w:tcBorders>
        <w:shd w:val="clear" w:color="FFFFFF" w:fill="auto"/>
      </w:tcPr>
    </w:tblStylePr>
    <w:tblStylePr w:type="lastCol">
      <w:rPr>
        <w:rFonts w:ascii="Arial" w:hAnsi="Arial"/>
        <w:i/>
        <w:color w:val="A56D0D" w:themeColor="accent6" w:themeShade="95"/>
        <w:sz w:val="22"/>
      </w:rPr>
      <w:tblPr/>
      <w:tcPr>
        <w:tcBorders>
          <w:top w:val="none" w:sz="0" w:space="0" w:color="000000"/>
          <w:left w:val="single" w:sz="4" w:space="0" w:color="F6D294" w:themeColor="accent6" w:themeTint="90"/>
          <w:bottom w:val="none" w:sz="0" w:space="0" w:color="000000"/>
          <w:right w:val="none" w:sz="0" w:space="0" w:color="000000"/>
        </w:tcBorders>
        <w:shd w:val="clear" w:color="FFFFFF" w:fill="auto"/>
      </w:tcPr>
    </w:tblStylePr>
    <w:tblStylePr w:type="band1Vert">
      <w:tblPr/>
      <w:tcPr>
        <w:shd w:val="clear" w:color="FCEED8" w:themeColor="accent6" w:themeTint="34" w:fill="FCEED8" w:themeFill="accent6" w:themeFillTint="34"/>
      </w:tcPr>
    </w:tblStylePr>
    <w:tblStylePr w:type="band1Horz">
      <w:rPr>
        <w:rFonts w:ascii="Arial" w:hAnsi="Arial"/>
        <w:color w:val="A56D0D" w:themeColor="accent6" w:themeShade="95"/>
        <w:sz w:val="22"/>
      </w:rPr>
      <w:tblPr/>
      <w:tcPr>
        <w:shd w:val="clear" w:color="FCEED8" w:themeColor="accent6" w:themeTint="34" w:fill="FCEED8" w:themeFill="accent6" w:themeFillTint="34"/>
      </w:tcPr>
    </w:tblStylePr>
    <w:tblStylePr w:type="band2Horz">
      <w:rPr>
        <w:rFonts w:ascii="Arial" w:hAnsi="Arial"/>
        <w:color w:val="A56D0D" w:themeColor="accent6" w:themeShade="95"/>
        <w:sz w:val="22"/>
      </w:rPr>
    </w:tblStylePr>
  </w:style>
  <w:style w:type="table" w:styleId="ListTable1Light-Accent1">
    <w:name w:val="List Table 1 Light Accent 1"/>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AC4E" w:themeColor="accent1"/>
          <w:right w:val="none" w:sz="4" w:space="0" w:color="000000"/>
        </w:tcBorders>
      </w:tcPr>
    </w:tblStylePr>
    <w:tblStylePr w:type="lastRow">
      <w:rPr>
        <w:b/>
        <w:color w:val="404040"/>
      </w:rPr>
      <w:tblPr/>
      <w:tcPr>
        <w:tcBorders>
          <w:top w:val="single" w:sz="4" w:space="0" w:color="00AC4E"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AFFD0" w:themeColor="accent1" w:themeTint="40" w:fill="AAFFD0" w:themeFill="accent1" w:themeFillTint="40"/>
      </w:tcPr>
    </w:tblStylePr>
    <w:tblStylePr w:type="band1Horz">
      <w:tblPr/>
      <w:tcPr>
        <w:shd w:val="clear" w:color="AAFFD0" w:themeColor="accent1" w:themeTint="40" w:fill="AAFFD0" w:themeFill="accent1" w:themeFillTint="40"/>
      </w:tcPr>
    </w:tblStylePr>
  </w:style>
  <w:style w:type="table" w:styleId="ListTable1Light-Accent2">
    <w:name w:val="List Table 1 Light Accent 2"/>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9889" w:themeColor="accent2"/>
          <w:right w:val="none" w:sz="4" w:space="0" w:color="000000"/>
        </w:tcBorders>
      </w:tcPr>
    </w:tblStylePr>
    <w:tblStylePr w:type="lastRow">
      <w:rPr>
        <w:b/>
        <w:color w:val="404040"/>
      </w:rPr>
      <w:tblPr/>
      <w:tcPr>
        <w:tcBorders>
          <w:top w:val="single" w:sz="4" w:space="0" w:color="009889"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5FFF5" w:themeColor="accent2" w:themeTint="40" w:fill="A5FFF5" w:themeFill="accent2" w:themeFillTint="40"/>
      </w:tcPr>
    </w:tblStylePr>
    <w:tblStylePr w:type="band1Horz">
      <w:tblPr/>
      <w:tcPr>
        <w:shd w:val="clear" w:color="A5FFF5" w:themeColor="accent2" w:themeTint="40" w:fill="A5FFF5" w:themeFill="accent2" w:themeFillTint="40"/>
      </w:tcPr>
    </w:tblStylePr>
  </w:style>
  <w:style w:type="table" w:styleId="ListTable1Light-Accent3">
    <w:name w:val="List Table 1 Light Accent 3"/>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283A97" w:themeColor="accent3"/>
          <w:right w:val="none" w:sz="4" w:space="0" w:color="000000"/>
        </w:tcBorders>
      </w:tcPr>
    </w:tblStylePr>
    <w:tblStylePr w:type="lastRow">
      <w:rPr>
        <w:b/>
        <w:color w:val="404040"/>
      </w:rPr>
      <w:tblPr/>
      <w:tcPr>
        <w:tcBorders>
          <w:top w:val="single" w:sz="4" w:space="0" w:color="283A97"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C6EE" w:themeColor="accent3" w:themeTint="40" w:fill="BFC6EE" w:themeFill="accent3" w:themeFillTint="40"/>
      </w:tcPr>
    </w:tblStylePr>
    <w:tblStylePr w:type="band1Horz">
      <w:tblPr/>
      <w:tcPr>
        <w:shd w:val="clear" w:color="BFC6EE" w:themeColor="accent3" w:themeTint="40" w:fill="BFC6EE" w:themeFill="accent3" w:themeFillTint="40"/>
      </w:tcPr>
    </w:tblStylePr>
  </w:style>
  <w:style w:type="table" w:styleId="ListTable1Light-Accent4">
    <w:name w:val="List Table 1 Light Accent 4"/>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92C83E" w:themeColor="accent4"/>
          <w:right w:val="none" w:sz="4" w:space="0" w:color="000000"/>
        </w:tcBorders>
      </w:tcPr>
    </w:tblStylePr>
    <w:tblStylePr w:type="lastRow">
      <w:rPr>
        <w:b/>
        <w:color w:val="404040"/>
      </w:rPr>
      <w:tblPr/>
      <w:tcPr>
        <w:tcBorders>
          <w:top w:val="single" w:sz="4" w:space="0" w:color="92C83E"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3F1CE" w:themeColor="accent4" w:themeTint="40" w:fill="E3F1CE" w:themeFill="accent4" w:themeFillTint="40"/>
      </w:tcPr>
    </w:tblStylePr>
    <w:tblStylePr w:type="band1Horz">
      <w:tblPr/>
      <w:tcPr>
        <w:shd w:val="clear" w:color="E3F1CE" w:themeColor="accent4" w:themeTint="40" w:fill="E3F1CE" w:themeFill="accent4" w:themeFillTint="40"/>
      </w:tcPr>
    </w:tblStylePr>
  </w:style>
  <w:style w:type="table" w:styleId="ListTable1Light-Accent5">
    <w:name w:val="List Table 1 Light Accent 5"/>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2B6B0" w:themeColor="accent5"/>
          <w:right w:val="none" w:sz="4" w:space="0" w:color="000000"/>
        </w:tcBorders>
      </w:tcPr>
    </w:tblStylePr>
    <w:tblStylePr w:type="lastRow">
      <w:rPr>
        <w:b/>
        <w:color w:val="404040"/>
      </w:rPr>
      <w:tblPr/>
      <w:tcPr>
        <w:tcBorders>
          <w:top w:val="single" w:sz="4" w:space="0" w:color="72B6B0"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BECEB" w:themeColor="accent5" w:themeTint="40" w:fill="DBECEB" w:themeFill="accent5" w:themeFillTint="40"/>
      </w:tcPr>
    </w:tblStylePr>
    <w:tblStylePr w:type="band1Horz">
      <w:tblPr/>
      <w:tcPr>
        <w:shd w:val="clear" w:color="DBECEB" w:themeColor="accent5" w:themeTint="40" w:fill="DBECEB" w:themeFill="accent5" w:themeFillTint="40"/>
      </w:tcPr>
    </w:tblStylePr>
  </w:style>
  <w:style w:type="table" w:styleId="ListTable1Light-Accent6">
    <w:name w:val="List Table 1 Light Accent 6"/>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0B142" w:themeColor="accent6"/>
          <w:right w:val="none" w:sz="4" w:space="0" w:color="000000"/>
        </w:tcBorders>
      </w:tcPr>
    </w:tblStylePr>
    <w:tblStylePr w:type="lastRow">
      <w:rPr>
        <w:b/>
        <w:color w:val="404040"/>
      </w:rPr>
      <w:tblPr/>
      <w:tcPr>
        <w:tcBorders>
          <w:top w:val="single" w:sz="4" w:space="0" w:color="F0B142"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BEBCF" w:themeColor="accent6" w:themeTint="40" w:fill="FBEBCF" w:themeFill="accent6" w:themeFillTint="40"/>
      </w:tcPr>
    </w:tblStylePr>
    <w:tblStylePr w:type="band1Horz">
      <w:tblPr/>
      <w:tcPr>
        <w:shd w:val="clear" w:color="FBEBCF" w:themeColor="accent6" w:themeTint="40" w:fill="FBEBCF" w:themeFill="accent6" w:themeFillTint="40"/>
      </w:tcPr>
    </w:tblStylePr>
  </w:style>
  <w:style w:type="table" w:styleId="ListTable2-Accent1">
    <w:name w:val="List Table 2 Accent 1"/>
    <w:basedOn w:val="TableNormal"/>
    <w:uiPriority w:val="99"/>
    <w:pPr>
      <w:spacing w:after="0" w:line="240" w:lineRule="auto"/>
    </w:pPr>
    <w:tblPr>
      <w:tblStyleRowBandSize w:val="1"/>
      <w:tblStyleColBandSize w:val="1"/>
      <w:tblBorders>
        <w:top w:val="single" w:sz="4" w:space="0" w:color="40FF96" w:themeColor="accent1" w:themeTint="90"/>
        <w:bottom w:val="single" w:sz="4" w:space="0" w:color="40FF96" w:themeColor="accent1" w:themeTint="90"/>
        <w:insideH w:val="single" w:sz="4" w:space="0" w:color="40FF96" w:themeColor="accent1" w:themeTint="90"/>
      </w:tblBorders>
    </w:tblPr>
    <w:tblStylePr w:type="firstRow">
      <w:rPr>
        <w:rFonts w:ascii="Arial" w:hAnsi="Arial"/>
        <w:b/>
        <w:color w:val="404040"/>
        <w:sz w:val="22"/>
      </w:rPr>
      <w:tblPr/>
      <w:tcPr>
        <w:tcBorders>
          <w:top w:val="single" w:sz="4" w:space="0" w:color="40FF96" w:themeColor="accent1" w:themeTint="90"/>
          <w:left w:val="none" w:sz="4" w:space="0" w:color="000000"/>
          <w:bottom w:val="single" w:sz="4" w:space="0" w:color="40FF96" w:themeColor="accent1" w:themeTint="90"/>
          <w:right w:val="none" w:sz="4" w:space="0" w:color="000000"/>
        </w:tcBorders>
      </w:tcPr>
    </w:tblStylePr>
    <w:tblStylePr w:type="lastRow">
      <w:rPr>
        <w:rFonts w:ascii="Arial" w:hAnsi="Arial"/>
        <w:b/>
        <w:color w:val="404040"/>
        <w:sz w:val="22"/>
      </w:rPr>
      <w:tblPr/>
      <w:tcPr>
        <w:tcBorders>
          <w:top w:val="single" w:sz="4" w:space="0" w:color="40FF96" w:themeColor="accent1" w:themeTint="90"/>
          <w:left w:val="none" w:sz="4" w:space="0" w:color="000000"/>
          <w:bottom w:val="single" w:sz="4" w:space="0" w:color="40FF96"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AFFD0" w:themeColor="accent1" w:themeTint="40" w:fill="AAFFD0" w:themeFill="accent1" w:themeFillTint="40"/>
      </w:tcPr>
    </w:tblStylePr>
    <w:tblStylePr w:type="band1Horz">
      <w:rPr>
        <w:rFonts w:ascii="Arial" w:hAnsi="Arial"/>
        <w:color w:val="404040"/>
        <w:sz w:val="22"/>
      </w:rPr>
      <w:tblPr/>
      <w:tcPr>
        <w:shd w:val="clear" w:color="AAFFD0" w:themeColor="accent1" w:themeTint="40" w:fill="AAFFD0" w:themeFill="accent1" w:themeFillTint="40"/>
      </w:tcPr>
    </w:tblStylePr>
  </w:style>
  <w:style w:type="table" w:styleId="ListTable2-Accent2">
    <w:name w:val="List Table 2 Accent 2"/>
    <w:basedOn w:val="TableNormal"/>
    <w:uiPriority w:val="99"/>
    <w:pPr>
      <w:spacing w:after="0" w:line="240" w:lineRule="auto"/>
    </w:pPr>
    <w:tblPr>
      <w:tblStyleRowBandSize w:val="1"/>
      <w:tblStyleColBandSize w:val="1"/>
      <w:tblBorders>
        <w:top w:val="single" w:sz="4" w:space="0" w:color="34FFEA" w:themeColor="accent2" w:themeTint="90"/>
        <w:bottom w:val="single" w:sz="4" w:space="0" w:color="34FFEA" w:themeColor="accent2" w:themeTint="90"/>
        <w:insideH w:val="single" w:sz="4" w:space="0" w:color="34FFEA" w:themeColor="accent2" w:themeTint="90"/>
      </w:tblBorders>
    </w:tblPr>
    <w:tblStylePr w:type="firstRow">
      <w:rPr>
        <w:rFonts w:ascii="Arial" w:hAnsi="Arial"/>
        <w:b/>
        <w:color w:val="404040"/>
        <w:sz w:val="22"/>
      </w:rPr>
      <w:tblPr/>
      <w:tcPr>
        <w:tcBorders>
          <w:top w:val="single" w:sz="4" w:space="0" w:color="34FFEA" w:themeColor="accent2" w:themeTint="90"/>
          <w:left w:val="none" w:sz="4" w:space="0" w:color="000000"/>
          <w:bottom w:val="single" w:sz="4" w:space="0" w:color="34FFEA" w:themeColor="accent2" w:themeTint="90"/>
          <w:right w:val="none" w:sz="4" w:space="0" w:color="000000"/>
        </w:tcBorders>
      </w:tcPr>
    </w:tblStylePr>
    <w:tblStylePr w:type="lastRow">
      <w:rPr>
        <w:rFonts w:ascii="Arial" w:hAnsi="Arial"/>
        <w:b/>
        <w:color w:val="404040"/>
        <w:sz w:val="22"/>
      </w:rPr>
      <w:tblPr/>
      <w:tcPr>
        <w:tcBorders>
          <w:top w:val="single" w:sz="4" w:space="0" w:color="34FFEA" w:themeColor="accent2" w:themeTint="90"/>
          <w:left w:val="none" w:sz="4" w:space="0" w:color="000000"/>
          <w:bottom w:val="single" w:sz="4" w:space="0" w:color="34FFE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5FFF5" w:themeColor="accent2" w:themeTint="40" w:fill="A5FFF5" w:themeFill="accent2" w:themeFillTint="40"/>
      </w:tcPr>
    </w:tblStylePr>
    <w:tblStylePr w:type="band1Horz">
      <w:rPr>
        <w:rFonts w:ascii="Arial" w:hAnsi="Arial"/>
        <w:color w:val="404040"/>
        <w:sz w:val="22"/>
      </w:rPr>
      <w:tblPr/>
      <w:tcPr>
        <w:shd w:val="clear" w:color="A5FFF5" w:themeColor="accent2" w:themeTint="40" w:fill="A5FFF5" w:themeFill="accent2" w:themeFillTint="40"/>
      </w:tcPr>
    </w:tblStylePr>
  </w:style>
  <w:style w:type="table" w:styleId="ListTable2-Accent3">
    <w:name w:val="List Table 2 Accent 3"/>
    <w:basedOn w:val="TableNormal"/>
    <w:uiPriority w:val="99"/>
    <w:pPr>
      <w:spacing w:after="0" w:line="240" w:lineRule="auto"/>
    </w:pPr>
    <w:tblPr>
      <w:tblStyleRowBandSize w:val="1"/>
      <w:tblStyleColBandSize w:val="1"/>
      <w:tblBorders>
        <w:top w:val="single" w:sz="4" w:space="0" w:color="7081D9" w:themeColor="accent3" w:themeTint="90"/>
        <w:bottom w:val="single" w:sz="4" w:space="0" w:color="7081D9" w:themeColor="accent3" w:themeTint="90"/>
        <w:insideH w:val="single" w:sz="4" w:space="0" w:color="7081D9" w:themeColor="accent3" w:themeTint="90"/>
      </w:tblBorders>
    </w:tblPr>
    <w:tblStylePr w:type="firstRow">
      <w:rPr>
        <w:rFonts w:ascii="Arial" w:hAnsi="Arial"/>
        <w:b/>
        <w:color w:val="404040"/>
        <w:sz w:val="22"/>
      </w:rPr>
      <w:tblPr/>
      <w:tcPr>
        <w:tcBorders>
          <w:top w:val="single" w:sz="4" w:space="0" w:color="7081D9" w:themeColor="accent3" w:themeTint="90"/>
          <w:left w:val="none" w:sz="4" w:space="0" w:color="000000"/>
          <w:bottom w:val="single" w:sz="4" w:space="0" w:color="7081D9" w:themeColor="accent3" w:themeTint="90"/>
          <w:right w:val="none" w:sz="4" w:space="0" w:color="000000"/>
        </w:tcBorders>
      </w:tcPr>
    </w:tblStylePr>
    <w:tblStylePr w:type="lastRow">
      <w:rPr>
        <w:rFonts w:ascii="Arial" w:hAnsi="Arial"/>
        <w:b/>
        <w:color w:val="404040"/>
        <w:sz w:val="22"/>
      </w:rPr>
      <w:tblPr/>
      <w:tcPr>
        <w:tcBorders>
          <w:top w:val="single" w:sz="4" w:space="0" w:color="7081D9" w:themeColor="accent3" w:themeTint="90"/>
          <w:left w:val="none" w:sz="4" w:space="0" w:color="000000"/>
          <w:bottom w:val="single" w:sz="4" w:space="0" w:color="7081D9"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C6EE" w:themeColor="accent3" w:themeTint="40" w:fill="BFC6EE" w:themeFill="accent3" w:themeFillTint="40"/>
      </w:tcPr>
    </w:tblStylePr>
    <w:tblStylePr w:type="band1Horz">
      <w:rPr>
        <w:rFonts w:ascii="Arial" w:hAnsi="Arial"/>
        <w:color w:val="404040"/>
        <w:sz w:val="22"/>
      </w:rPr>
      <w:tblPr/>
      <w:tcPr>
        <w:shd w:val="clear" w:color="BFC6EE" w:themeColor="accent3" w:themeTint="40" w:fill="BFC6EE" w:themeFill="accent3" w:themeFillTint="40"/>
      </w:tcPr>
    </w:tblStylePr>
  </w:style>
  <w:style w:type="table" w:styleId="ListTable2-Accent4">
    <w:name w:val="List Table 2 Accent 4"/>
    <w:basedOn w:val="TableNormal"/>
    <w:uiPriority w:val="99"/>
    <w:pPr>
      <w:spacing w:after="0" w:line="240" w:lineRule="auto"/>
    </w:pPr>
    <w:tblPr>
      <w:tblStyleRowBandSize w:val="1"/>
      <w:tblStyleColBandSize w:val="1"/>
      <w:tblBorders>
        <w:top w:val="single" w:sz="4" w:space="0" w:color="C1E091" w:themeColor="accent4" w:themeTint="90"/>
        <w:bottom w:val="single" w:sz="4" w:space="0" w:color="C1E091" w:themeColor="accent4" w:themeTint="90"/>
        <w:insideH w:val="single" w:sz="4" w:space="0" w:color="C1E091" w:themeColor="accent4" w:themeTint="90"/>
      </w:tblBorders>
    </w:tblPr>
    <w:tblStylePr w:type="firstRow">
      <w:rPr>
        <w:rFonts w:ascii="Arial" w:hAnsi="Arial"/>
        <w:b/>
        <w:color w:val="404040"/>
        <w:sz w:val="22"/>
      </w:rPr>
      <w:tblPr/>
      <w:tcPr>
        <w:tcBorders>
          <w:top w:val="single" w:sz="4" w:space="0" w:color="C1E091" w:themeColor="accent4" w:themeTint="90"/>
          <w:left w:val="none" w:sz="4" w:space="0" w:color="000000"/>
          <w:bottom w:val="single" w:sz="4" w:space="0" w:color="C1E091" w:themeColor="accent4" w:themeTint="90"/>
          <w:right w:val="none" w:sz="4" w:space="0" w:color="000000"/>
        </w:tcBorders>
      </w:tcPr>
    </w:tblStylePr>
    <w:tblStylePr w:type="lastRow">
      <w:rPr>
        <w:rFonts w:ascii="Arial" w:hAnsi="Arial"/>
        <w:b/>
        <w:color w:val="404040"/>
        <w:sz w:val="22"/>
      </w:rPr>
      <w:tblPr/>
      <w:tcPr>
        <w:tcBorders>
          <w:top w:val="single" w:sz="4" w:space="0" w:color="C1E091" w:themeColor="accent4" w:themeTint="90"/>
          <w:left w:val="none" w:sz="4" w:space="0" w:color="000000"/>
          <w:bottom w:val="single" w:sz="4" w:space="0" w:color="C1E091"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3F1CE" w:themeColor="accent4" w:themeTint="40" w:fill="E3F1CE" w:themeFill="accent4" w:themeFillTint="40"/>
      </w:tcPr>
    </w:tblStylePr>
    <w:tblStylePr w:type="band1Horz">
      <w:rPr>
        <w:rFonts w:ascii="Arial" w:hAnsi="Arial"/>
        <w:color w:val="404040"/>
        <w:sz w:val="22"/>
      </w:rPr>
      <w:tblPr/>
      <w:tcPr>
        <w:shd w:val="clear" w:color="E3F1CE" w:themeColor="accent4" w:themeTint="40" w:fill="E3F1CE" w:themeFill="accent4" w:themeFillTint="40"/>
      </w:tcPr>
    </w:tblStylePr>
  </w:style>
  <w:style w:type="table" w:styleId="ListTable2-Accent5">
    <w:name w:val="List Table 2 Accent 5"/>
    <w:basedOn w:val="TableNormal"/>
    <w:uiPriority w:val="99"/>
    <w:pPr>
      <w:spacing w:after="0" w:line="240" w:lineRule="auto"/>
    </w:pPr>
    <w:tblPr>
      <w:tblStyleRowBandSize w:val="1"/>
      <w:tblStyleColBandSize w:val="1"/>
      <w:tblBorders>
        <w:top w:val="single" w:sz="4" w:space="0" w:color="AFD5D2" w:themeColor="accent5" w:themeTint="90"/>
        <w:bottom w:val="single" w:sz="4" w:space="0" w:color="AFD5D2" w:themeColor="accent5" w:themeTint="90"/>
        <w:insideH w:val="single" w:sz="4" w:space="0" w:color="AFD5D2" w:themeColor="accent5" w:themeTint="90"/>
      </w:tblBorders>
    </w:tblPr>
    <w:tblStylePr w:type="firstRow">
      <w:rPr>
        <w:rFonts w:ascii="Arial" w:hAnsi="Arial"/>
        <w:b/>
        <w:color w:val="404040"/>
        <w:sz w:val="22"/>
      </w:rPr>
      <w:tblPr/>
      <w:tcPr>
        <w:tcBorders>
          <w:top w:val="single" w:sz="4" w:space="0" w:color="AFD5D2" w:themeColor="accent5" w:themeTint="90"/>
          <w:left w:val="none" w:sz="4" w:space="0" w:color="000000"/>
          <w:bottom w:val="single" w:sz="4" w:space="0" w:color="AFD5D2" w:themeColor="accent5" w:themeTint="90"/>
          <w:right w:val="none" w:sz="4" w:space="0" w:color="000000"/>
        </w:tcBorders>
      </w:tcPr>
    </w:tblStylePr>
    <w:tblStylePr w:type="lastRow">
      <w:rPr>
        <w:rFonts w:ascii="Arial" w:hAnsi="Arial"/>
        <w:b/>
        <w:color w:val="404040"/>
        <w:sz w:val="22"/>
      </w:rPr>
      <w:tblPr/>
      <w:tcPr>
        <w:tcBorders>
          <w:top w:val="single" w:sz="4" w:space="0" w:color="AFD5D2" w:themeColor="accent5" w:themeTint="90"/>
          <w:left w:val="none" w:sz="4" w:space="0" w:color="000000"/>
          <w:bottom w:val="single" w:sz="4" w:space="0" w:color="AFD5D2"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BECEB" w:themeColor="accent5" w:themeTint="40" w:fill="DBECEB" w:themeFill="accent5" w:themeFillTint="40"/>
      </w:tcPr>
    </w:tblStylePr>
    <w:tblStylePr w:type="band1Horz">
      <w:rPr>
        <w:rFonts w:ascii="Arial" w:hAnsi="Arial"/>
        <w:color w:val="404040"/>
        <w:sz w:val="22"/>
      </w:rPr>
      <w:tblPr/>
      <w:tcPr>
        <w:shd w:val="clear" w:color="DBECEB" w:themeColor="accent5" w:themeTint="40" w:fill="DBECEB" w:themeFill="accent5" w:themeFillTint="40"/>
      </w:tcPr>
    </w:tblStylePr>
  </w:style>
  <w:style w:type="table" w:styleId="ListTable2-Accent6">
    <w:name w:val="List Table 2 Accent 6"/>
    <w:basedOn w:val="TableNormal"/>
    <w:uiPriority w:val="99"/>
    <w:pPr>
      <w:spacing w:after="0" w:line="240" w:lineRule="auto"/>
    </w:pPr>
    <w:tblPr>
      <w:tblStyleRowBandSize w:val="1"/>
      <w:tblStyleColBandSize w:val="1"/>
      <w:tblBorders>
        <w:top w:val="single" w:sz="4" w:space="0" w:color="F6D294" w:themeColor="accent6" w:themeTint="90"/>
        <w:bottom w:val="single" w:sz="4" w:space="0" w:color="F6D294" w:themeColor="accent6" w:themeTint="90"/>
        <w:insideH w:val="single" w:sz="4" w:space="0" w:color="F6D294" w:themeColor="accent6" w:themeTint="90"/>
      </w:tblBorders>
    </w:tblPr>
    <w:tblStylePr w:type="firstRow">
      <w:rPr>
        <w:rFonts w:ascii="Arial" w:hAnsi="Arial"/>
        <w:b/>
        <w:color w:val="404040"/>
        <w:sz w:val="22"/>
      </w:rPr>
      <w:tblPr/>
      <w:tcPr>
        <w:tcBorders>
          <w:top w:val="single" w:sz="4" w:space="0" w:color="F6D294" w:themeColor="accent6" w:themeTint="90"/>
          <w:left w:val="none" w:sz="4" w:space="0" w:color="000000"/>
          <w:bottom w:val="single" w:sz="4" w:space="0" w:color="F6D294" w:themeColor="accent6" w:themeTint="90"/>
          <w:right w:val="none" w:sz="4" w:space="0" w:color="000000"/>
        </w:tcBorders>
      </w:tcPr>
    </w:tblStylePr>
    <w:tblStylePr w:type="lastRow">
      <w:rPr>
        <w:rFonts w:ascii="Arial" w:hAnsi="Arial"/>
        <w:b/>
        <w:color w:val="404040"/>
        <w:sz w:val="22"/>
      </w:rPr>
      <w:tblPr/>
      <w:tcPr>
        <w:tcBorders>
          <w:top w:val="single" w:sz="4" w:space="0" w:color="F6D294" w:themeColor="accent6" w:themeTint="90"/>
          <w:left w:val="none" w:sz="4" w:space="0" w:color="000000"/>
          <w:bottom w:val="single" w:sz="4" w:space="0" w:color="F6D2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BEBCF" w:themeColor="accent6" w:themeTint="40" w:fill="FBEBCF" w:themeFill="accent6" w:themeFillTint="40"/>
      </w:tcPr>
    </w:tblStylePr>
    <w:tblStylePr w:type="band1Horz">
      <w:rPr>
        <w:rFonts w:ascii="Arial" w:hAnsi="Arial"/>
        <w:color w:val="404040"/>
        <w:sz w:val="22"/>
      </w:rPr>
      <w:tblPr/>
      <w:tcPr>
        <w:shd w:val="clear" w:color="FBEBCF" w:themeColor="accent6" w:themeTint="40" w:fill="FBEBCF" w:themeFill="accent6" w:themeFillTint="40"/>
      </w:tcPr>
    </w:tblStylePr>
  </w:style>
  <w:style w:type="table" w:styleId="ListTable3-Accent1">
    <w:name w:val="List Table 3 Accent 1"/>
    <w:basedOn w:val="TableNormal"/>
    <w:uiPriority w:val="48"/>
    <w:pPr>
      <w:spacing w:after="0" w:line="240" w:lineRule="auto"/>
    </w:pPr>
    <w:tblPr>
      <w:tblStyleRowBandSize w:val="1"/>
      <w:tblStyleColBandSize w:val="1"/>
      <w:tblBorders>
        <w:top w:val="single" w:sz="4" w:space="0" w:color="00AC4E" w:themeColor="accent1"/>
        <w:left w:val="single" w:sz="4" w:space="0" w:color="00AC4E" w:themeColor="accent1"/>
        <w:bottom w:val="single" w:sz="4" w:space="0" w:color="00AC4E" w:themeColor="accent1"/>
        <w:right w:val="single" w:sz="4" w:space="0" w:color="00AC4E" w:themeColor="accent1"/>
      </w:tblBorders>
    </w:tblPr>
    <w:tcPr>
      <w:vAlign w:val="center"/>
    </w:tcPr>
    <w:tblStylePr w:type="firstRow">
      <w:rPr>
        <w:b/>
        <w:bCs/>
        <w:color w:val="FFFFFF" w:themeColor="background1"/>
      </w:rPr>
      <w:tblPr/>
      <w:tcPr>
        <w:shd w:val="clear" w:color="auto" w:fill="00AC4E" w:themeFill="accent1"/>
      </w:tcPr>
    </w:tblStylePr>
    <w:tblStylePr w:type="lastRow">
      <w:rPr>
        <w:b/>
        <w:bCs/>
      </w:rPr>
      <w:tblPr/>
      <w:tcPr>
        <w:tcBorders>
          <w:top w:val="single" w:sz="4" w:space="0" w:color="00AC4E" w:themeColor="accent1"/>
        </w:tcBorders>
        <w:shd w:val="clear" w:color="auto" w:fill="FFFFFF" w:themeFill="background1"/>
      </w:tcPr>
    </w:tblStylePr>
    <w:tblStylePr w:type="firstCol">
      <w:rPr>
        <w:b/>
        <w:bCs/>
      </w:rPr>
      <w:tblPr/>
      <w:tcPr>
        <w:tcBorders>
          <w:right w:val="none" w:sz="4" w:space="0" w:color="000000"/>
        </w:tcBorders>
        <w:shd w:val="clear" w:color="auto" w:fill="FFFFFF" w:themeFill="background1"/>
      </w:tcPr>
    </w:tblStylePr>
    <w:tblStylePr w:type="lastCol">
      <w:rPr>
        <w:b/>
        <w:bCs/>
      </w:rPr>
      <w:tblPr/>
      <w:tcPr>
        <w:tcBorders>
          <w:left w:val="none" w:sz="4" w:space="0" w:color="000000"/>
        </w:tcBorders>
        <w:shd w:val="clear" w:color="auto" w:fill="FFFFFF" w:themeFill="background1"/>
      </w:tcPr>
    </w:tblStylePr>
    <w:tblStylePr w:type="band1Vert">
      <w:tblPr/>
      <w:tcPr>
        <w:tcBorders>
          <w:left w:val="single" w:sz="4" w:space="0" w:color="00AC4E" w:themeColor="accent1"/>
          <w:right w:val="single" w:sz="4" w:space="0" w:color="00AC4E" w:themeColor="accent1"/>
        </w:tcBorders>
      </w:tcPr>
    </w:tblStylePr>
    <w:tblStylePr w:type="band1Horz">
      <w:tblPr/>
      <w:tcPr>
        <w:tcBorders>
          <w:top w:val="single" w:sz="4" w:space="0" w:color="00AC4E" w:themeColor="accent1"/>
          <w:bottom w:val="single" w:sz="4" w:space="0" w:color="00AC4E" w:themeColor="accent1"/>
        </w:tcBorders>
      </w:tcPr>
    </w:tblStylePr>
    <w:tblStylePr w:type="neCell">
      <w:tblPr/>
      <w:tcPr>
        <w:tcBorders>
          <w:left w:val="none" w:sz="4" w:space="0" w:color="000000"/>
          <w:bottom w:val="none" w:sz="4" w:space="0" w:color="000000"/>
        </w:tcBorders>
      </w:tcPr>
    </w:tblStylePr>
    <w:tblStylePr w:type="nwCell">
      <w:tblPr/>
      <w:tcPr>
        <w:tcBorders>
          <w:bottom w:val="none" w:sz="4" w:space="0" w:color="000000"/>
          <w:right w:val="none" w:sz="4" w:space="0" w:color="000000"/>
        </w:tcBorders>
      </w:tcPr>
    </w:tblStylePr>
    <w:tblStylePr w:type="seCell">
      <w:tblPr/>
      <w:tcPr>
        <w:tcBorders>
          <w:top w:val="single" w:sz="4" w:space="0" w:color="00AC4E" w:themeColor="accent1"/>
          <w:left w:val="none" w:sz="4" w:space="0" w:color="000000"/>
        </w:tcBorders>
      </w:tcPr>
    </w:tblStylePr>
    <w:tblStylePr w:type="swCell">
      <w:tblPr/>
      <w:tcPr>
        <w:tcBorders>
          <w:top w:val="single" w:sz="4" w:space="0" w:color="00AC4E" w:themeColor="accent1"/>
          <w:right w:val="none" w:sz="4" w:space="0" w:color="000000"/>
        </w:tcBorders>
      </w:tcPr>
    </w:tblStylePr>
  </w:style>
  <w:style w:type="table" w:styleId="ListTable3-Accent2">
    <w:name w:val="List Table 3 Accent 2"/>
    <w:basedOn w:val="TableNormal"/>
    <w:uiPriority w:val="48"/>
    <w:pPr>
      <w:spacing w:after="0" w:line="240" w:lineRule="auto"/>
    </w:pPr>
    <w:tblPr>
      <w:tblStyleRowBandSize w:val="1"/>
      <w:tblStyleColBandSize w:val="1"/>
      <w:tblBorders>
        <w:top w:val="single" w:sz="4" w:space="0" w:color="009889" w:themeColor="accent2"/>
        <w:left w:val="single" w:sz="4" w:space="0" w:color="009889" w:themeColor="accent2"/>
        <w:bottom w:val="single" w:sz="4" w:space="0" w:color="009889" w:themeColor="accent2"/>
        <w:right w:val="single" w:sz="4" w:space="0" w:color="009889" w:themeColor="accent2"/>
      </w:tblBorders>
    </w:tblPr>
    <w:tcPr>
      <w:vAlign w:val="center"/>
    </w:tcPr>
    <w:tblStylePr w:type="firstRow">
      <w:rPr>
        <w:b/>
        <w:bCs/>
        <w:color w:val="FFFFFF" w:themeColor="background1"/>
      </w:rPr>
      <w:tblPr/>
      <w:tcPr>
        <w:shd w:val="clear" w:color="auto" w:fill="009889" w:themeFill="accent2"/>
      </w:tcPr>
    </w:tblStylePr>
    <w:tblStylePr w:type="lastRow">
      <w:rPr>
        <w:b/>
        <w:bCs/>
      </w:rPr>
      <w:tblPr/>
      <w:tcPr>
        <w:tcBorders>
          <w:top w:val="single" w:sz="4" w:space="0" w:color="009889" w:themeColor="accent2"/>
        </w:tcBorders>
        <w:shd w:val="clear" w:color="auto" w:fill="FFFFFF" w:themeFill="background1"/>
      </w:tcPr>
    </w:tblStylePr>
    <w:tblStylePr w:type="firstCol">
      <w:rPr>
        <w:b/>
        <w:bCs/>
      </w:rPr>
      <w:tblPr/>
      <w:tcPr>
        <w:tcBorders>
          <w:right w:val="none" w:sz="4" w:space="0" w:color="000000"/>
        </w:tcBorders>
        <w:shd w:val="clear" w:color="auto" w:fill="FFFFFF" w:themeFill="background1"/>
      </w:tcPr>
    </w:tblStylePr>
    <w:tblStylePr w:type="lastCol">
      <w:rPr>
        <w:b/>
        <w:bCs/>
      </w:rPr>
      <w:tblPr/>
      <w:tcPr>
        <w:tcBorders>
          <w:left w:val="none" w:sz="4" w:space="0" w:color="000000"/>
        </w:tcBorders>
        <w:shd w:val="clear" w:color="auto" w:fill="FFFFFF" w:themeFill="background1"/>
      </w:tcPr>
    </w:tblStylePr>
    <w:tblStylePr w:type="band1Vert">
      <w:tblPr/>
      <w:tcPr>
        <w:tcBorders>
          <w:left w:val="single" w:sz="4" w:space="0" w:color="009889" w:themeColor="accent2"/>
          <w:right w:val="single" w:sz="4" w:space="0" w:color="009889" w:themeColor="accent2"/>
        </w:tcBorders>
      </w:tcPr>
    </w:tblStylePr>
    <w:tblStylePr w:type="band1Horz">
      <w:tblPr/>
      <w:tcPr>
        <w:tcBorders>
          <w:top w:val="single" w:sz="4" w:space="0" w:color="009889" w:themeColor="accent2"/>
          <w:bottom w:val="single" w:sz="4" w:space="0" w:color="009889" w:themeColor="accent2"/>
        </w:tcBorders>
      </w:tcPr>
    </w:tblStylePr>
    <w:tblStylePr w:type="neCell">
      <w:tblPr/>
      <w:tcPr>
        <w:tcBorders>
          <w:left w:val="none" w:sz="4" w:space="0" w:color="000000"/>
          <w:bottom w:val="none" w:sz="4" w:space="0" w:color="000000"/>
        </w:tcBorders>
      </w:tcPr>
    </w:tblStylePr>
    <w:tblStylePr w:type="nwCell">
      <w:tblPr/>
      <w:tcPr>
        <w:tcBorders>
          <w:bottom w:val="none" w:sz="4" w:space="0" w:color="000000"/>
          <w:right w:val="none" w:sz="4" w:space="0" w:color="000000"/>
        </w:tcBorders>
      </w:tcPr>
    </w:tblStylePr>
    <w:tblStylePr w:type="seCell">
      <w:tblPr/>
      <w:tcPr>
        <w:tcBorders>
          <w:top w:val="single" w:sz="4" w:space="0" w:color="009889" w:themeColor="accent2"/>
          <w:left w:val="none" w:sz="4" w:space="0" w:color="000000"/>
        </w:tcBorders>
      </w:tcPr>
    </w:tblStylePr>
    <w:tblStylePr w:type="swCell">
      <w:tblPr/>
      <w:tcPr>
        <w:tcBorders>
          <w:top w:val="single" w:sz="4" w:space="0" w:color="009889" w:themeColor="accent2"/>
          <w:right w:val="none" w:sz="4" w:space="0" w:color="000000"/>
        </w:tcBorders>
      </w:tcPr>
    </w:tblStylePr>
  </w:style>
  <w:style w:type="table" w:styleId="ListTable3-Accent3">
    <w:name w:val="List Table 3 Accent 3"/>
    <w:basedOn w:val="TableNormal"/>
    <w:uiPriority w:val="99"/>
    <w:pPr>
      <w:spacing w:after="0" w:line="240" w:lineRule="auto"/>
    </w:pPr>
    <w:tblPr>
      <w:tblStyleRowBandSize w:val="1"/>
      <w:tblStyleColBandSize w:val="1"/>
      <w:tblBorders>
        <w:top w:val="single" w:sz="4" w:space="0" w:color="687AD7" w:themeColor="accent3" w:themeTint="98"/>
        <w:left w:val="single" w:sz="4" w:space="0" w:color="687AD7" w:themeColor="accent3" w:themeTint="98"/>
        <w:bottom w:val="single" w:sz="4" w:space="0" w:color="687AD7" w:themeColor="accent3" w:themeTint="98"/>
        <w:right w:val="single" w:sz="4" w:space="0" w:color="687AD7" w:themeColor="accent3" w:themeTint="98"/>
      </w:tblBorders>
    </w:tblPr>
    <w:tblStylePr w:type="firstRow">
      <w:rPr>
        <w:rFonts w:ascii="Arial" w:hAnsi="Arial"/>
        <w:b/>
        <w:color w:val="FFFFFF"/>
        <w:sz w:val="22"/>
      </w:rPr>
      <w:tblPr/>
      <w:tcPr>
        <w:shd w:val="clear" w:color="687AD7" w:themeColor="accent3" w:themeTint="98" w:fill="687AD7"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687AD7" w:themeColor="accent3" w:themeTint="98"/>
          <w:right w:val="single" w:sz="4" w:space="0" w:color="687AD7" w:themeColor="accent3" w:themeTint="98"/>
        </w:tcBorders>
      </w:tcPr>
    </w:tblStylePr>
    <w:tblStylePr w:type="band1Horz">
      <w:rPr>
        <w:rFonts w:ascii="Arial" w:hAnsi="Arial"/>
        <w:color w:val="404040"/>
        <w:sz w:val="22"/>
      </w:rPr>
      <w:tblPr/>
      <w:tcPr>
        <w:tcBorders>
          <w:top w:val="single" w:sz="4" w:space="0" w:color="687AD7" w:themeColor="accent3" w:themeTint="98"/>
          <w:bottom w:val="single" w:sz="4" w:space="0" w:color="687AD7" w:themeColor="accent3" w:themeTint="98"/>
        </w:tcBorders>
      </w:tcPr>
    </w:tblStylePr>
  </w:style>
  <w:style w:type="table" w:styleId="ListTable3-Accent4">
    <w:name w:val="List Table 3 Accent 4"/>
    <w:basedOn w:val="TableNormal"/>
    <w:uiPriority w:val="99"/>
    <w:pPr>
      <w:spacing w:after="0" w:line="240" w:lineRule="auto"/>
    </w:pPr>
    <w:tblPr>
      <w:tblStyleRowBandSize w:val="1"/>
      <w:tblStyleColBandSize w:val="1"/>
      <w:tblBorders>
        <w:top w:val="single" w:sz="4" w:space="0" w:color="BDDD8A" w:themeColor="accent4" w:themeTint="9A"/>
        <w:left w:val="single" w:sz="4" w:space="0" w:color="BDDD8A" w:themeColor="accent4" w:themeTint="9A"/>
        <w:bottom w:val="single" w:sz="4" w:space="0" w:color="BDDD8A" w:themeColor="accent4" w:themeTint="9A"/>
        <w:right w:val="single" w:sz="4" w:space="0" w:color="BDDD8A" w:themeColor="accent4" w:themeTint="9A"/>
      </w:tblBorders>
    </w:tblPr>
    <w:tblStylePr w:type="firstRow">
      <w:rPr>
        <w:rFonts w:ascii="Arial" w:hAnsi="Arial"/>
        <w:b/>
        <w:color w:val="FFFFFF"/>
        <w:sz w:val="22"/>
      </w:rPr>
      <w:tblPr/>
      <w:tcPr>
        <w:shd w:val="clear" w:color="BDDD8A" w:themeColor="accent4" w:themeTint="9A" w:fill="BDDD8A"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DDD8A" w:themeColor="accent4" w:themeTint="9A"/>
          <w:right w:val="single" w:sz="4" w:space="0" w:color="BDDD8A" w:themeColor="accent4" w:themeTint="9A"/>
        </w:tcBorders>
      </w:tcPr>
    </w:tblStylePr>
    <w:tblStylePr w:type="band1Horz">
      <w:rPr>
        <w:rFonts w:ascii="Arial" w:hAnsi="Arial"/>
        <w:color w:val="404040"/>
        <w:sz w:val="22"/>
      </w:rPr>
      <w:tblPr/>
      <w:tcPr>
        <w:tcBorders>
          <w:top w:val="single" w:sz="4" w:space="0" w:color="BDDD8A" w:themeColor="accent4" w:themeTint="9A"/>
          <w:bottom w:val="single" w:sz="4" w:space="0" w:color="BDDD8A" w:themeColor="accent4" w:themeTint="9A"/>
        </w:tcBorders>
      </w:tcPr>
    </w:tblStylePr>
  </w:style>
  <w:style w:type="table" w:styleId="ListTable3-Accent5">
    <w:name w:val="List Table 3 Accent 5"/>
    <w:basedOn w:val="TableNormal"/>
    <w:uiPriority w:val="99"/>
    <w:pPr>
      <w:spacing w:after="0" w:line="240" w:lineRule="auto"/>
    </w:pPr>
    <w:tblPr>
      <w:tblStyleRowBandSize w:val="1"/>
      <w:tblStyleColBandSize w:val="1"/>
      <w:tblBorders>
        <w:top w:val="single" w:sz="4" w:space="0" w:color="A9D3CF" w:themeColor="accent5" w:themeTint="9A"/>
        <w:left w:val="single" w:sz="4" w:space="0" w:color="A9D3CF" w:themeColor="accent5" w:themeTint="9A"/>
        <w:bottom w:val="single" w:sz="4" w:space="0" w:color="A9D3CF" w:themeColor="accent5" w:themeTint="9A"/>
        <w:right w:val="single" w:sz="4" w:space="0" w:color="A9D3CF" w:themeColor="accent5" w:themeTint="9A"/>
      </w:tblBorders>
    </w:tblPr>
    <w:tblStylePr w:type="firstRow">
      <w:rPr>
        <w:rFonts w:ascii="Arial" w:hAnsi="Arial"/>
        <w:b/>
        <w:color w:val="FFFFFF"/>
        <w:sz w:val="22"/>
      </w:rPr>
      <w:tblPr/>
      <w:tcPr>
        <w:shd w:val="clear" w:color="A9D3CF" w:themeColor="accent5" w:themeTint="9A" w:fill="A9D3CF"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3CF" w:themeColor="accent5" w:themeTint="9A"/>
          <w:right w:val="single" w:sz="4" w:space="0" w:color="A9D3CF" w:themeColor="accent5" w:themeTint="9A"/>
        </w:tcBorders>
      </w:tcPr>
    </w:tblStylePr>
    <w:tblStylePr w:type="band1Horz">
      <w:rPr>
        <w:rFonts w:ascii="Arial" w:hAnsi="Arial"/>
        <w:color w:val="404040"/>
        <w:sz w:val="22"/>
      </w:rPr>
      <w:tblPr/>
      <w:tcPr>
        <w:tcBorders>
          <w:top w:val="single" w:sz="4" w:space="0" w:color="A9D3CF" w:themeColor="accent5" w:themeTint="9A"/>
          <w:bottom w:val="single" w:sz="4" w:space="0" w:color="A9D3CF" w:themeColor="accent5" w:themeTint="9A"/>
        </w:tcBorders>
      </w:tcPr>
    </w:tblStylePr>
  </w:style>
  <w:style w:type="table" w:styleId="ListTable3-Accent6">
    <w:name w:val="List Table 3 Accent 6"/>
    <w:basedOn w:val="TableNormal"/>
    <w:uiPriority w:val="99"/>
    <w:pPr>
      <w:spacing w:after="0" w:line="240" w:lineRule="auto"/>
    </w:pPr>
    <w:tblPr>
      <w:tblStyleRowBandSize w:val="1"/>
      <w:tblStyleColBandSize w:val="1"/>
      <w:tblBorders>
        <w:top w:val="single" w:sz="4" w:space="0" w:color="F6D08E" w:themeColor="accent6" w:themeTint="98"/>
        <w:left w:val="single" w:sz="4" w:space="0" w:color="F6D08E" w:themeColor="accent6" w:themeTint="98"/>
        <w:bottom w:val="single" w:sz="4" w:space="0" w:color="F6D08E" w:themeColor="accent6" w:themeTint="98"/>
        <w:right w:val="single" w:sz="4" w:space="0" w:color="F6D08E" w:themeColor="accent6" w:themeTint="98"/>
      </w:tblBorders>
    </w:tblPr>
    <w:tblStylePr w:type="firstRow">
      <w:rPr>
        <w:rFonts w:ascii="Arial" w:hAnsi="Arial"/>
        <w:b/>
        <w:color w:val="FFFFFF"/>
        <w:sz w:val="22"/>
      </w:rPr>
      <w:tblPr/>
      <w:tcPr>
        <w:shd w:val="clear" w:color="F6D08E" w:themeColor="accent6" w:themeTint="98" w:fill="F6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6D08E" w:themeColor="accent6" w:themeTint="98"/>
          <w:right w:val="single" w:sz="4" w:space="0" w:color="F6D08E" w:themeColor="accent6" w:themeTint="98"/>
        </w:tcBorders>
      </w:tcPr>
    </w:tblStylePr>
    <w:tblStylePr w:type="band1Horz">
      <w:rPr>
        <w:rFonts w:ascii="Arial" w:hAnsi="Arial"/>
        <w:color w:val="404040"/>
        <w:sz w:val="22"/>
      </w:rPr>
      <w:tblPr/>
      <w:tcPr>
        <w:tcBorders>
          <w:top w:val="single" w:sz="4" w:space="0" w:color="F6D08E" w:themeColor="accent6" w:themeTint="98"/>
          <w:bottom w:val="single" w:sz="4" w:space="0" w:color="F6D08E" w:themeColor="accent6" w:themeTint="98"/>
        </w:tcBorders>
      </w:tcPr>
    </w:tblStylePr>
  </w:style>
  <w:style w:type="table" w:styleId="ListTable4-Accent1">
    <w:name w:val="List Table 4 Accent 1"/>
    <w:basedOn w:val="TableNormal"/>
    <w:uiPriority w:val="49"/>
    <w:pPr>
      <w:spacing w:after="0" w:line="240" w:lineRule="auto"/>
    </w:pPr>
    <w:tblPr>
      <w:tblStyleRowBandSize w:val="1"/>
      <w:tblStyleColBandSize w:val="1"/>
      <w:tblBorders>
        <w:top w:val="single" w:sz="4" w:space="0" w:color="40FF96" w:themeColor="accent1" w:themeTint="90"/>
        <w:left w:val="single" w:sz="4" w:space="0" w:color="40FF96" w:themeColor="accent1" w:themeTint="90"/>
        <w:bottom w:val="single" w:sz="4" w:space="0" w:color="40FF96" w:themeColor="accent1" w:themeTint="90"/>
        <w:right w:val="single" w:sz="4" w:space="0" w:color="40FF96" w:themeColor="accent1" w:themeTint="90"/>
        <w:insideH w:val="single" w:sz="4" w:space="0" w:color="40FF96" w:themeColor="accent1" w:themeTint="90"/>
      </w:tblBorders>
    </w:tblPr>
    <w:tblStylePr w:type="firstRow">
      <w:rPr>
        <w:rFonts w:ascii="Arial" w:hAnsi="Arial"/>
        <w:b/>
        <w:color w:val="FFFFFF"/>
        <w:sz w:val="22"/>
      </w:rPr>
      <w:tblPr/>
      <w:tcPr>
        <w:shd w:val="clear" w:color="00AC4E" w:themeColor="accent1" w:fill="00AC4E"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AFFD0" w:themeColor="accent1" w:themeTint="40" w:fill="AAFFD0" w:themeFill="accent1" w:themeFillTint="40"/>
      </w:tcPr>
    </w:tblStylePr>
    <w:tblStylePr w:type="band1Horz">
      <w:rPr>
        <w:rFonts w:ascii="Arial" w:hAnsi="Arial"/>
        <w:color w:val="404040"/>
        <w:sz w:val="22"/>
      </w:rPr>
      <w:tblPr/>
      <w:tcPr>
        <w:shd w:val="clear" w:color="AAFFD0" w:themeColor="accent1" w:themeTint="40" w:fill="AAFFD0" w:themeFill="accent1" w:themeFillTint="40"/>
      </w:tcPr>
    </w:tblStylePr>
  </w:style>
  <w:style w:type="table" w:styleId="ListTable4-Accent2">
    <w:name w:val="List Table 4 Accent 2"/>
    <w:basedOn w:val="TableNormal"/>
    <w:uiPriority w:val="99"/>
    <w:pPr>
      <w:spacing w:after="0" w:line="240" w:lineRule="auto"/>
    </w:pPr>
    <w:tblPr>
      <w:tblStyleRowBandSize w:val="1"/>
      <w:tblStyleColBandSize w:val="1"/>
      <w:tblBorders>
        <w:top w:val="single" w:sz="4" w:space="0" w:color="34FFEA" w:themeColor="accent2" w:themeTint="90"/>
        <w:left w:val="single" w:sz="4" w:space="0" w:color="34FFEA" w:themeColor="accent2" w:themeTint="90"/>
        <w:bottom w:val="single" w:sz="4" w:space="0" w:color="34FFEA" w:themeColor="accent2" w:themeTint="90"/>
        <w:right w:val="single" w:sz="4" w:space="0" w:color="34FFEA" w:themeColor="accent2" w:themeTint="90"/>
        <w:insideH w:val="single" w:sz="4" w:space="0" w:color="34FFEA" w:themeColor="accent2" w:themeTint="90"/>
      </w:tblBorders>
    </w:tblPr>
    <w:tblStylePr w:type="firstRow">
      <w:rPr>
        <w:rFonts w:ascii="Arial" w:hAnsi="Arial"/>
        <w:b/>
        <w:color w:val="FFFFFF"/>
        <w:sz w:val="22"/>
      </w:rPr>
      <w:tblPr/>
      <w:tcPr>
        <w:shd w:val="clear" w:color="009889" w:themeColor="accent2" w:fill="009889"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5FFF5" w:themeColor="accent2" w:themeTint="40" w:fill="A5FFF5" w:themeFill="accent2" w:themeFillTint="40"/>
      </w:tcPr>
    </w:tblStylePr>
    <w:tblStylePr w:type="band1Horz">
      <w:rPr>
        <w:rFonts w:ascii="Arial" w:hAnsi="Arial"/>
        <w:color w:val="404040"/>
        <w:sz w:val="22"/>
      </w:rPr>
      <w:tblPr/>
      <w:tcPr>
        <w:shd w:val="clear" w:color="A5FFF5" w:themeColor="accent2" w:themeTint="40" w:fill="A5FFF5" w:themeFill="accent2" w:themeFillTint="40"/>
      </w:tcPr>
    </w:tblStylePr>
  </w:style>
  <w:style w:type="table" w:styleId="ListTable4-Accent3">
    <w:name w:val="List Table 4 Accent 3"/>
    <w:basedOn w:val="TableNormal"/>
    <w:uiPriority w:val="99"/>
    <w:pPr>
      <w:spacing w:after="0" w:line="240" w:lineRule="auto"/>
    </w:pPr>
    <w:tblPr>
      <w:tblStyleRowBandSize w:val="1"/>
      <w:tblStyleColBandSize w:val="1"/>
      <w:tblBorders>
        <w:top w:val="single" w:sz="4" w:space="0" w:color="7081D9" w:themeColor="accent3" w:themeTint="90"/>
        <w:left w:val="single" w:sz="4" w:space="0" w:color="7081D9" w:themeColor="accent3" w:themeTint="90"/>
        <w:bottom w:val="single" w:sz="4" w:space="0" w:color="7081D9" w:themeColor="accent3" w:themeTint="90"/>
        <w:right w:val="single" w:sz="4" w:space="0" w:color="7081D9" w:themeColor="accent3" w:themeTint="90"/>
        <w:insideH w:val="single" w:sz="4" w:space="0" w:color="7081D9" w:themeColor="accent3" w:themeTint="90"/>
      </w:tblBorders>
    </w:tblPr>
    <w:tblStylePr w:type="firstRow">
      <w:rPr>
        <w:rFonts w:ascii="Arial" w:hAnsi="Arial"/>
        <w:b/>
        <w:color w:val="FFFFFF"/>
        <w:sz w:val="22"/>
      </w:rPr>
      <w:tblPr/>
      <w:tcPr>
        <w:shd w:val="clear" w:color="283A97" w:themeColor="accent3" w:fill="283A97"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C6EE" w:themeColor="accent3" w:themeTint="40" w:fill="BFC6EE" w:themeFill="accent3" w:themeFillTint="40"/>
      </w:tcPr>
    </w:tblStylePr>
    <w:tblStylePr w:type="band1Horz">
      <w:rPr>
        <w:rFonts w:ascii="Arial" w:hAnsi="Arial"/>
        <w:color w:val="404040"/>
        <w:sz w:val="22"/>
      </w:rPr>
      <w:tblPr/>
      <w:tcPr>
        <w:shd w:val="clear" w:color="BFC6EE" w:themeColor="accent3" w:themeTint="40" w:fill="BFC6EE" w:themeFill="accent3" w:themeFillTint="40"/>
      </w:tcPr>
    </w:tblStylePr>
  </w:style>
  <w:style w:type="table" w:styleId="ListTable4-Accent4">
    <w:name w:val="List Table 4 Accent 4"/>
    <w:basedOn w:val="TableNormal"/>
    <w:uiPriority w:val="99"/>
    <w:pPr>
      <w:spacing w:after="0" w:line="240" w:lineRule="auto"/>
    </w:pPr>
    <w:tblPr>
      <w:tblStyleRowBandSize w:val="1"/>
      <w:tblStyleColBandSize w:val="1"/>
      <w:tblBorders>
        <w:top w:val="single" w:sz="4" w:space="0" w:color="C1E091" w:themeColor="accent4" w:themeTint="90"/>
        <w:left w:val="single" w:sz="4" w:space="0" w:color="C1E091" w:themeColor="accent4" w:themeTint="90"/>
        <w:bottom w:val="single" w:sz="4" w:space="0" w:color="C1E091" w:themeColor="accent4" w:themeTint="90"/>
        <w:right w:val="single" w:sz="4" w:space="0" w:color="C1E091" w:themeColor="accent4" w:themeTint="90"/>
        <w:insideH w:val="single" w:sz="4" w:space="0" w:color="C1E091" w:themeColor="accent4" w:themeTint="90"/>
      </w:tblBorders>
    </w:tblPr>
    <w:tblStylePr w:type="firstRow">
      <w:rPr>
        <w:rFonts w:ascii="Arial" w:hAnsi="Arial"/>
        <w:b/>
        <w:color w:val="FFFFFF"/>
        <w:sz w:val="22"/>
      </w:rPr>
      <w:tblPr/>
      <w:tcPr>
        <w:shd w:val="clear" w:color="92C83E" w:themeColor="accent4" w:fill="92C83E"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3F1CE" w:themeColor="accent4" w:themeTint="40" w:fill="E3F1CE" w:themeFill="accent4" w:themeFillTint="40"/>
      </w:tcPr>
    </w:tblStylePr>
    <w:tblStylePr w:type="band1Horz">
      <w:rPr>
        <w:rFonts w:ascii="Arial" w:hAnsi="Arial"/>
        <w:color w:val="404040"/>
        <w:sz w:val="22"/>
      </w:rPr>
      <w:tblPr/>
      <w:tcPr>
        <w:shd w:val="clear" w:color="E3F1CE" w:themeColor="accent4" w:themeTint="40" w:fill="E3F1CE" w:themeFill="accent4" w:themeFillTint="40"/>
      </w:tcPr>
    </w:tblStylePr>
  </w:style>
  <w:style w:type="table" w:styleId="ListTable4-Accent5">
    <w:name w:val="List Table 4 Accent 5"/>
    <w:basedOn w:val="TableNormal"/>
    <w:uiPriority w:val="99"/>
    <w:pPr>
      <w:spacing w:after="0" w:line="240" w:lineRule="auto"/>
    </w:pPr>
    <w:tblPr>
      <w:tblStyleRowBandSize w:val="1"/>
      <w:tblStyleColBandSize w:val="1"/>
      <w:tblBorders>
        <w:top w:val="single" w:sz="4" w:space="0" w:color="AFD5D2" w:themeColor="accent5" w:themeTint="90"/>
        <w:left w:val="single" w:sz="4" w:space="0" w:color="AFD5D2" w:themeColor="accent5" w:themeTint="90"/>
        <w:bottom w:val="single" w:sz="4" w:space="0" w:color="AFD5D2" w:themeColor="accent5" w:themeTint="90"/>
        <w:right w:val="single" w:sz="4" w:space="0" w:color="AFD5D2" w:themeColor="accent5" w:themeTint="90"/>
        <w:insideH w:val="single" w:sz="4" w:space="0" w:color="AFD5D2" w:themeColor="accent5" w:themeTint="90"/>
      </w:tblBorders>
    </w:tblPr>
    <w:tblStylePr w:type="firstRow">
      <w:rPr>
        <w:rFonts w:ascii="Arial" w:hAnsi="Arial"/>
        <w:b/>
        <w:color w:val="FFFFFF"/>
        <w:sz w:val="22"/>
      </w:rPr>
      <w:tblPr/>
      <w:tcPr>
        <w:shd w:val="clear" w:color="72B6B0" w:themeColor="accent5" w:fill="72B6B0"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BECEB" w:themeColor="accent5" w:themeTint="40" w:fill="DBECEB" w:themeFill="accent5" w:themeFillTint="40"/>
      </w:tcPr>
    </w:tblStylePr>
    <w:tblStylePr w:type="band1Horz">
      <w:rPr>
        <w:rFonts w:ascii="Arial" w:hAnsi="Arial"/>
        <w:color w:val="404040"/>
        <w:sz w:val="22"/>
      </w:rPr>
      <w:tblPr/>
      <w:tcPr>
        <w:shd w:val="clear" w:color="DBECEB" w:themeColor="accent5" w:themeTint="40" w:fill="DBECEB" w:themeFill="accent5" w:themeFillTint="40"/>
      </w:tcPr>
    </w:tblStylePr>
  </w:style>
  <w:style w:type="table" w:styleId="ListTable4-Accent6">
    <w:name w:val="List Table 4 Accent 6"/>
    <w:basedOn w:val="TableNormal"/>
    <w:uiPriority w:val="99"/>
    <w:pPr>
      <w:spacing w:after="0" w:line="240" w:lineRule="auto"/>
    </w:pPr>
    <w:tblPr>
      <w:tblStyleRowBandSize w:val="1"/>
      <w:tblStyleColBandSize w:val="1"/>
      <w:tblBorders>
        <w:top w:val="single" w:sz="4" w:space="0" w:color="F6D294" w:themeColor="accent6" w:themeTint="90"/>
        <w:left w:val="single" w:sz="4" w:space="0" w:color="F6D294" w:themeColor="accent6" w:themeTint="90"/>
        <w:bottom w:val="single" w:sz="4" w:space="0" w:color="F6D294" w:themeColor="accent6" w:themeTint="90"/>
        <w:right w:val="single" w:sz="4" w:space="0" w:color="F6D294" w:themeColor="accent6" w:themeTint="90"/>
        <w:insideH w:val="single" w:sz="4" w:space="0" w:color="F6D294" w:themeColor="accent6" w:themeTint="90"/>
      </w:tblBorders>
    </w:tblPr>
    <w:tblStylePr w:type="firstRow">
      <w:rPr>
        <w:rFonts w:ascii="Arial" w:hAnsi="Arial"/>
        <w:b/>
        <w:color w:val="FFFFFF"/>
        <w:sz w:val="22"/>
      </w:rPr>
      <w:tblPr/>
      <w:tcPr>
        <w:shd w:val="clear" w:color="F0B142" w:themeColor="accent6" w:fill="F0B142"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BCF" w:themeColor="accent6" w:themeTint="40" w:fill="FBEBCF" w:themeFill="accent6" w:themeFillTint="40"/>
      </w:tcPr>
    </w:tblStylePr>
    <w:tblStylePr w:type="band1Horz">
      <w:rPr>
        <w:rFonts w:ascii="Arial" w:hAnsi="Arial"/>
        <w:color w:val="404040"/>
        <w:sz w:val="22"/>
      </w:rPr>
      <w:tblPr/>
      <w:tcPr>
        <w:shd w:val="clear" w:color="FBEBCF" w:themeColor="accent6" w:themeTint="40" w:fill="FBEBCF" w:themeFill="accent6" w:themeFillTint="40"/>
      </w:tcPr>
    </w:tblStylePr>
  </w:style>
  <w:style w:type="table" w:styleId="ListTable5Dark-Accent1">
    <w:name w:val="List Table 5 Dark Accent 1"/>
    <w:basedOn w:val="TableNormal"/>
    <w:uiPriority w:val="99"/>
    <w:pPr>
      <w:spacing w:after="0" w:line="240" w:lineRule="auto"/>
    </w:pPr>
    <w:tblPr>
      <w:tblStyleRowBandSize w:val="1"/>
      <w:tblStyleColBandSize w:val="1"/>
      <w:tblBorders>
        <w:top w:val="single" w:sz="32" w:space="0" w:color="00AC4E" w:themeColor="accent1"/>
        <w:left w:val="single" w:sz="32" w:space="0" w:color="00AC4E" w:themeColor="accent1"/>
        <w:bottom w:val="single" w:sz="32" w:space="0" w:color="00AC4E" w:themeColor="accent1"/>
        <w:right w:val="single" w:sz="32" w:space="0" w:color="00AC4E" w:themeColor="accent1"/>
      </w:tblBorders>
      <w:shd w:val="clear" w:color="00AC4E" w:themeColor="accent1" w:fill="00AC4E" w:themeFill="accent1"/>
    </w:tblPr>
    <w:tblStylePr w:type="firstRow">
      <w:rPr>
        <w:rFonts w:ascii="Arial" w:hAnsi="Arial"/>
        <w:b/>
        <w:color w:val="FFFFFF" w:themeColor="light1"/>
        <w:sz w:val="22"/>
      </w:rPr>
      <w:tblPr/>
      <w:tcPr>
        <w:tcBorders>
          <w:top w:val="single" w:sz="32" w:space="0" w:color="00AC4E" w:themeColor="accent1"/>
          <w:bottom w:val="single" w:sz="12" w:space="0" w:color="FFFFFF" w:themeColor="light1"/>
        </w:tcBorders>
        <w:shd w:val="clear" w:color="00AC4E" w:themeColor="accent1" w:fill="00AC4E"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00AC4E" w:themeColor="accent1"/>
          <w:right w:val="single" w:sz="4" w:space="0" w:color="FFFFFF" w:themeColor="light1"/>
        </w:tcBorders>
      </w:tcPr>
    </w:tblStylePr>
    <w:tblStylePr w:type="lastCol">
      <w:tblPr/>
      <w:tcPr>
        <w:tcBorders>
          <w:left w:val="single" w:sz="4" w:space="0" w:color="FFFFFF" w:themeColor="light1"/>
          <w:right w:val="single" w:sz="32" w:space="0" w:color="00AC4E" w:themeColor="accent1"/>
        </w:tcBorders>
      </w:tcPr>
    </w:tblStylePr>
    <w:tblStylePr w:type="band1Vert">
      <w:tblPr/>
      <w:tcPr>
        <w:tcBorders>
          <w:left w:val="single" w:sz="4" w:space="0" w:color="FFFFFF" w:themeColor="light1"/>
          <w:right w:val="single" w:sz="4" w:space="0" w:color="FFFFFF" w:themeColor="light1"/>
        </w:tcBorders>
        <w:shd w:val="clear" w:color="00AC4E" w:themeColor="accent1" w:fill="00AC4E"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00AC4E" w:themeColor="accent1" w:fill="00AC4E" w:themeFill="accent1"/>
      </w:tcPr>
    </w:tblStylePr>
    <w:tblStylePr w:type="band2Horz">
      <w:tblPr/>
      <w:tcPr>
        <w:tcBorders>
          <w:top w:val="single" w:sz="4" w:space="0" w:color="FFFFFF" w:themeColor="light1"/>
          <w:bottom w:val="single" w:sz="4" w:space="0" w:color="FFFFFF" w:themeColor="light1"/>
        </w:tcBorders>
        <w:shd w:val="clear" w:color="00AC4E" w:themeColor="accent1" w:fill="00AC4E" w:themeFill="accent1"/>
      </w:tcPr>
    </w:tblStylePr>
  </w:style>
  <w:style w:type="table" w:styleId="ListTable5Dark-Accent2">
    <w:name w:val="List Table 5 Dark Accent 2"/>
    <w:basedOn w:val="TableNormal"/>
    <w:uiPriority w:val="50"/>
    <w:pPr>
      <w:spacing w:after="0" w:line="240" w:lineRule="auto"/>
    </w:pPr>
    <w:rPr>
      <w:color w:val="FFFFFF" w:themeColor="background1"/>
    </w:rPr>
    <w:tblPr>
      <w:tblStyleRowBandSize w:val="1"/>
      <w:tblStyleColBandSize w:val="1"/>
      <w:tblBorders>
        <w:top w:val="single" w:sz="24" w:space="0" w:color="009889" w:themeColor="accent2"/>
        <w:left w:val="single" w:sz="24" w:space="0" w:color="009889" w:themeColor="accent2"/>
        <w:bottom w:val="single" w:sz="24" w:space="0" w:color="009889" w:themeColor="accent2"/>
        <w:right w:val="single" w:sz="24" w:space="0" w:color="009889" w:themeColor="accent2"/>
      </w:tblBorders>
    </w:tblPr>
    <w:tcPr>
      <w:shd w:val="clear" w:color="auto" w:fill="009889"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one" w:sz="4" w:space="0" w:color="000000"/>
        </w:tcBorders>
      </w:tcPr>
    </w:tblStylePr>
    <w:tblStylePr w:type="nwCell">
      <w:tblPr/>
      <w:tcPr>
        <w:tcBorders>
          <w:right w:val="none" w:sz="4" w:space="0" w:color="000000"/>
        </w:tcBorders>
      </w:tcPr>
    </w:tblStylePr>
    <w:tblStylePr w:type="seCell">
      <w:tblPr/>
      <w:tcPr>
        <w:tcBorders>
          <w:top w:val="none" w:sz="4" w:space="0" w:color="000000"/>
          <w:left w:val="none" w:sz="4" w:space="0" w:color="000000"/>
        </w:tcBorders>
      </w:tcPr>
    </w:tblStylePr>
    <w:tblStylePr w:type="swCell">
      <w:tblPr/>
      <w:tcPr>
        <w:tcBorders>
          <w:top w:val="none" w:sz="4" w:space="0" w:color="000000"/>
          <w:right w:val="none" w:sz="4" w:space="0" w:color="000000"/>
        </w:tcBorders>
      </w:tcPr>
    </w:tblStylePr>
  </w:style>
  <w:style w:type="table" w:styleId="ListTable5Dark-Accent3">
    <w:name w:val="List Table 5 Dark Accent 3"/>
    <w:basedOn w:val="TableNormal"/>
    <w:uiPriority w:val="99"/>
    <w:pPr>
      <w:spacing w:after="0" w:line="240" w:lineRule="auto"/>
    </w:pPr>
    <w:tblPr>
      <w:tblStyleRowBandSize w:val="1"/>
      <w:tblStyleColBandSize w:val="1"/>
      <w:tblBorders>
        <w:top w:val="single" w:sz="32" w:space="0" w:color="687AD7" w:themeColor="accent3" w:themeTint="98"/>
        <w:left w:val="single" w:sz="32" w:space="0" w:color="687AD7" w:themeColor="accent3" w:themeTint="98"/>
        <w:bottom w:val="single" w:sz="32" w:space="0" w:color="687AD7" w:themeColor="accent3" w:themeTint="98"/>
        <w:right w:val="single" w:sz="32" w:space="0" w:color="687AD7" w:themeColor="accent3" w:themeTint="98"/>
      </w:tblBorders>
      <w:shd w:val="clear" w:color="687AD7" w:themeColor="accent3" w:themeTint="98" w:fill="687AD7" w:themeFill="accent3" w:themeFillTint="98"/>
    </w:tblPr>
    <w:tblStylePr w:type="firstRow">
      <w:rPr>
        <w:rFonts w:ascii="Arial" w:hAnsi="Arial"/>
        <w:b/>
        <w:color w:val="FFFFFF" w:themeColor="light1"/>
        <w:sz w:val="22"/>
      </w:rPr>
      <w:tblPr/>
      <w:tcPr>
        <w:tcBorders>
          <w:top w:val="single" w:sz="32" w:space="0" w:color="687AD7" w:themeColor="accent3" w:themeTint="98"/>
          <w:bottom w:val="single" w:sz="12" w:space="0" w:color="FFFFFF" w:themeColor="light1"/>
        </w:tcBorders>
        <w:shd w:val="clear" w:color="687AD7" w:themeColor="accent3" w:themeTint="98" w:fill="687AD7"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687AD7" w:themeColor="accent3" w:themeTint="98"/>
          <w:right w:val="single" w:sz="4" w:space="0" w:color="FFFFFF" w:themeColor="light1"/>
        </w:tcBorders>
      </w:tcPr>
    </w:tblStylePr>
    <w:tblStylePr w:type="lastCol">
      <w:tblPr/>
      <w:tcPr>
        <w:tcBorders>
          <w:left w:val="single" w:sz="4" w:space="0" w:color="FFFFFF" w:themeColor="light1"/>
          <w:right w:val="single" w:sz="32" w:space="0" w:color="687AD7" w:themeColor="accent3" w:themeTint="98"/>
        </w:tcBorders>
      </w:tcPr>
    </w:tblStylePr>
    <w:tblStylePr w:type="band1Vert">
      <w:tblPr/>
      <w:tcPr>
        <w:tcBorders>
          <w:left w:val="single" w:sz="4" w:space="0" w:color="FFFFFF" w:themeColor="light1"/>
          <w:right w:val="single" w:sz="4" w:space="0" w:color="FFFFFF" w:themeColor="light1"/>
        </w:tcBorders>
        <w:shd w:val="clear" w:color="687AD7" w:themeColor="accent3" w:themeTint="98" w:fill="687AD7"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687AD7" w:themeColor="accent3" w:themeTint="98" w:fill="687AD7" w:themeFill="accent3" w:themeFillTint="98"/>
      </w:tcPr>
    </w:tblStylePr>
    <w:tblStylePr w:type="band2Horz">
      <w:tblPr/>
      <w:tcPr>
        <w:tcBorders>
          <w:top w:val="single" w:sz="4" w:space="0" w:color="FFFFFF" w:themeColor="light1"/>
          <w:bottom w:val="single" w:sz="4" w:space="0" w:color="FFFFFF" w:themeColor="light1"/>
        </w:tcBorders>
        <w:shd w:val="clear" w:color="687AD7" w:themeColor="accent3" w:themeTint="98" w:fill="687AD7" w:themeFill="accent3" w:themeFillTint="98"/>
      </w:tcPr>
    </w:tblStylePr>
  </w:style>
  <w:style w:type="table" w:styleId="ListTable5Dark-Accent4">
    <w:name w:val="List Table 5 Dark Accent 4"/>
    <w:basedOn w:val="TableNormal"/>
    <w:uiPriority w:val="99"/>
    <w:pPr>
      <w:spacing w:after="0" w:line="240" w:lineRule="auto"/>
    </w:pPr>
    <w:tblPr>
      <w:tblStyleRowBandSize w:val="1"/>
      <w:tblStyleColBandSize w:val="1"/>
      <w:tblBorders>
        <w:top w:val="single" w:sz="32" w:space="0" w:color="BDDD8A" w:themeColor="accent4" w:themeTint="9A"/>
        <w:left w:val="single" w:sz="32" w:space="0" w:color="BDDD8A" w:themeColor="accent4" w:themeTint="9A"/>
        <w:bottom w:val="single" w:sz="32" w:space="0" w:color="BDDD8A" w:themeColor="accent4" w:themeTint="9A"/>
        <w:right w:val="single" w:sz="32" w:space="0" w:color="BDDD8A" w:themeColor="accent4" w:themeTint="9A"/>
      </w:tblBorders>
      <w:shd w:val="clear" w:color="BDDD8A" w:themeColor="accent4" w:themeTint="9A" w:fill="BDDD8A" w:themeFill="accent4" w:themeFillTint="9A"/>
    </w:tblPr>
    <w:tblStylePr w:type="firstRow">
      <w:rPr>
        <w:rFonts w:ascii="Arial" w:hAnsi="Arial"/>
        <w:b/>
        <w:color w:val="FFFFFF" w:themeColor="light1"/>
        <w:sz w:val="22"/>
      </w:rPr>
      <w:tblPr/>
      <w:tcPr>
        <w:tcBorders>
          <w:top w:val="single" w:sz="32" w:space="0" w:color="BDDD8A" w:themeColor="accent4" w:themeTint="9A"/>
          <w:bottom w:val="single" w:sz="12" w:space="0" w:color="FFFFFF" w:themeColor="light1"/>
        </w:tcBorders>
        <w:shd w:val="clear" w:color="BDDD8A" w:themeColor="accent4" w:themeTint="9A" w:fill="BDDD8A"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DDD8A" w:themeColor="accent4" w:themeTint="9A"/>
          <w:right w:val="single" w:sz="4" w:space="0" w:color="FFFFFF" w:themeColor="light1"/>
        </w:tcBorders>
      </w:tcPr>
    </w:tblStylePr>
    <w:tblStylePr w:type="lastCol">
      <w:tblPr/>
      <w:tcPr>
        <w:tcBorders>
          <w:left w:val="single" w:sz="4" w:space="0" w:color="FFFFFF" w:themeColor="light1"/>
          <w:right w:val="single" w:sz="32" w:space="0" w:color="BDDD8A" w:themeColor="accent4" w:themeTint="9A"/>
        </w:tcBorders>
      </w:tcPr>
    </w:tblStylePr>
    <w:tblStylePr w:type="band1Vert">
      <w:tblPr/>
      <w:tcPr>
        <w:tcBorders>
          <w:left w:val="single" w:sz="4" w:space="0" w:color="FFFFFF" w:themeColor="light1"/>
          <w:right w:val="single" w:sz="4" w:space="0" w:color="FFFFFF" w:themeColor="light1"/>
        </w:tcBorders>
        <w:shd w:val="clear" w:color="BDDD8A" w:themeColor="accent4" w:themeTint="9A" w:fill="BDDD8A"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DDD8A" w:themeColor="accent4" w:themeTint="9A" w:fill="BDDD8A" w:themeFill="accent4" w:themeFillTint="9A"/>
      </w:tcPr>
    </w:tblStylePr>
    <w:tblStylePr w:type="band2Horz">
      <w:tblPr/>
      <w:tcPr>
        <w:tcBorders>
          <w:top w:val="single" w:sz="4" w:space="0" w:color="FFFFFF" w:themeColor="light1"/>
          <w:bottom w:val="single" w:sz="4" w:space="0" w:color="FFFFFF" w:themeColor="light1"/>
        </w:tcBorders>
        <w:shd w:val="clear" w:color="BDDD8A" w:themeColor="accent4" w:themeTint="9A" w:fill="BDDD8A" w:themeFill="accent4" w:themeFillTint="9A"/>
      </w:tcPr>
    </w:tblStylePr>
  </w:style>
  <w:style w:type="table" w:styleId="ListTable5Dark-Accent5">
    <w:name w:val="List Table 5 Dark Accent 5"/>
    <w:basedOn w:val="TableNormal"/>
    <w:uiPriority w:val="99"/>
    <w:pPr>
      <w:spacing w:after="0" w:line="240" w:lineRule="auto"/>
    </w:pPr>
    <w:tblPr>
      <w:tblStyleRowBandSize w:val="1"/>
      <w:tblStyleColBandSize w:val="1"/>
      <w:tblBorders>
        <w:top w:val="single" w:sz="32" w:space="0" w:color="A9D3CF" w:themeColor="accent5" w:themeTint="9A"/>
        <w:left w:val="single" w:sz="32" w:space="0" w:color="A9D3CF" w:themeColor="accent5" w:themeTint="9A"/>
        <w:bottom w:val="single" w:sz="32" w:space="0" w:color="A9D3CF" w:themeColor="accent5" w:themeTint="9A"/>
        <w:right w:val="single" w:sz="32" w:space="0" w:color="A9D3CF" w:themeColor="accent5" w:themeTint="9A"/>
      </w:tblBorders>
      <w:shd w:val="clear" w:color="A9D3CF" w:themeColor="accent5" w:themeTint="9A" w:fill="A9D3CF" w:themeFill="accent5" w:themeFillTint="9A"/>
    </w:tblPr>
    <w:tblStylePr w:type="firstRow">
      <w:rPr>
        <w:rFonts w:ascii="Arial" w:hAnsi="Arial"/>
        <w:b/>
        <w:color w:val="FFFFFF" w:themeColor="light1"/>
        <w:sz w:val="22"/>
      </w:rPr>
      <w:tblPr/>
      <w:tcPr>
        <w:tcBorders>
          <w:top w:val="single" w:sz="32" w:space="0" w:color="A9D3CF" w:themeColor="accent5" w:themeTint="9A"/>
          <w:bottom w:val="single" w:sz="12" w:space="0" w:color="FFFFFF" w:themeColor="light1"/>
        </w:tcBorders>
        <w:shd w:val="clear" w:color="A9D3CF" w:themeColor="accent5" w:themeTint="9A" w:fill="A9D3CF"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3CF" w:themeColor="accent5" w:themeTint="9A"/>
          <w:right w:val="single" w:sz="4" w:space="0" w:color="FFFFFF" w:themeColor="light1"/>
        </w:tcBorders>
      </w:tcPr>
    </w:tblStylePr>
    <w:tblStylePr w:type="lastCol">
      <w:tblPr/>
      <w:tcPr>
        <w:tcBorders>
          <w:left w:val="single" w:sz="4" w:space="0" w:color="FFFFFF" w:themeColor="light1"/>
          <w:right w:val="single" w:sz="32" w:space="0" w:color="A9D3CF" w:themeColor="accent5" w:themeTint="9A"/>
        </w:tcBorders>
      </w:tcPr>
    </w:tblStylePr>
    <w:tblStylePr w:type="band1Vert">
      <w:tblPr/>
      <w:tcPr>
        <w:tcBorders>
          <w:left w:val="single" w:sz="4" w:space="0" w:color="FFFFFF" w:themeColor="light1"/>
          <w:right w:val="single" w:sz="4" w:space="0" w:color="FFFFFF" w:themeColor="light1"/>
        </w:tcBorders>
        <w:shd w:val="clear" w:color="A9D3CF" w:themeColor="accent5" w:themeTint="9A" w:fill="A9D3CF"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3CF" w:themeColor="accent5" w:themeTint="9A" w:fill="A9D3CF" w:themeFill="accent5" w:themeFillTint="9A"/>
      </w:tcPr>
    </w:tblStylePr>
    <w:tblStylePr w:type="band2Horz">
      <w:tblPr/>
      <w:tcPr>
        <w:tcBorders>
          <w:top w:val="single" w:sz="4" w:space="0" w:color="FFFFFF" w:themeColor="light1"/>
          <w:bottom w:val="single" w:sz="4" w:space="0" w:color="FFFFFF" w:themeColor="light1"/>
        </w:tcBorders>
        <w:shd w:val="clear" w:color="A9D3CF" w:themeColor="accent5" w:themeTint="9A" w:fill="A9D3CF" w:themeFill="accent5" w:themeFillTint="9A"/>
      </w:tcPr>
    </w:tblStylePr>
  </w:style>
  <w:style w:type="table" w:styleId="ListTable5Dark-Accent6">
    <w:name w:val="List Table 5 Dark Accent 6"/>
    <w:basedOn w:val="TableNormal"/>
    <w:uiPriority w:val="99"/>
    <w:pPr>
      <w:spacing w:after="0" w:line="240" w:lineRule="auto"/>
    </w:pPr>
    <w:tblPr>
      <w:tblStyleRowBandSize w:val="1"/>
      <w:tblStyleColBandSize w:val="1"/>
      <w:tblBorders>
        <w:top w:val="single" w:sz="32" w:space="0" w:color="F6D08E" w:themeColor="accent6" w:themeTint="98"/>
        <w:left w:val="single" w:sz="32" w:space="0" w:color="F6D08E" w:themeColor="accent6" w:themeTint="98"/>
        <w:bottom w:val="single" w:sz="32" w:space="0" w:color="F6D08E" w:themeColor="accent6" w:themeTint="98"/>
        <w:right w:val="single" w:sz="32" w:space="0" w:color="F6D08E" w:themeColor="accent6" w:themeTint="98"/>
      </w:tblBorders>
      <w:shd w:val="clear" w:color="F6D08E" w:themeColor="accent6" w:themeTint="98" w:fill="F6D08E" w:themeFill="accent6" w:themeFillTint="98"/>
    </w:tblPr>
    <w:tblStylePr w:type="firstRow">
      <w:rPr>
        <w:rFonts w:ascii="Arial" w:hAnsi="Arial"/>
        <w:b/>
        <w:color w:val="FFFFFF" w:themeColor="light1"/>
        <w:sz w:val="22"/>
      </w:rPr>
      <w:tblPr/>
      <w:tcPr>
        <w:tcBorders>
          <w:top w:val="single" w:sz="32" w:space="0" w:color="F6D08E" w:themeColor="accent6" w:themeTint="98"/>
          <w:bottom w:val="single" w:sz="12" w:space="0" w:color="FFFFFF" w:themeColor="light1"/>
        </w:tcBorders>
        <w:shd w:val="clear" w:color="F6D08E" w:themeColor="accent6" w:themeTint="98" w:fill="F6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6D08E" w:themeColor="accent6" w:themeTint="98"/>
          <w:right w:val="single" w:sz="4" w:space="0" w:color="FFFFFF" w:themeColor="light1"/>
        </w:tcBorders>
      </w:tcPr>
    </w:tblStylePr>
    <w:tblStylePr w:type="lastCol">
      <w:tblPr/>
      <w:tcPr>
        <w:tcBorders>
          <w:left w:val="single" w:sz="4" w:space="0" w:color="FFFFFF" w:themeColor="light1"/>
          <w:right w:val="single" w:sz="32" w:space="0" w:color="F6D08E" w:themeColor="accent6" w:themeTint="98"/>
        </w:tcBorders>
      </w:tcPr>
    </w:tblStylePr>
    <w:tblStylePr w:type="band1Vert">
      <w:tblPr/>
      <w:tcPr>
        <w:tcBorders>
          <w:left w:val="single" w:sz="4" w:space="0" w:color="FFFFFF" w:themeColor="light1"/>
          <w:right w:val="single" w:sz="4" w:space="0" w:color="FFFFFF" w:themeColor="light1"/>
        </w:tcBorders>
        <w:shd w:val="clear" w:color="F6D08E" w:themeColor="accent6" w:themeTint="98" w:fill="F6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6D08E" w:themeColor="accent6" w:themeTint="98" w:fill="F6D08E" w:themeFill="accent6" w:themeFillTint="98"/>
      </w:tcPr>
    </w:tblStylePr>
    <w:tblStylePr w:type="band2Horz">
      <w:tblPr/>
      <w:tcPr>
        <w:tcBorders>
          <w:top w:val="single" w:sz="4" w:space="0" w:color="FFFFFF" w:themeColor="light1"/>
          <w:bottom w:val="single" w:sz="4" w:space="0" w:color="FFFFFF" w:themeColor="light1"/>
        </w:tcBorders>
        <w:shd w:val="clear" w:color="F6D08E" w:themeColor="accent6" w:themeTint="98" w:fill="F6D08E" w:themeFill="accent6" w:themeFillTint="98"/>
      </w:tcPr>
    </w:tblStylePr>
  </w:style>
  <w:style w:type="table" w:styleId="ListTable6Colorful-Accent1">
    <w:name w:val="List Table 6 Colorful Accent 1"/>
    <w:basedOn w:val="TableNormal"/>
    <w:uiPriority w:val="99"/>
    <w:pPr>
      <w:spacing w:after="0" w:line="240" w:lineRule="auto"/>
    </w:pPr>
    <w:tblPr>
      <w:tblStyleRowBandSize w:val="1"/>
      <w:tblStyleColBandSize w:val="1"/>
      <w:tblBorders>
        <w:top w:val="single" w:sz="4" w:space="0" w:color="00AC4E" w:themeColor="accent1"/>
        <w:bottom w:val="single" w:sz="4" w:space="0" w:color="00AC4E" w:themeColor="accent1"/>
      </w:tblBorders>
    </w:tblPr>
    <w:tblStylePr w:type="firstRow">
      <w:rPr>
        <w:b/>
        <w:color w:val="00642D" w:themeColor="accent1" w:themeShade="95"/>
      </w:rPr>
      <w:tblPr/>
      <w:tcPr>
        <w:tcBorders>
          <w:bottom w:val="single" w:sz="4" w:space="0" w:color="00AC4E" w:themeColor="accent1"/>
        </w:tcBorders>
      </w:tcPr>
    </w:tblStylePr>
    <w:tblStylePr w:type="lastRow">
      <w:rPr>
        <w:b/>
        <w:color w:val="00642D" w:themeColor="accent1" w:themeShade="95"/>
      </w:rPr>
      <w:tblPr/>
      <w:tcPr>
        <w:tcBorders>
          <w:top w:val="single" w:sz="4" w:space="0" w:color="00AC4E" w:themeColor="accent1"/>
        </w:tcBorders>
      </w:tcPr>
    </w:tblStylePr>
    <w:tblStylePr w:type="firstCol">
      <w:rPr>
        <w:b/>
        <w:color w:val="00642D" w:themeColor="accent1" w:themeShade="95"/>
      </w:rPr>
    </w:tblStylePr>
    <w:tblStylePr w:type="lastCol">
      <w:rPr>
        <w:b/>
        <w:color w:val="00642D" w:themeColor="accent1" w:themeShade="95"/>
      </w:rPr>
    </w:tblStylePr>
    <w:tblStylePr w:type="band1Vert">
      <w:tblPr/>
      <w:tcPr>
        <w:shd w:val="clear" w:color="AAFFD0" w:themeColor="accent1" w:themeTint="40" w:fill="AAFFD0" w:themeFill="accent1" w:themeFillTint="40"/>
      </w:tcPr>
    </w:tblStylePr>
    <w:tblStylePr w:type="band1Horz">
      <w:rPr>
        <w:rFonts w:ascii="Arial" w:hAnsi="Arial"/>
        <w:color w:val="00642D" w:themeColor="accent1" w:themeShade="95"/>
        <w:sz w:val="22"/>
      </w:rPr>
      <w:tblPr/>
      <w:tcPr>
        <w:shd w:val="clear" w:color="AAFFD0" w:themeColor="accent1" w:themeTint="40" w:fill="AAFFD0" w:themeFill="accent1" w:themeFillTint="40"/>
      </w:tcPr>
    </w:tblStylePr>
    <w:tblStylePr w:type="band2Horz">
      <w:rPr>
        <w:rFonts w:ascii="Arial" w:hAnsi="Arial"/>
        <w:color w:val="00642D" w:themeColor="accent1" w:themeShade="95"/>
        <w:sz w:val="22"/>
      </w:rPr>
    </w:tblStylePr>
  </w:style>
  <w:style w:type="table" w:styleId="ListTable6Colorful-Accent2">
    <w:name w:val="List Table 6 Colorful Accent 2"/>
    <w:basedOn w:val="TableNormal"/>
    <w:uiPriority w:val="99"/>
    <w:pPr>
      <w:spacing w:after="0" w:line="240" w:lineRule="auto"/>
    </w:pPr>
    <w:tblPr>
      <w:tblStyleRowBandSize w:val="1"/>
      <w:tblStyleColBandSize w:val="1"/>
      <w:tblBorders>
        <w:top w:val="single" w:sz="4" w:space="0" w:color="2BFFE9" w:themeColor="accent2" w:themeTint="97"/>
        <w:bottom w:val="single" w:sz="4" w:space="0" w:color="2BFFE9" w:themeColor="accent2" w:themeTint="97"/>
      </w:tblBorders>
    </w:tblPr>
    <w:tblStylePr w:type="firstRow">
      <w:rPr>
        <w:b/>
        <w:color w:val="2BFFE9" w:themeColor="accent2" w:themeTint="97" w:themeShade="95"/>
      </w:rPr>
      <w:tblPr/>
      <w:tcPr>
        <w:tcBorders>
          <w:bottom w:val="single" w:sz="4" w:space="0" w:color="2BFFE9" w:themeColor="accent2" w:themeTint="97"/>
        </w:tcBorders>
      </w:tcPr>
    </w:tblStylePr>
    <w:tblStylePr w:type="lastRow">
      <w:rPr>
        <w:b/>
        <w:color w:val="2BFFE9" w:themeColor="accent2" w:themeTint="97" w:themeShade="95"/>
      </w:rPr>
      <w:tblPr/>
      <w:tcPr>
        <w:tcBorders>
          <w:top w:val="single" w:sz="4" w:space="0" w:color="2BFFE9" w:themeColor="accent2" w:themeTint="97"/>
        </w:tcBorders>
      </w:tcPr>
    </w:tblStylePr>
    <w:tblStylePr w:type="firstCol">
      <w:rPr>
        <w:b/>
        <w:color w:val="2BFFE9" w:themeColor="accent2" w:themeTint="97" w:themeShade="95"/>
      </w:rPr>
    </w:tblStylePr>
    <w:tblStylePr w:type="lastCol">
      <w:rPr>
        <w:b/>
        <w:color w:val="2BFFE9" w:themeColor="accent2" w:themeTint="97" w:themeShade="95"/>
      </w:rPr>
    </w:tblStylePr>
    <w:tblStylePr w:type="band1Vert">
      <w:tblPr/>
      <w:tcPr>
        <w:shd w:val="clear" w:color="A5FFF5" w:themeColor="accent2" w:themeTint="40" w:fill="A5FFF5" w:themeFill="accent2" w:themeFillTint="40"/>
      </w:tcPr>
    </w:tblStylePr>
    <w:tblStylePr w:type="band1Horz">
      <w:rPr>
        <w:rFonts w:ascii="Arial" w:hAnsi="Arial"/>
        <w:color w:val="2BFFE9" w:themeColor="accent2" w:themeTint="97" w:themeShade="95"/>
        <w:sz w:val="22"/>
      </w:rPr>
      <w:tblPr/>
      <w:tcPr>
        <w:shd w:val="clear" w:color="A5FFF5" w:themeColor="accent2" w:themeTint="40" w:fill="A5FFF5" w:themeFill="accent2" w:themeFillTint="40"/>
      </w:tcPr>
    </w:tblStylePr>
    <w:tblStylePr w:type="band2Horz">
      <w:rPr>
        <w:rFonts w:ascii="Arial" w:hAnsi="Arial"/>
        <w:color w:val="2BFFE9" w:themeColor="accent2" w:themeTint="97" w:themeShade="95"/>
        <w:sz w:val="22"/>
      </w:rPr>
    </w:tblStylePr>
  </w:style>
  <w:style w:type="table" w:styleId="ListTable6Colorful-Accent3">
    <w:name w:val="List Table 6 Colorful Accent 3"/>
    <w:basedOn w:val="TableNormal"/>
    <w:uiPriority w:val="99"/>
    <w:pPr>
      <w:spacing w:after="0" w:line="240" w:lineRule="auto"/>
    </w:pPr>
    <w:tblPr>
      <w:tblStyleRowBandSize w:val="1"/>
      <w:tblStyleColBandSize w:val="1"/>
      <w:tblBorders>
        <w:top w:val="single" w:sz="4" w:space="0" w:color="687AD7" w:themeColor="accent3" w:themeTint="98"/>
        <w:bottom w:val="single" w:sz="4" w:space="0" w:color="687AD7" w:themeColor="accent3" w:themeTint="98"/>
      </w:tblBorders>
    </w:tblPr>
    <w:tblStylePr w:type="firstRow">
      <w:rPr>
        <w:b/>
        <w:color w:val="687AD7" w:themeColor="accent3" w:themeTint="98" w:themeShade="95"/>
      </w:rPr>
      <w:tblPr/>
      <w:tcPr>
        <w:tcBorders>
          <w:bottom w:val="single" w:sz="4" w:space="0" w:color="687AD7" w:themeColor="accent3" w:themeTint="98"/>
        </w:tcBorders>
      </w:tcPr>
    </w:tblStylePr>
    <w:tblStylePr w:type="lastRow">
      <w:rPr>
        <w:b/>
        <w:color w:val="687AD7" w:themeColor="accent3" w:themeTint="98" w:themeShade="95"/>
      </w:rPr>
      <w:tblPr/>
      <w:tcPr>
        <w:tcBorders>
          <w:top w:val="single" w:sz="4" w:space="0" w:color="687AD7" w:themeColor="accent3" w:themeTint="98"/>
        </w:tcBorders>
      </w:tcPr>
    </w:tblStylePr>
    <w:tblStylePr w:type="firstCol">
      <w:rPr>
        <w:b/>
        <w:color w:val="687AD7" w:themeColor="accent3" w:themeTint="98" w:themeShade="95"/>
      </w:rPr>
    </w:tblStylePr>
    <w:tblStylePr w:type="lastCol">
      <w:rPr>
        <w:b/>
        <w:color w:val="687AD7" w:themeColor="accent3" w:themeTint="98" w:themeShade="95"/>
      </w:rPr>
    </w:tblStylePr>
    <w:tblStylePr w:type="band1Vert">
      <w:tblPr/>
      <w:tcPr>
        <w:shd w:val="clear" w:color="BFC6EE" w:themeColor="accent3" w:themeTint="40" w:fill="BFC6EE" w:themeFill="accent3" w:themeFillTint="40"/>
      </w:tcPr>
    </w:tblStylePr>
    <w:tblStylePr w:type="band1Horz">
      <w:rPr>
        <w:rFonts w:ascii="Arial" w:hAnsi="Arial"/>
        <w:color w:val="687AD7" w:themeColor="accent3" w:themeTint="98" w:themeShade="95"/>
        <w:sz w:val="22"/>
      </w:rPr>
      <w:tblPr/>
      <w:tcPr>
        <w:shd w:val="clear" w:color="BFC6EE" w:themeColor="accent3" w:themeTint="40" w:fill="BFC6EE" w:themeFill="accent3" w:themeFillTint="40"/>
      </w:tcPr>
    </w:tblStylePr>
    <w:tblStylePr w:type="band2Horz">
      <w:rPr>
        <w:rFonts w:ascii="Arial" w:hAnsi="Arial"/>
        <w:color w:val="687AD7" w:themeColor="accent3" w:themeTint="98" w:themeShade="95"/>
        <w:sz w:val="22"/>
      </w:rPr>
    </w:tblStylePr>
  </w:style>
  <w:style w:type="table" w:styleId="ListTable6Colorful-Accent4">
    <w:name w:val="List Table 6 Colorful Accent 4"/>
    <w:basedOn w:val="TableNormal"/>
    <w:uiPriority w:val="99"/>
    <w:pPr>
      <w:spacing w:after="0" w:line="240" w:lineRule="auto"/>
    </w:pPr>
    <w:tblPr>
      <w:tblStyleRowBandSize w:val="1"/>
      <w:tblStyleColBandSize w:val="1"/>
      <w:tblBorders>
        <w:top w:val="single" w:sz="4" w:space="0" w:color="BDDD8A" w:themeColor="accent4" w:themeTint="9A"/>
        <w:bottom w:val="single" w:sz="4" w:space="0" w:color="BDDD8A" w:themeColor="accent4" w:themeTint="9A"/>
      </w:tblBorders>
    </w:tblPr>
    <w:tblStylePr w:type="firstRow">
      <w:rPr>
        <w:b/>
        <w:color w:val="BDDD8A" w:themeColor="accent4" w:themeTint="9A" w:themeShade="95"/>
      </w:rPr>
      <w:tblPr/>
      <w:tcPr>
        <w:tcBorders>
          <w:bottom w:val="single" w:sz="4" w:space="0" w:color="BDDD8A" w:themeColor="accent4" w:themeTint="9A"/>
        </w:tcBorders>
      </w:tcPr>
    </w:tblStylePr>
    <w:tblStylePr w:type="lastRow">
      <w:rPr>
        <w:b/>
        <w:color w:val="BDDD8A" w:themeColor="accent4" w:themeTint="9A" w:themeShade="95"/>
      </w:rPr>
      <w:tblPr/>
      <w:tcPr>
        <w:tcBorders>
          <w:top w:val="single" w:sz="4" w:space="0" w:color="BDDD8A" w:themeColor="accent4" w:themeTint="9A"/>
        </w:tcBorders>
      </w:tcPr>
    </w:tblStylePr>
    <w:tblStylePr w:type="firstCol">
      <w:rPr>
        <w:b/>
        <w:color w:val="BDDD8A" w:themeColor="accent4" w:themeTint="9A" w:themeShade="95"/>
      </w:rPr>
    </w:tblStylePr>
    <w:tblStylePr w:type="lastCol">
      <w:rPr>
        <w:b/>
        <w:color w:val="BDDD8A" w:themeColor="accent4" w:themeTint="9A" w:themeShade="95"/>
      </w:rPr>
    </w:tblStylePr>
    <w:tblStylePr w:type="band1Vert">
      <w:tblPr/>
      <w:tcPr>
        <w:shd w:val="clear" w:color="E3F1CE" w:themeColor="accent4" w:themeTint="40" w:fill="E3F1CE" w:themeFill="accent4" w:themeFillTint="40"/>
      </w:tcPr>
    </w:tblStylePr>
    <w:tblStylePr w:type="band1Horz">
      <w:rPr>
        <w:rFonts w:ascii="Arial" w:hAnsi="Arial"/>
        <w:color w:val="BDDD8A" w:themeColor="accent4" w:themeTint="9A" w:themeShade="95"/>
        <w:sz w:val="22"/>
      </w:rPr>
      <w:tblPr/>
      <w:tcPr>
        <w:shd w:val="clear" w:color="E3F1CE" w:themeColor="accent4" w:themeTint="40" w:fill="E3F1CE" w:themeFill="accent4" w:themeFillTint="40"/>
      </w:tcPr>
    </w:tblStylePr>
    <w:tblStylePr w:type="band2Horz">
      <w:rPr>
        <w:rFonts w:ascii="Arial" w:hAnsi="Arial"/>
        <w:color w:val="BDDD8A" w:themeColor="accent4" w:themeTint="9A" w:themeShade="95"/>
        <w:sz w:val="22"/>
      </w:rPr>
    </w:tblStylePr>
  </w:style>
  <w:style w:type="table" w:styleId="ListTable6Colorful-Accent5">
    <w:name w:val="List Table 6 Colorful Accent 5"/>
    <w:basedOn w:val="TableNormal"/>
    <w:uiPriority w:val="99"/>
    <w:pPr>
      <w:spacing w:after="0" w:line="240" w:lineRule="auto"/>
    </w:pPr>
    <w:tblPr>
      <w:tblStyleRowBandSize w:val="1"/>
      <w:tblStyleColBandSize w:val="1"/>
      <w:tblBorders>
        <w:top w:val="single" w:sz="4" w:space="0" w:color="A9D3CF" w:themeColor="accent5" w:themeTint="9A"/>
        <w:bottom w:val="single" w:sz="4" w:space="0" w:color="A9D3CF" w:themeColor="accent5" w:themeTint="9A"/>
      </w:tblBorders>
    </w:tblPr>
    <w:tblStylePr w:type="firstRow">
      <w:rPr>
        <w:b/>
        <w:color w:val="A9D3CF" w:themeColor="accent5" w:themeTint="9A" w:themeShade="95"/>
      </w:rPr>
      <w:tblPr/>
      <w:tcPr>
        <w:tcBorders>
          <w:bottom w:val="single" w:sz="4" w:space="0" w:color="A9D3CF" w:themeColor="accent5" w:themeTint="9A"/>
        </w:tcBorders>
      </w:tcPr>
    </w:tblStylePr>
    <w:tblStylePr w:type="lastRow">
      <w:rPr>
        <w:b/>
        <w:color w:val="A9D3CF" w:themeColor="accent5" w:themeTint="9A" w:themeShade="95"/>
      </w:rPr>
      <w:tblPr/>
      <w:tcPr>
        <w:tcBorders>
          <w:top w:val="single" w:sz="4" w:space="0" w:color="A9D3CF" w:themeColor="accent5" w:themeTint="9A"/>
        </w:tcBorders>
      </w:tcPr>
    </w:tblStylePr>
    <w:tblStylePr w:type="firstCol">
      <w:rPr>
        <w:b/>
        <w:color w:val="A9D3CF" w:themeColor="accent5" w:themeTint="9A" w:themeShade="95"/>
      </w:rPr>
    </w:tblStylePr>
    <w:tblStylePr w:type="lastCol">
      <w:rPr>
        <w:b/>
        <w:color w:val="A9D3CF" w:themeColor="accent5" w:themeTint="9A" w:themeShade="95"/>
      </w:rPr>
    </w:tblStylePr>
    <w:tblStylePr w:type="band1Vert">
      <w:tblPr/>
      <w:tcPr>
        <w:shd w:val="clear" w:color="DBECEB" w:themeColor="accent5" w:themeTint="40" w:fill="DBECEB" w:themeFill="accent5" w:themeFillTint="40"/>
      </w:tcPr>
    </w:tblStylePr>
    <w:tblStylePr w:type="band1Horz">
      <w:rPr>
        <w:rFonts w:ascii="Arial" w:hAnsi="Arial"/>
        <w:color w:val="A9D3CF" w:themeColor="accent5" w:themeTint="9A" w:themeShade="95"/>
        <w:sz w:val="22"/>
      </w:rPr>
      <w:tblPr/>
      <w:tcPr>
        <w:shd w:val="clear" w:color="DBECEB" w:themeColor="accent5" w:themeTint="40" w:fill="DBECEB" w:themeFill="accent5" w:themeFillTint="40"/>
      </w:tcPr>
    </w:tblStylePr>
    <w:tblStylePr w:type="band2Horz">
      <w:rPr>
        <w:rFonts w:ascii="Arial" w:hAnsi="Arial"/>
        <w:color w:val="A9D3CF" w:themeColor="accent5" w:themeTint="9A" w:themeShade="95"/>
        <w:sz w:val="22"/>
      </w:rPr>
    </w:tblStylePr>
  </w:style>
  <w:style w:type="table" w:styleId="ListTable6Colorful-Accent6">
    <w:name w:val="List Table 6 Colorful Accent 6"/>
    <w:basedOn w:val="TableNormal"/>
    <w:uiPriority w:val="99"/>
    <w:pPr>
      <w:spacing w:after="0" w:line="240" w:lineRule="auto"/>
    </w:pPr>
    <w:tblPr>
      <w:tblStyleRowBandSize w:val="1"/>
      <w:tblStyleColBandSize w:val="1"/>
      <w:tblBorders>
        <w:top w:val="single" w:sz="4" w:space="0" w:color="F6D08E" w:themeColor="accent6" w:themeTint="98"/>
        <w:bottom w:val="single" w:sz="4" w:space="0" w:color="F6D08E" w:themeColor="accent6" w:themeTint="98"/>
      </w:tblBorders>
    </w:tblPr>
    <w:tblStylePr w:type="firstRow">
      <w:rPr>
        <w:b/>
        <w:color w:val="F6D08E" w:themeColor="accent6" w:themeTint="98" w:themeShade="95"/>
      </w:rPr>
      <w:tblPr/>
      <w:tcPr>
        <w:tcBorders>
          <w:bottom w:val="single" w:sz="4" w:space="0" w:color="F6D08E" w:themeColor="accent6" w:themeTint="98"/>
        </w:tcBorders>
      </w:tcPr>
    </w:tblStylePr>
    <w:tblStylePr w:type="lastRow">
      <w:rPr>
        <w:b/>
        <w:color w:val="F6D08E" w:themeColor="accent6" w:themeTint="98" w:themeShade="95"/>
      </w:rPr>
      <w:tblPr/>
      <w:tcPr>
        <w:tcBorders>
          <w:top w:val="single" w:sz="4" w:space="0" w:color="F6D08E" w:themeColor="accent6" w:themeTint="98"/>
        </w:tcBorders>
      </w:tcPr>
    </w:tblStylePr>
    <w:tblStylePr w:type="firstCol">
      <w:rPr>
        <w:b/>
        <w:color w:val="F6D08E" w:themeColor="accent6" w:themeTint="98" w:themeShade="95"/>
      </w:rPr>
    </w:tblStylePr>
    <w:tblStylePr w:type="lastCol">
      <w:rPr>
        <w:b/>
        <w:color w:val="F6D08E" w:themeColor="accent6" w:themeTint="98" w:themeShade="95"/>
      </w:rPr>
    </w:tblStylePr>
    <w:tblStylePr w:type="band1Vert">
      <w:tblPr/>
      <w:tcPr>
        <w:shd w:val="clear" w:color="FBEBCF" w:themeColor="accent6" w:themeTint="40" w:fill="FBEBCF" w:themeFill="accent6" w:themeFillTint="40"/>
      </w:tcPr>
    </w:tblStylePr>
    <w:tblStylePr w:type="band1Horz">
      <w:rPr>
        <w:rFonts w:ascii="Arial" w:hAnsi="Arial"/>
        <w:color w:val="F6D08E" w:themeColor="accent6" w:themeTint="98" w:themeShade="95"/>
        <w:sz w:val="22"/>
      </w:rPr>
      <w:tblPr/>
      <w:tcPr>
        <w:shd w:val="clear" w:color="FBEBCF" w:themeColor="accent6" w:themeTint="40" w:fill="FBEBCF" w:themeFill="accent6" w:themeFillTint="40"/>
      </w:tcPr>
    </w:tblStylePr>
    <w:tblStylePr w:type="band2Horz">
      <w:rPr>
        <w:rFonts w:ascii="Arial" w:hAnsi="Arial"/>
        <w:color w:val="F6D08E" w:themeColor="accent6" w:themeTint="98" w:themeShade="95"/>
        <w:sz w:val="22"/>
      </w:rPr>
    </w:tblStylePr>
  </w:style>
  <w:style w:type="table" w:styleId="ListTable7Colorful-Accent1">
    <w:name w:val="List Table 7 Colorful Accent 1"/>
    <w:basedOn w:val="TableNormal"/>
    <w:uiPriority w:val="99"/>
    <w:pPr>
      <w:spacing w:after="0" w:line="240" w:lineRule="auto"/>
    </w:pPr>
    <w:tblPr>
      <w:tblStyleRowBandSize w:val="1"/>
      <w:tblStyleColBandSize w:val="1"/>
      <w:tblBorders>
        <w:right w:val="single" w:sz="4" w:space="0" w:color="00AC4E" w:themeColor="accent1"/>
      </w:tblBorders>
    </w:tblPr>
    <w:tblStylePr w:type="firstRow">
      <w:rPr>
        <w:rFonts w:ascii="Arial" w:hAnsi="Arial"/>
        <w:i/>
        <w:color w:val="00642D" w:themeColor="accent1" w:themeShade="95"/>
        <w:sz w:val="22"/>
      </w:rPr>
      <w:tblPr/>
      <w:tcPr>
        <w:tcBorders>
          <w:top w:val="none" w:sz="0" w:space="0" w:color="000000"/>
          <w:left w:val="none" w:sz="0" w:space="0" w:color="000000"/>
          <w:bottom w:val="single" w:sz="4" w:space="0" w:color="00AC4E" w:themeColor="accent1"/>
          <w:right w:val="none" w:sz="0" w:space="0" w:color="000000"/>
        </w:tcBorders>
        <w:shd w:val="clear" w:color="FFFFFF" w:themeColor="light1" w:fill="FFFFFF" w:themeFill="light1"/>
      </w:tcPr>
    </w:tblStylePr>
    <w:tblStylePr w:type="lastRow">
      <w:rPr>
        <w:rFonts w:ascii="Arial" w:hAnsi="Arial"/>
        <w:i/>
        <w:color w:val="00642D" w:themeColor="accent1" w:themeShade="95"/>
        <w:sz w:val="22"/>
      </w:rPr>
      <w:tblPr/>
      <w:tcPr>
        <w:tcBorders>
          <w:top w:val="single" w:sz="4" w:space="0" w:color="00AC4E" w:themeColor="accent1"/>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00642D" w:themeColor="accent1" w:themeShade="95"/>
        <w:sz w:val="22"/>
      </w:rPr>
      <w:tblPr/>
      <w:tcPr>
        <w:tcBorders>
          <w:top w:val="none" w:sz="0" w:space="0" w:color="000000"/>
          <w:left w:val="none" w:sz="0" w:space="0" w:color="000000"/>
          <w:bottom w:val="none" w:sz="0" w:space="0" w:color="000000"/>
          <w:right w:val="single" w:sz="4" w:space="0" w:color="00AC4E" w:themeColor="accent1"/>
        </w:tcBorders>
        <w:shd w:val="clear" w:color="FFFFFF" w:fill="auto"/>
      </w:tcPr>
    </w:tblStylePr>
    <w:tblStylePr w:type="lastCol">
      <w:rPr>
        <w:rFonts w:ascii="Arial" w:hAnsi="Arial"/>
        <w:i/>
        <w:color w:val="00642D" w:themeColor="accent1" w:themeShade="95"/>
        <w:sz w:val="22"/>
      </w:rPr>
      <w:tblPr/>
      <w:tcPr>
        <w:tcBorders>
          <w:top w:val="none" w:sz="0" w:space="0" w:color="000000"/>
          <w:left w:val="single" w:sz="4" w:space="0" w:color="00AC4E" w:themeColor="accent1"/>
          <w:bottom w:val="none" w:sz="0" w:space="0" w:color="000000"/>
          <w:right w:val="none" w:sz="0" w:space="0" w:color="000000"/>
        </w:tcBorders>
        <w:shd w:val="clear" w:color="FFFFFF" w:fill="auto"/>
      </w:tcPr>
    </w:tblStylePr>
    <w:tblStylePr w:type="band1Vert">
      <w:tblPr/>
      <w:tcPr>
        <w:shd w:val="clear" w:color="AAFFD0" w:themeColor="accent1" w:themeTint="40" w:fill="AAFFD0" w:themeFill="accent1" w:themeFillTint="40"/>
      </w:tcPr>
    </w:tblStylePr>
    <w:tblStylePr w:type="band1Horz">
      <w:rPr>
        <w:rFonts w:ascii="Arial" w:hAnsi="Arial"/>
        <w:color w:val="00642D" w:themeColor="accent1" w:themeShade="95"/>
        <w:sz w:val="22"/>
      </w:rPr>
      <w:tblPr/>
      <w:tcPr>
        <w:shd w:val="clear" w:color="AAFFD0" w:themeColor="accent1" w:themeTint="40" w:fill="AAFFD0" w:themeFill="accent1" w:themeFillTint="40"/>
      </w:tcPr>
    </w:tblStylePr>
    <w:tblStylePr w:type="band2Horz">
      <w:rPr>
        <w:rFonts w:ascii="Arial" w:hAnsi="Arial"/>
        <w:color w:val="00642D" w:themeColor="accent1" w:themeShade="95"/>
        <w:sz w:val="22"/>
      </w:rPr>
    </w:tblStylePr>
  </w:style>
  <w:style w:type="table" w:styleId="ListTable7Colorful-Accent2">
    <w:name w:val="List Table 7 Colorful Accent 2"/>
    <w:basedOn w:val="TableNormal"/>
    <w:uiPriority w:val="99"/>
    <w:pPr>
      <w:spacing w:after="0" w:line="240" w:lineRule="auto"/>
    </w:pPr>
    <w:tblPr>
      <w:tblStyleRowBandSize w:val="1"/>
      <w:tblStyleColBandSize w:val="1"/>
      <w:tblBorders>
        <w:right w:val="single" w:sz="4" w:space="0" w:color="2BFFE9" w:themeColor="accent2" w:themeTint="97"/>
      </w:tblBorders>
    </w:tblPr>
    <w:tblStylePr w:type="firstRow">
      <w:rPr>
        <w:rFonts w:ascii="Arial" w:hAnsi="Arial"/>
        <w:i/>
        <w:color w:val="2BFFE9" w:themeColor="accent2" w:themeTint="97" w:themeShade="95"/>
        <w:sz w:val="22"/>
      </w:rPr>
      <w:tblPr/>
      <w:tcPr>
        <w:tcBorders>
          <w:top w:val="none" w:sz="0" w:space="0" w:color="000000"/>
          <w:left w:val="none" w:sz="0" w:space="0" w:color="000000"/>
          <w:bottom w:val="single" w:sz="4" w:space="0" w:color="2BFFE9" w:themeColor="accent2" w:themeTint="97"/>
          <w:right w:val="none" w:sz="0" w:space="0" w:color="000000"/>
        </w:tcBorders>
        <w:shd w:val="clear" w:color="FFFFFF" w:themeColor="light1" w:fill="FFFFFF" w:themeFill="light1"/>
      </w:tcPr>
    </w:tblStylePr>
    <w:tblStylePr w:type="lastRow">
      <w:rPr>
        <w:rFonts w:ascii="Arial" w:hAnsi="Arial"/>
        <w:i/>
        <w:color w:val="2BFFE9" w:themeColor="accent2" w:themeTint="97" w:themeShade="95"/>
        <w:sz w:val="22"/>
      </w:rPr>
      <w:tblPr/>
      <w:tcPr>
        <w:tcBorders>
          <w:top w:val="single" w:sz="4" w:space="0" w:color="2BFFE9"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2BFFE9" w:themeColor="accent2" w:themeTint="97" w:themeShade="95"/>
        <w:sz w:val="22"/>
      </w:rPr>
      <w:tblPr/>
      <w:tcPr>
        <w:tcBorders>
          <w:top w:val="none" w:sz="0" w:space="0" w:color="000000"/>
          <w:left w:val="none" w:sz="0" w:space="0" w:color="000000"/>
          <w:bottom w:val="none" w:sz="0" w:space="0" w:color="000000"/>
          <w:right w:val="single" w:sz="4" w:space="0" w:color="2BFFE9" w:themeColor="accent2" w:themeTint="97"/>
        </w:tcBorders>
        <w:shd w:val="clear" w:color="FFFFFF" w:fill="auto"/>
      </w:tcPr>
    </w:tblStylePr>
    <w:tblStylePr w:type="lastCol">
      <w:rPr>
        <w:rFonts w:ascii="Arial" w:hAnsi="Arial"/>
        <w:i/>
        <w:color w:val="2BFFE9" w:themeColor="accent2" w:themeTint="97" w:themeShade="95"/>
        <w:sz w:val="22"/>
      </w:rPr>
      <w:tblPr/>
      <w:tcPr>
        <w:tcBorders>
          <w:top w:val="none" w:sz="0" w:space="0" w:color="000000"/>
          <w:left w:val="single" w:sz="4" w:space="0" w:color="2BFFE9" w:themeColor="accent2" w:themeTint="97"/>
          <w:bottom w:val="none" w:sz="0" w:space="0" w:color="000000"/>
          <w:right w:val="none" w:sz="0" w:space="0" w:color="000000"/>
        </w:tcBorders>
        <w:shd w:val="clear" w:color="FFFFFF" w:fill="auto"/>
      </w:tcPr>
    </w:tblStylePr>
    <w:tblStylePr w:type="band1Vert">
      <w:tblPr/>
      <w:tcPr>
        <w:shd w:val="clear" w:color="A5FFF5" w:themeColor="accent2" w:themeTint="40" w:fill="A5FFF5" w:themeFill="accent2" w:themeFillTint="40"/>
      </w:tcPr>
    </w:tblStylePr>
    <w:tblStylePr w:type="band1Horz">
      <w:rPr>
        <w:rFonts w:ascii="Arial" w:hAnsi="Arial"/>
        <w:color w:val="2BFFE9" w:themeColor="accent2" w:themeTint="97" w:themeShade="95"/>
        <w:sz w:val="22"/>
      </w:rPr>
      <w:tblPr/>
      <w:tcPr>
        <w:shd w:val="clear" w:color="A5FFF5" w:themeColor="accent2" w:themeTint="40" w:fill="A5FFF5" w:themeFill="accent2" w:themeFillTint="40"/>
      </w:tcPr>
    </w:tblStylePr>
    <w:tblStylePr w:type="band2Horz">
      <w:rPr>
        <w:rFonts w:ascii="Arial" w:hAnsi="Arial"/>
        <w:color w:val="2BFFE9" w:themeColor="accent2" w:themeTint="97" w:themeShade="95"/>
        <w:sz w:val="22"/>
      </w:rPr>
    </w:tblStylePr>
  </w:style>
  <w:style w:type="table" w:styleId="ListTable7Colorful-Accent3">
    <w:name w:val="List Table 7 Colorful Accent 3"/>
    <w:basedOn w:val="TableNormal"/>
    <w:uiPriority w:val="99"/>
    <w:pPr>
      <w:spacing w:after="0" w:line="240" w:lineRule="auto"/>
    </w:pPr>
    <w:tblPr>
      <w:tblStyleRowBandSize w:val="1"/>
      <w:tblStyleColBandSize w:val="1"/>
      <w:tblBorders>
        <w:right w:val="single" w:sz="4" w:space="0" w:color="687AD7" w:themeColor="accent3" w:themeTint="98"/>
      </w:tblBorders>
    </w:tblPr>
    <w:tblStylePr w:type="firstRow">
      <w:rPr>
        <w:rFonts w:ascii="Arial" w:hAnsi="Arial"/>
        <w:i/>
        <w:color w:val="687AD7" w:themeColor="accent3" w:themeTint="98" w:themeShade="95"/>
        <w:sz w:val="22"/>
      </w:rPr>
      <w:tblPr/>
      <w:tcPr>
        <w:tcBorders>
          <w:top w:val="none" w:sz="0" w:space="0" w:color="000000"/>
          <w:left w:val="none" w:sz="0" w:space="0" w:color="000000"/>
          <w:bottom w:val="single" w:sz="4" w:space="0" w:color="687AD7" w:themeColor="accent3" w:themeTint="98"/>
          <w:right w:val="none" w:sz="0" w:space="0" w:color="000000"/>
        </w:tcBorders>
        <w:shd w:val="clear" w:color="FFFFFF" w:themeColor="light1" w:fill="FFFFFF" w:themeFill="light1"/>
      </w:tcPr>
    </w:tblStylePr>
    <w:tblStylePr w:type="lastRow">
      <w:rPr>
        <w:rFonts w:ascii="Arial" w:hAnsi="Arial"/>
        <w:i/>
        <w:color w:val="687AD7" w:themeColor="accent3" w:themeTint="98" w:themeShade="95"/>
        <w:sz w:val="22"/>
      </w:rPr>
      <w:tblPr/>
      <w:tcPr>
        <w:tcBorders>
          <w:top w:val="single" w:sz="4" w:space="0" w:color="687AD7" w:themeColor="accent3"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687AD7" w:themeColor="accent3" w:themeTint="98" w:themeShade="95"/>
        <w:sz w:val="22"/>
      </w:rPr>
      <w:tblPr/>
      <w:tcPr>
        <w:tcBorders>
          <w:top w:val="none" w:sz="0" w:space="0" w:color="000000"/>
          <w:left w:val="none" w:sz="0" w:space="0" w:color="000000"/>
          <w:bottom w:val="none" w:sz="0" w:space="0" w:color="000000"/>
          <w:right w:val="single" w:sz="4" w:space="0" w:color="687AD7" w:themeColor="accent3" w:themeTint="98"/>
        </w:tcBorders>
        <w:shd w:val="clear" w:color="FFFFFF" w:fill="auto"/>
      </w:tcPr>
    </w:tblStylePr>
    <w:tblStylePr w:type="lastCol">
      <w:rPr>
        <w:rFonts w:ascii="Arial" w:hAnsi="Arial"/>
        <w:i/>
        <w:color w:val="687AD7" w:themeColor="accent3" w:themeTint="98" w:themeShade="95"/>
        <w:sz w:val="22"/>
      </w:rPr>
      <w:tblPr/>
      <w:tcPr>
        <w:tcBorders>
          <w:top w:val="none" w:sz="0" w:space="0" w:color="000000"/>
          <w:left w:val="single" w:sz="4" w:space="0" w:color="687AD7" w:themeColor="accent3" w:themeTint="98"/>
          <w:bottom w:val="none" w:sz="0" w:space="0" w:color="000000"/>
          <w:right w:val="none" w:sz="0" w:space="0" w:color="000000"/>
        </w:tcBorders>
        <w:shd w:val="clear" w:color="FFFFFF" w:fill="auto"/>
      </w:tcPr>
    </w:tblStylePr>
    <w:tblStylePr w:type="band1Vert">
      <w:tblPr/>
      <w:tcPr>
        <w:shd w:val="clear" w:color="BFC6EE" w:themeColor="accent3" w:themeTint="40" w:fill="BFC6EE" w:themeFill="accent3" w:themeFillTint="40"/>
      </w:tcPr>
    </w:tblStylePr>
    <w:tblStylePr w:type="band1Horz">
      <w:rPr>
        <w:rFonts w:ascii="Arial" w:hAnsi="Arial"/>
        <w:color w:val="687AD7" w:themeColor="accent3" w:themeTint="98" w:themeShade="95"/>
        <w:sz w:val="22"/>
      </w:rPr>
      <w:tblPr/>
      <w:tcPr>
        <w:shd w:val="clear" w:color="BFC6EE" w:themeColor="accent3" w:themeTint="40" w:fill="BFC6EE" w:themeFill="accent3" w:themeFillTint="40"/>
      </w:tcPr>
    </w:tblStylePr>
    <w:tblStylePr w:type="band2Horz">
      <w:rPr>
        <w:rFonts w:ascii="Arial" w:hAnsi="Arial"/>
        <w:color w:val="687AD7" w:themeColor="accent3" w:themeTint="98" w:themeShade="95"/>
        <w:sz w:val="22"/>
      </w:rPr>
    </w:tblStylePr>
  </w:style>
  <w:style w:type="table" w:styleId="ListTable7Colorful-Accent4">
    <w:name w:val="List Table 7 Colorful Accent 4"/>
    <w:basedOn w:val="TableNormal"/>
    <w:uiPriority w:val="99"/>
    <w:pPr>
      <w:spacing w:after="0" w:line="240" w:lineRule="auto"/>
    </w:pPr>
    <w:tblPr>
      <w:tblStyleRowBandSize w:val="1"/>
      <w:tblStyleColBandSize w:val="1"/>
      <w:tblBorders>
        <w:right w:val="single" w:sz="4" w:space="0" w:color="BDDD8A" w:themeColor="accent4" w:themeTint="9A"/>
      </w:tblBorders>
    </w:tblPr>
    <w:tblStylePr w:type="firstRow">
      <w:rPr>
        <w:rFonts w:ascii="Arial" w:hAnsi="Arial"/>
        <w:i/>
        <w:color w:val="BDDD8A" w:themeColor="accent4" w:themeTint="9A" w:themeShade="95"/>
        <w:sz w:val="22"/>
      </w:rPr>
      <w:tblPr/>
      <w:tcPr>
        <w:tcBorders>
          <w:top w:val="none" w:sz="0" w:space="0" w:color="000000"/>
          <w:left w:val="none" w:sz="0" w:space="0" w:color="000000"/>
          <w:bottom w:val="single" w:sz="4" w:space="0" w:color="BDDD8A" w:themeColor="accent4" w:themeTint="9A"/>
          <w:right w:val="none" w:sz="0" w:space="0" w:color="000000"/>
        </w:tcBorders>
        <w:shd w:val="clear" w:color="FFFFFF" w:themeColor="light1" w:fill="FFFFFF" w:themeFill="light1"/>
      </w:tcPr>
    </w:tblStylePr>
    <w:tblStylePr w:type="lastRow">
      <w:rPr>
        <w:rFonts w:ascii="Arial" w:hAnsi="Arial"/>
        <w:i/>
        <w:color w:val="BDDD8A" w:themeColor="accent4" w:themeTint="9A" w:themeShade="95"/>
        <w:sz w:val="22"/>
      </w:rPr>
      <w:tblPr/>
      <w:tcPr>
        <w:tcBorders>
          <w:top w:val="single" w:sz="4" w:space="0" w:color="BDDD8A"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DDD8A" w:themeColor="accent4" w:themeTint="9A" w:themeShade="95"/>
        <w:sz w:val="22"/>
      </w:rPr>
      <w:tblPr/>
      <w:tcPr>
        <w:tcBorders>
          <w:top w:val="none" w:sz="0" w:space="0" w:color="000000"/>
          <w:left w:val="none" w:sz="0" w:space="0" w:color="000000"/>
          <w:bottom w:val="none" w:sz="0" w:space="0" w:color="000000"/>
          <w:right w:val="single" w:sz="4" w:space="0" w:color="BDDD8A" w:themeColor="accent4" w:themeTint="9A"/>
        </w:tcBorders>
        <w:shd w:val="clear" w:color="FFFFFF" w:fill="auto"/>
      </w:tcPr>
    </w:tblStylePr>
    <w:tblStylePr w:type="lastCol">
      <w:rPr>
        <w:rFonts w:ascii="Arial" w:hAnsi="Arial"/>
        <w:i/>
        <w:color w:val="BDDD8A" w:themeColor="accent4" w:themeTint="9A" w:themeShade="95"/>
        <w:sz w:val="22"/>
      </w:rPr>
      <w:tblPr/>
      <w:tcPr>
        <w:tcBorders>
          <w:top w:val="none" w:sz="0" w:space="0" w:color="000000"/>
          <w:left w:val="single" w:sz="4" w:space="0" w:color="BDDD8A" w:themeColor="accent4" w:themeTint="9A"/>
          <w:bottom w:val="none" w:sz="0" w:space="0" w:color="000000"/>
          <w:right w:val="none" w:sz="0" w:space="0" w:color="000000"/>
        </w:tcBorders>
        <w:shd w:val="clear" w:color="FFFFFF" w:fill="auto"/>
      </w:tcPr>
    </w:tblStylePr>
    <w:tblStylePr w:type="band1Vert">
      <w:tblPr/>
      <w:tcPr>
        <w:shd w:val="clear" w:color="E3F1CE" w:themeColor="accent4" w:themeTint="40" w:fill="E3F1CE" w:themeFill="accent4" w:themeFillTint="40"/>
      </w:tcPr>
    </w:tblStylePr>
    <w:tblStylePr w:type="band1Horz">
      <w:rPr>
        <w:rFonts w:ascii="Arial" w:hAnsi="Arial"/>
        <w:color w:val="BDDD8A" w:themeColor="accent4" w:themeTint="9A" w:themeShade="95"/>
        <w:sz w:val="22"/>
      </w:rPr>
      <w:tblPr/>
      <w:tcPr>
        <w:shd w:val="clear" w:color="E3F1CE" w:themeColor="accent4" w:themeTint="40" w:fill="E3F1CE" w:themeFill="accent4" w:themeFillTint="40"/>
      </w:tcPr>
    </w:tblStylePr>
    <w:tblStylePr w:type="band2Horz">
      <w:rPr>
        <w:rFonts w:ascii="Arial" w:hAnsi="Arial"/>
        <w:color w:val="BDDD8A" w:themeColor="accent4" w:themeTint="9A" w:themeShade="95"/>
        <w:sz w:val="22"/>
      </w:rPr>
    </w:tblStylePr>
  </w:style>
  <w:style w:type="table" w:styleId="ListTable7Colorful-Accent5">
    <w:name w:val="List Table 7 Colorful Accent 5"/>
    <w:basedOn w:val="TableNormal"/>
    <w:uiPriority w:val="99"/>
    <w:pPr>
      <w:spacing w:after="0" w:line="240" w:lineRule="auto"/>
    </w:pPr>
    <w:tblPr>
      <w:tblStyleRowBandSize w:val="1"/>
      <w:tblStyleColBandSize w:val="1"/>
      <w:tblBorders>
        <w:right w:val="single" w:sz="4" w:space="0" w:color="A9D3CF" w:themeColor="accent5" w:themeTint="9A"/>
      </w:tblBorders>
    </w:tblPr>
    <w:tblStylePr w:type="firstRow">
      <w:rPr>
        <w:rFonts w:ascii="Arial" w:hAnsi="Arial"/>
        <w:i/>
        <w:color w:val="A9D3CF" w:themeColor="accent5" w:themeTint="9A" w:themeShade="95"/>
        <w:sz w:val="22"/>
      </w:rPr>
      <w:tblPr/>
      <w:tcPr>
        <w:tcBorders>
          <w:top w:val="none" w:sz="0" w:space="0" w:color="000000"/>
          <w:left w:val="none" w:sz="0" w:space="0" w:color="000000"/>
          <w:bottom w:val="single" w:sz="4" w:space="0" w:color="A9D3CF" w:themeColor="accent5" w:themeTint="9A"/>
          <w:right w:val="none" w:sz="0" w:space="0" w:color="000000"/>
        </w:tcBorders>
        <w:shd w:val="clear" w:color="FFFFFF" w:themeColor="light1" w:fill="FFFFFF" w:themeFill="light1"/>
      </w:tcPr>
    </w:tblStylePr>
    <w:tblStylePr w:type="lastRow">
      <w:rPr>
        <w:rFonts w:ascii="Arial" w:hAnsi="Arial"/>
        <w:i/>
        <w:color w:val="A9D3CF" w:themeColor="accent5" w:themeTint="9A" w:themeShade="95"/>
        <w:sz w:val="22"/>
      </w:rPr>
      <w:tblPr/>
      <w:tcPr>
        <w:tcBorders>
          <w:top w:val="single" w:sz="4" w:space="0" w:color="A9D3CF" w:themeColor="accent5"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A9D3CF" w:themeColor="accent5" w:themeTint="9A" w:themeShade="95"/>
        <w:sz w:val="22"/>
      </w:rPr>
      <w:tblPr/>
      <w:tcPr>
        <w:tcBorders>
          <w:top w:val="none" w:sz="0" w:space="0" w:color="000000"/>
          <w:left w:val="none" w:sz="0" w:space="0" w:color="000000"/>
          <w:bottom w:val="none" w:sz="0" w:space="0" w:color="000000"/>
          <w:right w:val="single" w:sz="4" w:space="0" w:color="A9D3CF" w:themeColor="accent5" w:themeTint="9A"/>
        </w:tcBorders>
        <w:shd w:val="clear" w:color="FFFFFF" w:fill="auto"/>
      </w:tcPr>
    </w:tblStylePr>
    <w:tblStylePr w:type="lastCol">
      <w:rPr>
        <w:rFonts w:ascii="Arial" w:hAnsi="Arial"/>
        <w:i/>
        <w:color w:val="A9D3CF" w:themeColor="accent5" w:themeTint="9A" w:themeShade="95"/>
        <w:sz w:val="22"/>
      </w:rPr>
      <w:tblPr/>
      <w:tcPr>
        <w:tcBorders>
          <w:top w:val="none" w:sz="0" w:space="0" w:color="000000"/>
          <w:left w:val="single" w:sz="4" w:space="0" w:color="A9D3CF" w:themeColor="accent5" w:themeTint="9A"/>
          <w:bottom w:val="none" w:sz="0" w:space="0" w:color="000000"/>
          <w:right w:val="none" w:sz="0" w:space="0" w:color="000000"/>
        </w:tcBorders>
        <w:shd w:val="clear" w:color="FFFFFF" w:fill="auto"/>
      </w:tcPr>
    </w:tblStylePr>
    <w:tblStylePr w:type="band1Vert">
      <w:tblPr/>
      <w:tcPr>
        <w:shd w:val="clear" w:color="DBECEB" w:themeColor="accent5" w:themeTint="40" w:fill="DBECEB" w:themeFill="accent5" w:themeFillTint="40"/>
      </w:tcPr>
    </w:tblStylePr>
    <w:tblStylePr w:type="band1Horz">
      <w:rPr>
        <w:rFonts w:ascii="Arial" w:hAnsi="Arial"/>
        <w:color w:val="A9D3CF" w:themeColor="accent5" w:themeTint="9A" w:themeShade="95"/>
        <w:sz w:val="22"/>
      </w:rPr>
      <w:tblPr/>
      <w:tcPr>
        <w:shd w:val="clear" w:color="DBECEB" w:themeColor="accent5" w:themeTint="40" w:fill="DBECEB" w:themeFill="accent5" w:themeFillTint="40"/>
      </w:tcPr>
    </w:tblStylePr>
    <w:tblStylePr w:type="band2Horz">
      <w:rPr>
        <w:rFonts w:ascii="Arial" w:hAnsi="Arial"/>
        <w:color w:val="A9D3CF" w:themeColor="accent5" w:themeTint="9A" w:themeShade="95"/>
        <w:sz w:val="22"/>
      </w:rPr>
    </w:tblStylePr>
  </w:style>
  <w:style w:type="table" w:styleId="ListTable7Colorful-Accent6">
    <w:name w:val="List Table 7 Colorful Accent 6"/>
    <w:basedOn w:val="TableNormal"/>
    <w:uiPriority w:val="99"/>
    <w:pPr>
      <w:spacing w:after="0" w:line="240" w:lineRule="auto"/>
    </w:pPr>
    <w:tblPr>
      <w:tblStyleRowBandSize w:val="1"/>
      <w:tblStyleColBandSize w:val="1"/>
      <w:tblBorders>
        <w:right w:val="single" w:sz="4" w:space="0" w:color="F6D08E" w:themeColor="accent6" w:themeTint="98"/>
      </w:tblBorders>
    </w:tblPr>
    <w:tblStylePr w:type="firstRow">
      <w:rPr>
        <w:rFonts w:ascii="Arial" w:hAnsi="Arial"/>
        <w:i/>
        <w:color w:val="F6D08E" w:themeColor="accent6" w:themeTint="98" w:themeShade="95"/>
        <w:sz w:val="22"/>
      </w:rPr>
      <w:tblPr/>
      <w:tcPr>
        <w:tcBorders>
          <w:top w:val="none" w:sz="0" w:space="0" w:color="000000"/>
          <w:left w:val="none" w:sz="0" w:space="0" w:color="000000"/>
          <w:bottom w:val="single" w:sz="4" w:space="0" w:color="F6D08E" w:themeColor="accent6" w:themeTint="98"/>
          <w:right w:val="none" w:sz="0" w:space="0" w:color="000000"/>
        </w:tcBorders>
        <w:shd w:val="clear" w:color="FFFFFF" w:themeColor="light1" w:fill="FFFFFF" w:themeFill="light1"/>
      </w:tcPr>
    </w:tblStylePr>
    <w:tblStylePr w:type="lastRow">
      <w:rPr>
        <w:rFonts w:ascii="Arial" w:hAnsi="Arial"/>
        <w:i/>
        <w:color w:val="F6D08E" w:themeColor="accent6" w:themeTint="98" w:themeShade="95"/>
        <w:sz w:val="22"/>
      </w:rPr>
      <w:tblPr/>
      <w:tcPr>
        <w:tcBorders>
          <w:top w:val="single" w:sz="4" w:space="0" w:color="F6D08E" w:themeColor="accent6"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F6D08E" w:themeColor="accent6" w:themeTint="98" w:themeShade="95"/>
        <w:sz w:val="22"/>
      </w:rPr>
      <w:tblPr/>
      <w:tcPr>
        <w:tcBorders>
          <w:top w:val="none" w:sz="0" w:space="0" w:color="000000"/>
          <w:left w:val="none" w:sz="0" w:space="0" w:color="000000"/>
          <w:bottom w:val="none" w:sz="0" w:space="0" w:color="000000"/>
          <w:right w:val="single" w:sz="4" w:space="0" w:color="F6D08E" w:themeColor="accent6" w:themeTint="98"/>
        </w:tcBorders>
        <w:shd w:val="clear" w:color="FFFFFF" w:fill="auto"/>
      </w:tcPr>
    </w:tblStylePr>
    <w:tblStylePr w:type="lastCol">
      <w:rPr>
        <w:rFonts w:ascii="Arial" w:hAnsi="Arial"/>
        <w:i/>
        <w:color w:val="F6D08E" w:themeColor="accent6" w:themeTint="98" w:themeShade="95"/>
        <w:sz w:val="22"/>
      </w:rPr>
      <w:tblPr/>
      <w:tcPr>
        <w:tcBorders>
          <w:top w:val="none" w:sz="0" w:space="0" w:color="000000"/>
          <w:left w:val="single" w:sz="4" w:space="0" w:color="F6D08E" w:themeColor="accent6" w:themeTint="98"/>
          <w:bottom w:val="none" w:sz="0" w:space="0" w:color="000000"/>
          <w:right w:val="none" w:sz="0" w:space="0" w:color="000000"/>
        </w:tcBorders>
        <w:shd w:val="clear" w:color="FFFFFF" w:fill="auto"/>
      </w:tcPr>
    </w:tblStylePr>
    <w:tblStylePr w:type="band1Vert">
      <w:tblPr/>
      <w:tcPr>
        <w:shd w:val="clear" w:color="FBEBCF" w:themeColor="accent6" w:themeTint="40" w:fill="FBEBCF" w:themeFill="accent6" w:themeFillTint="40"/>
      </w:tcPr>
    </w:tblStylePr>
    <w:tblStylePr w:type="band1Horz">
      <w:rPr>
        <w:rFonts w:ascii="Arial" w:hAnsi="Arial"/>
        <w:color w:val="F6D08E" w:themeColor="accent6" w:themeTint="98" w:themeShade="95"/>
        <w:sz w:val="22"/>
      </w:rPr>
      <w:tblPr/>
      <w:tcPr>
        <w:shd w:val="clear" w:color="FBEBCF" w:themeColor="accent6" w:themeTint="40" w:fill="FBEBCF" w:themeFill="accent6" w:themeFillTint="40"/>
      </w:tcPr>
    </w:tblStylePr>
    <w:tblStylePr w:type="band2Horz">
      <w:rPr>
        <w:rFonts w:ascii="Arial" w:hAnsi="Arial"/>
        <w:color w:val="F6D08E" w:themeColor="accent6" w:themeTint="98" w:themeShade="95"/>
        <w:sz w:val="22"/>
      </w:rPr>
    </w:tblStylePr>
  </w:style>
  <w:style w:type="character" w:customStyle="1" w:styleId="CaptionChar">
    <w:name w:val="Caption Char"/>
    <w:uiPriority w:val="99"/>
  </w:style>
  <w:style w:type="table" w:styleId="PlainTable1">
    <w:name w:val="Plain Table 1"/>
    <w:basedOn w:val="TableNormal"/>
    <w:uiPriority w:val="59"/>
    <w:pPr>
      <w:spacing w:after="0" w:line="240" w:lineRule="auto"/>
    </w:pPr>
    <w:tblPr>
      <w:tblBorders>
        <w:top w:val="single" w:sz="4" w:space="0" w:color="C0C6D4" w:themeColor="text1" w:themeTint="50"/>
        <w:left w:val="single" w:sz="4" w:space="0" w:color="C0C6D4" w:themeColor="text1" w:themeTint="50"/>
        <w:bottom w:val="single" w:sz="4" w:space="0" w:color="C0C6D4" w:themeColor="text1" w:themeTint="50"/>
        <w:right w:val="single" w:sz="4" w:space="0" w:color="C0C6D4" w:themeColor="text1" w:themeTint="50"/>
        <w:insideH w:val="single" w:sz="4" w:space="0" w:color="C0C6D4" w:themeColor="text1" w:themeTint="50"/>
        <w:insideV w:val="single" w:sz="4" w:space="0" w:color="C0C6D4"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4F5F8" w:themeColor="text1" w:themeTint="0D" w:fill="F4F5F8" w:themeFill="text1" w:themeFillTint="0D"/>
      </w:tcPr>
    </w:tblStylePr>
    <w:tblStylePr w:type="band1Horz">
      <w:tblPr/>
      <w:tcPr>
        <w:shd w:val="clear" w:color="F4F5F8" w:themeColor="text1" w:themeTint="0D" w:fill="F4F5F8" w:themeFill="text1" w:themeFillTint="0D"/>
      </w:tcPr>
    </w:tblStylePr>
  </w:style>
  <w:style w:type="table" w:styleId="PlainTable2">
    <w:name w:val="Plain Table 2"/>
    <w:basedOn w:val="TableNormal"/>
    <w:uiPriority w:val="59"/>
    <w:pPr>
      <w:spacing w:after="0" w:line="240" w:lineRule="auto"/>
    </w:pPr>
    <w:tblPr>
      <w:tblBorders>
        <w:top w:val="single" w:sz="4" w:space="0" w:color="48516A" w:themeColor="text1"/>
        <w:left w:val="none" w:sz="4" w:space="0" w:color="48516A" w:themeColor="text1"/>
        <w:bottom w:val="single" w:sz="4" w:space="0" w:color="48516A" w:themeColor="text1"/>
        <w:right w:val="none" w:sz="4" w:space="0" w:color="48516A" w:themeColor="text1"/>
      </w:tblBorders>
    </w:tblPr>
    <w:tblStylePr w:type="firstRow">
      <w:rPr>
        <w:rFonts w:ascii="Arial" w:hAnsi="Arial"/>
        <w:b/>
        <w:color w:val="404040"/>
        <w:sz w:val="22"/>
      </w:rPr>
      <w:tblPr/>
      <w:tcPr>
        <w:tcBorders>
          <w:top w:val="single" w:sz="4" w:space="0" w:color="48516A" w:themeColor="text1"/>
          <w:bottom w:val="single" w:sz="4" w:space="0" w:color="48516A"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48516A" w:themeColor="text1"/>
          <w:right w:val="single" w:sz="4" w:space="0" w:color="48516A" w:themeColor="text1"/>
        </w:tcBorders>
      </w:tcPr>
    </w:tblStylePr>
    <w:tblStylePr w:type="band2Vert">
      <w:tblPr/>
      <w:tcPr>
        <w:tcBorders>
          <w:left w:val="single" w:sz="4" w:space="0" w:color="48516A" w:themeColor="text1"/>
          <w:right w:val="single" w:sz="4" w:space="0" w:color="48516A" w:themeColor="text1"/>
        </w:tcBorders>
      </w:tcPr>
    </w:tblStylePr>
    <w:tblStylePr w:type="band1Horz">
      <w:tblPr/>
      <w:tcPr>
        <w:tcBorders>
          <w:top w:val="single" w:sz="4" w:space="0" w:color="48516A" w:themeColor="text1"/>
          <w:bottom w:val="single" w:sz="4" w:space="0" w:color="48516A" w:themeColor="text1"/>
        </w:tcBorders>
      </w:tcPr>
    </w:tblStylePr>
  </w:style>
  <w:style w:type="table" w:styleId="PlainTable3">
    <w:name w:val="Plain Table 3"/>
    <w:basedOn w:val="TableNormal"/>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4F5F8" w:themeColor="text1" w:themeTint="0D" w:fill="F4F5F8" w:themeFill="text1" w:themeFillTint="0D"/>
      </w:tcPr>
    </w:tblStylePr>
    <w:tblStylePr w:type="band1Horz">
      <w:rPr>
        <w:rFonts w:ascii="Arial" w:hAnsi="Arial"/>
        <w:color w:val="404040"/>
        <w:sz w:val="22"/>
      </w:rPr>
      <w:tblPr/>
      <w:tcPr>
        <w:shd w:val="clear" w:color="F4F5F8" w:themeColor="text1" w:themeTint="0D" w:fill="F4F5F8" w:themeFill="text1" w:themeFillTint="0D"/>
      </w:tcPr>
    </w:tblStylePr>
  </w:style>
  <w:style w:type="table" w:styleId="PlainTable5">
    <w:name w:val="Plain Table 5"/>
    <w:basedOn w:val="TableNormal"/>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4F5F8" w:themeColor="text1" w:themeTint="0D" w:fill="F4F5F8" w:themeFill="text1" w:themeFillTint="0D"/>
      </w:tcPr>
    </w:tblStylePr>
    <w:tblStylePr w:type="band1Horz">
      <w:rPr>
        <w:rFonts w:ascii="Arial" w:hAnsi="Arial"/>
        <w:color w:val="404040"/>
        <w:sz w:val="22"/>
      </w:rPr>
      <w:tblPr/>
      <w:tcPr>
        <w:shd w:val="clear" w:color="F4F5F8" w:themeColor="text1" w:themeTint="0D" w:fill="F4F5F8" w:themeFill="text1" w:themeFillTint="0D"/>
      </w:tcPr>
    </w:tblStylePr>
  </w:style>
  <w:style w:type="table" w:styleId="GridTable1Light">
    <w:name w:val="Grid Table 1 Light"/>
    <w:basedOn w:val="TableNormal"/>
    <w:uiPriority w:val="99"/>
    <w:pPr>
      <w:spacing w:after="0" w:line="240" w:lineRule="auto"/>
    </w:pPr>
    <w:tblPr>
      <w:tblStyleRowBandSize w:val="1"/>
      <w:tblStyleColBandSize w:val="1"/>
      <w:tblBorders>
        <w:top w:val="single" w:sz="4" w:space="0" w:color="AFB5C8" w:themeColor="text1" w:themeTint="67"/>
        <w:left w:val="single" w:sz="4" w:space="0" w:color="AFB5C8" w:themeColor="text1" w:themeTint="67"/>
        <w:bottom w:val="single" w:sz="4" w:space="0" w:color="AFB5C8" w:themeColor="text1" w:themeTint="67"/>
        <w:right w:val="single" w:sz="4" w:space="0" w:color="AFB5C8" w:themeColor="text1" w:themeTint="67"/>
        <w:insideH w:val="single" w:sz="4" w:space="0" w:color="AFB5C8" w:themeColor="text1" w:themeTint="67"/>
        <w:insideV w:val="single" w:sz="4" w:space="0" w:color="AFB5C8" w:themeColor="text1" w:themeTint="67"/>
      </w:tblBorders>
    </w:tblPr>
    <w:tblStylePr w:type="firstRow">
      <w:rPr>
        <w:b/>
        <w:color w:val="404040"/>
      </w:rPr>
      <w:tblPr/>
      <w:tcPr>
        <w:tcBorders>
          <w:bottom w:val="single" w:sz="12" w:space="0" w:color="8B95B0"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AFB5C8" w:themeColor="text1" w:themeTint="67"/>
          <w:left w:val="single" w:sz="4" w:space="0" w:color="AFB5C8" w:themeColor="text1" w:themeTint="67"/>
          <w:bottom w:val="single" w:sz="4" w:space="0" w:color="AFB5C8" w:themeColor="text1" w:themeTint="67"/>
          <w:right w:val="single" w:sz="4" w:space="0" w:color="AFB5C8" w:themeColor="text1" w:themeTint="67"/>
        </w:tcBorders>
      </w:tcPr>
    </w:tblStylePr>
  </w:style>
  <w:style w:type="table" w:styleId="GridTable2">
    <w:name w:val="Grid Table 2"/>
    <w:basedOn w:val="TableNormal"/>
    <w:uiPriority w:val="99"/>
    <w:pPr>
      <w:spacing w:after="0" w:line="240" w:lineRule="auto"/>
    </w:pPr>
    <w:tblPr>
      <w:tblStyleRowBandSize w:val="1"/>
      <w:tblStyleColBandSize w:val="1"/>
      <w:tblBorders>
        <w:bottom w:val="single" w:sz="4" w:space="0" w:color="8B95B0" w:themeColor="text1" w:themeTint="95"/>
        <w:insideH w:val="single" w:sz="4" w:space="0" w:color="8B95B0" w:themeColor="text1" w:themeTint="95"/>
        <w:insideV w:val="single" w:sz="4" w:space="0" w:color="8B95B0" w:themeColor="text1" w:themeTint="95"/>
      </w:tblBorders>
    </w:tblPr>
    <w:tblStylePr w:type="firstRow">
      <w:rPr>
        <w:b/>
        <w:color w:val="404040"/>
      </w:rPr>
      <w:tblPr/>
      <w:tcPr>
        <w:tcBorders>
          <w:top w:val="none" w:sz="4" w:space="0" w:color="000000"/>
          <w:left w:val="none" w:sz="4" w:space="0" w:color="000000"/>
          <w:bottom w:val="single" w:sz="12" w:space="0" w:color="8B95B0" w:themeColor="text1" w:themeTint="95"/>
          <w:right w:val="none" w:sz="4" w:space="0" w:color="000000"/>
        </w:tcBorders>
        <w:shd w:val="clear" w:color="FFFFFF" w:fill="auto"/>
      </w:tcPr>
    </w:tblStylePr>
    <w:tblStylePr w:type="lastRow">
      <w:rPr>
        <w:b/>
        <w:color w:val="404040"/>
      </w:rPr>
      <w:tblPr/>
      <w:tcPr>
        <w:tcBorders>
          <w:top w:val="single" w:sz="4" w:space="0" w:color="8B95B0"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6D9E3" w:themeColor="text1" w:themeTint="34" w:fill="D6D9E3" w:themeFill="text1" w:themeFillTint="34"/>
      </w:tcPr>
    </w:tblStylePr>
    <w:tblStylePr w:type="band1Horz">
      <w:rPr>
        <w:rFonts w:ascii="Arial" w:hAnsi="Arial"/>
        <w:color w:val="404040"/>
        <w:sz w:val="22"/>
      </w:rPr>
      <w:tblPr/>
      <w:tcPr>
        <w:shd w:val="clear" w:color="D6D9E3" w:themeColor="text1" w:themeTint="34" w:fill="D6D9E3" w:themeFill="text1" w:themeFillTint="34"/>
      </w:tcPr>
    </w:tblStylePr>
  </w:style>
  <w:style w:type="table" w:styleId="GridTable3">
    <w:name w:val="Grid Table 3"/>
    <w:basedOn w:val="TableNormal"/>
    <w:uiPriority w:val="99"/>
    <w:pPr>
      <w:spacing w:after="0" w:line="240" w:lineRule="auto"/>
    </w:pPr>
    <w:tblPr>
      <w:tblStyleRowBandSize w:val="1"/>
      <w:tblStyleColBandSize w:val="1"/>
      <w:tblBorders>
        <w:bottom w:val="single" w:sz="4" w:space="0" w:color="8B95B0" w:themeColor="text1" w:themeTint="95"/>
        <w:insideH w:val="single" w:sz="4" w:space="0" w:color="8B95B0" w:themeColor="text1" w:themeTint="95"/>
        <w:insideV w:val="single" w:sz="4" w:space="0" w:color="8B95B0"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6D9E3" w:themeColor="text1" w:themeTint="34" w:fill="D6D9E3" w:themeFill="text1" w:themeFillTint="34"/>
      </w:tcPr>
    </w:tblStylePr>
    <w:tblStylePr w:type="band1Horz">
      <w:rPr>
        <w:rFonts w:ascii="Arial" w:hAnsi="Arial"/>
        <w:color w:val="404040"/>
        <w:sz w:val="22"/>
      </w:rPr>
      <w:tblPr/>
      <w:tcPr>
        <w:shd w:val="clear" w:color="D6D9E3" w:themeColor="text1" w:themeTint="34" w:fill="D6D9E3" w:themeFill="text1" w:themeFillTint="34"/>
      </w:tcPr>
    </w:tblStylePr>
  </w:style>
  <w:style w:type="table" w:styleId="GridTable4">
    <w:name w:val="Grid Table 4"/>
    <w:basedOn w:val="TableNormal"/>
    <w:uiPriority w:val="49"/>
    <w:pPr>
      <w:spacing w:after="0" w:line="240" w:lineRule="auto"/>
    </w:pPr>
    <w:tblPr>
      <w:tblStyleRowBandSize w:val="1"/>
      <w:tblStyleColBandSize w:val="1"/>
      <w:tblBorders>
        <w:top w:val="single" w:sz="4" w:space="0" w:color="8F98B3" w:themeColor="text1" w:themeTint="90"/>
        <w:left w:val="single" w:sz="4" w:space="0" w:color="8F98B3" w:themeColor="text1" w:themeTint="90"/>
        <w:bottom w:val="single" w:sz="4" w:space="0" w:color="8F98B3" w:themeColor="text1" w:themeTint="90"/>
        <w:right w:val="single" w:sz="4" w:space="0" w:color="8F98B3" w:themeColor="text1" w:themeTint="90"/>
        <w:insideH w:val="single" w:sz="4" w:space="0" w:color="8F98B3" w:themeColor="text1" w:themeTint="90"/>
        <w:insideV w:val="single" w:sz="4" w:space="0" w:color="8F98B3" w:themeColor="text1" w:themeTint="90"/>
      </w:tblBorders>
    </w:tblPr>
    <w:tblStylePr w:type="firstRow">
      <w:rPr>
        <w:rFonts w:ascii="Arial" w:hAnsi="Arial"/>
        <w:b/>
        <w:color w:val="FFFFFF"/>
        <w:sz w:val="22"/>
      </w:rPr>
      <w:tblPr/>
      <w:tcPr>
        <w:tcBorders>
          <w:top w:val="single" w:sz="4" w:space="0" w:color="48516A" w:themeColor="text1"/>
          <w:left w:val="single" w:sz="4" w:space="0" w:color="48516A" w:themeColor="text1"/>
          <w:bottom w:val="single" w:sz="4" w:space="0" w:color="48516A" w:themeColor="text1"/>
          <w:right w:val="single" w:sz="4" w:space="0" w:color="48516A" w:themeColor="text1"/>
        </w:tcBorders>
        <w:shd w:val="clear" w:color="48516A" w:themeColor="text1" w:fill="48516A" w:themeFill="text1"/>
      </w:tcPr>
    </w:tblStylePr>
    <w:tblStylePr w:type="lastRow">
      <w:rPr>
        <w:b/>
        <w:color w:val="404040"/>
      </w:rPr>
      <w:tblPr/>
      <w:tcPr>
        <w:tcBorders>
          <w:top w:val="single" w:sz="4" w:space="0" w:color="48516A"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6D9E3" w:themeColor="text1" w:themeTint="34" w:fill="D6D9E3" w:themeFill="text1" w:themeFillTint="34"/>
      </w:tcPr>
    </w:tblStylePr>
    <w:tblStylePr w:type="band1Horz">
      <w:rPr>
        <w:rFonts w:ascii="Arial" w:hAnsi="Arial"/>
        <w:color w:val="404040"/>
        <w:sz w:val="22"/>
      </w:rPr>
      <w:tblPr/>
      <w:tcPr>
        <w:shd w:val="clear" w:color="D6D9E3" w:themeColor="text1" w:themeTint="34" w:fill="D6D9E3" w:themeFill="text1" w:themeFillTint="34"/>
      </w:tcPr>
    </w:tblStylePr>
  </w:style>
  <w:style w:type="table" w:styleId="GridTable5Dark">
    <w:name w:val="Grid Table 5 Dark"/>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DD1DD" w:themeColor="text1" w:themeTint="40" w:fill="CDD1DD" w:themeFill="text1" w:themeFillTint="40"/>
    </w:tblPr>
    <w:tblStylePr w:type="firstRow">
      <w:rPr>
        <w:rFonts w:ascii="Arial" w:hAnsi="Arial"/>
        <w:b/>
        <w:color w:val="FFFFFF"/>
        <w:sz w:val="22"/>
      </w:rPr>
      <w:tblPr/>
      <w:tcPr>
        <w:shd w:val="clear" w:color="48516A" w:themeColor="text1" w:fill="48516A" w:themeFill="text1"/>
      </w:tcPr>
    </w:tblStylePr>
    <w:tblStylePr w:type="lastRow">
      <w:rPr>
        <w:rFonts w:ascii="Arial" w:hAnsi="Arial"/>
        <w:b/>
        <w:color w:val="FFFFFF"/>
        <w:sz w:val="22"/>
      </w:rPr>
      <w:tblPr/>
      <w:tcPr>
        <w:tcBorders>
          <w:top w:val="single" w:sz="4" w:space="0" w:color="FFFFFF" w:themeColor="light1"/>
        </w:tcBorders>
        <w:shd w:val="clear" w:color="48516A" w:themeColor="text1" w:fill="48516A" w:themeFill="text1"/>
      </w:tcPr>
    </w:tblStylePr>
    <w:tblStylePr w:type="firstCol">
      <w:rPr>
        <w:rFonts w:ascii="Arial" w:hAnsi="Arial"/>
        <w:b/>
        <w:color w:val="FFFFFF"/>
        <w:sz w:val="22"/>
      </w:rPr>
      <w:tblPr/>
      <w:tcPr>
        <w:shd w:val="clear" w:color="48516A" w:themeColor="text1" w:fill="48516A" w:themeFill="text1"/>
      </w:tcPr>
    </w:tblStylePr>
    <w:tblStylePr w:type="lastCol">
      <w:rPr>
        <w:rFonts w:ascii="Arial" w:hAnsi="Arial"/>
        <w:b/>
        <w:color w:val="FFFFFF"/>
        <w:sz w:val="22"/>
      </w:rPr>
      <w:tblPr/>
      <w:tcPr>
        <w:shd w:val="clear" w:color="48516A" w:themeColor="text1" w:fill="48516A" w:themeFill="text1"/>
      </w:tcPr>
    </w:tblStylePr>
    <w:tblStylePr w:type="band1Vert">
      <w:tblPr/>
      <w:tcPr>
        <w:shd w:val="clear" w:color="A4ABC1" w:themeColor="text1" w:themeTint="75" w:fill="A4ABC1" w:themeFill="text1" w:themeFillTint="75"/>
      </w:tcPr>
    </w:tblStylePr>
    <w:tblStylePr w:type="band1Horz">
      <w:tblPr/>
      <w:tcPr>
        <w:shd w:val="clear" w:color="A4ABC1" w:themeColor="text1" w:themeTint="75" w:fill="A4ABC1" w:themeFill="text1" w:themeFillTint="75"/>
      </w:tcPr>
    </w:tblStylePr>
  </w:style>
  <w:style w:type="table" w:customStyle="1" w:styleId="GridTable5Dark-Accent1">
    <w:name w:val="Grid Table 5 Dark- Accent 1"/>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AFFD9" w:themeColor="accent1" w:themeTint="34" w:fill="BAFFD9" w:themeFill="accent1" w:themeFillTint="34"/>
    </w:tblPr>
    <w:tblStylePr w:type="firstRow">
      <w:rPr>
        <w:rFonts w:ascii="Arial" w:hAnsi="Arial"/>
        <w:b/>
        <w:color w:val="FFFFFF"/>
        <w:sz w:val="22"/>
      </w:rPr>
      <w:tblPr/>
      <w:tcPr>
        <w:shd w:val="clear" w:color="00AC4E" w:themeColor="accent1" w:fill="00AC4E" w:themeFill="accent1"/>
      </w:tcPr>
    </w:tblStylePr>
    <w:tblStylePr w:type="lastRow">
      <w:rPr>
        <w:rFonts w:ascii="Arial" w:hAnsi="Arial"/>
        <w:b/>
        <w:color w:val="FFFFFF"/>
        <w:sz w:val="22"/>
      </w:rPr>
      <w:tblPr/>
      <w:tcPr>
        <w:tcBorders>
          <w:top w:val="single" w:sz="4" w:space="0" w:color="FFFFFF" w:themeColor="light1"/>
        </w:tcBorders>
        <w:shd w:val="clear" w:color="00AC4E" w:themeColor="accent1" w:fill="00AC4E" w:themeFill="accent1"/>
      </w:tcPr>
    </w:tblStylePr>
    <w:tblStylePr w:type="firstCol">
      <w:rPr>
        <w:rFonts w:ascii="Arial" w:hAnsi="Arial"/>
        <w:b/>
        <w:color w:val="FFFFFF"/>
        <w:sz w:val="22"/>
      </w:rPr>
      <w:tblPr/>
      <w:tcPr>
        <w:shd w:val="clear" w:color="00AC4E" w:themeColor="accent1" w:fill="00AC4E" w:themeFill="accent1"/>
      </w:tcPr>
    </w:tblStylePr>
    <w:tblStylePr w:type="lastCol">
      <w:rPr>
        <w:rFonts w:ascii="Arial" w:hAnsi="Arial"/>
        <w:b/>
        <w:color w:val="FFFFFF"/>
        <w:sz w:val="22"/>
      </w:rPr>
      <w:tblPr/>
      <w:tcPr>
        <w:shd w:val="clear" w:color="00AC4E" w:themeColor="accent1" w:fill="00AC4E" w:themeFill="accent1"/>
      </w:tcPr>
    </w:tblStylePr>
    <w:tblStylePr w:type="band1Vert">
      <w:tblPr/>
      <w:tcPr>
        <w:shd w:val="clear" w:color="63FFA9" w:themeColor="accent1" w:themeTint="75" w:fill="63FFA9" w:themeFill="accent1" w:themeFillTint="75"/>
      </w:tcPr>
    </w:tblStylePr>
    <w:tblStylePr w:type="band1Horz">
      <w:tblPr/>
      <w:tcPr>
        <w:shd w:val="clear" w:color="63FFA9" w:themeColor="accent1" w:themeTint="75" w:fill="63FFA9" w:themeFill="accent1" w:themeFillTint="75"/>
      </w:tcPr>
    </w:tblStylePr>
  </w:style>
  <w:style w:type="table" w:customStyle="1" w:styleId="GridTable5Dark-Accent4">
    <w:name w:val="Grid Table 5 Dark- Accent 4"/>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8F3D7" w:themeColor="accent4" w:themeTint="34" w:fill="E8F3D7" w:themeFill="accent4" w:themeFillTint="34"/>
    </w:tblPr>
    <w:tblStylePr w:type="firstRow">
      <w:rPr>
        <w:rFonts w:ascii="Arial" w:hAnsi="Arial"/>
        <w:b/>
        <w:color w:val="FFFFFF"/>
        <w:sz w:val="22"/>
      </w:rPr>
      <w:tblPr/>
      <w:tcPr>
        <w:shd w:val="clear" w:color="92C83E" w:themeColor="accent4" w:fill="92C83E" w:themeFill="accent4"/>
      </w:tcPr>
    </w:tblStylePr>
    <w:tblStylePr w:type="lastRow">
      <w:rPr>
        <w:rFonts w:ascii="Arial" w:hAnsi="Arial"/>
        <w:b/>
        <w:color w:val="FFFFFF"/>
        <w:sz w:val="22"/>
      </w:rPr>
      <w:tblPr/>
      <w:tcPr>
        <w:tcBorders>
          <w:top w:val="single" w:sz="4" w:space="0" w:color="FFFFFF" w:themeColor="light1"/>
        </w:tcBorders>
        <w:shd w:val="clear" w:color="92C83E" w:themeColor="accent4" w:fill="92C83E" w:themeFill="accent4"/>
      </w:tcPr>
    </w:tblStylePr>
    <w:tblStylePr w:type="firstCol">
      <w:rPr>
        <w:rFonts w:ascii="Arial" w:hAnsi="Arial"/>
        <w:b/>
        <w:color w:val="FFFFFF"/>
        <w:sz w:val="22"/>
      </w:rPr>
      <w:tblPr/>
      <w:tcPr>
        <w:shd w:val="clear" w:color="92C83E" w:themeColor="accent4" w:fill="92C83E" w:themeFill="accent4"/>
      </w:tcPr>
    </w:tblStylePr>
    <w:tblStylePr w:type="lastCol">
      <w:rPr>
        <w:rFonts w:ascii="Arial" w:hAnsi="Arial"/>
        <w:b/>
        <w:color w:val="FFFFFF"/>
        <w:sz w:val="22"/>
      </w:rPr>
      <w:tblPr/>
      <w:tcPr>
        <w:shd w:val="clear" w:color="92C83E" w:themeColor="accent4" w:fill="92C83E" w:themeFill="accent4"/>
      </w:tcPr>
    </w:tblStylePr>
    <w:tblStylePr w:type="band1Vert">
      <w:tblPr/>
      <w:tcPr>
        <w:shd w:val="clear" w:color="CCE5A6" w:themeColor="accent4" w:themeTint="75" w:fill="CCE5A6" w:themeFill="accent4" w:themeFillTint="75"/>
      </w:tcPr>
    </w:tblStylePr>
    <w:tblStylePr w:type="band1Horz">
      <w:tblPr/>
      <w:tcPr>
        <w:shd w:val="clear" w:color="CCE5A6" w:themeColor="accent4" w:themeTint="75" w:fill="CCE5A6" w:themeFill="accent4" w:themeFillTint="75"/>
      </w:tcPr>
    </w:tblStylePr>
  </w:style>
  <w:style w:type="table" w:styleId="GridTable6Colorful">
    <w:name w:val="Grid Table 6 Colorful"/>
    <w:basedOn w:val="TableNormal"/>
    <w:uiPriority w:val="99"/>
    <w:pPr>
      <w:spacing w:after="0" w:line="240" w:lineRule="auto"/>
    </w:pPr>
    <w:tblPr>
      <w:tblStyleRowBandSize w:val="1"/>
      <w:tblStyleColBandSize w:val="1"/>
      <w:tblBorders>
        <w:top w:val="single" w:sz="4" w:space="0" w:color="9BA4BB" w:themeColor="text1" w:themeTint="80"/>
        <w:left w:val="single" w:sz="4" w:space="0" w:color="9BA4BB" w:themeColor="text1" w:themeTint="80"/>
        <w:bottom w:val="single" w:sz="4" w:space="0" w:color="9BA4BB" w:themeColor="text1" w:themeTint="80"/>
        <w:right w:val="single" w:sz="4" w:space="0" w:color="9BA4BB" w:themeColor="text1" w:themeTint="80"/>
        <w:insideH w:val="single" w:sz="4" w:space="0" w:color="9BA4BB" w:themeColor="text1" w:themeTint="80"/>
        <w:insideV w:val="single" w:sz="4" w:space="0" w:color="9BA4BB" w:themeColor="text1" w:themeTint="80"/>
      </w:tblBorders>
    </w:tblPr>
    <w:tblStylePr w:type="firstRow">
      <w:rPr>
        <w:b/>
        <w:color w:val="9BA4BB" w:themeColor="text1" w:themeTint="80" w:themeShade="95"/>
      </w:rPr>
      <w:tblPr/>
      <w:tcPr>
        <w:tcBorders>
          <w:bottom w:val="single" w:sz="12" w:space="0" w:color="9BA4BB" w:themeColor="text1" w:themeTint="80"/>
        </w:tcBorders>
      </w:tcPr>
    </w:tblStylePr>
    <w:tblStylePr w:type="lastRow">
      <w:rPr>
        <w:b/>
        <w:color w:val="9BA4BB" w:themeColor="text1" w:themeTint="80" w:themeShade="95"/>
      </w:rPr>
    </w:tblStylePr>
    <w:tblStylePr w:type="firstCol">
      <w:rPr>
        <w:b/>
        <w:color w:val="9BA4BB" w:themeColor="text1" w:themeTint="80" w:themeShade="95"/>
      </w:rPr>
    </w:tblStylePr>
    <w:tblStylePr w:type="lastCol">
      <w:rPr>
        <w:b/>
        <w:color w:val="9BA4BB" w:themeColor="text1" w:themeTint="80" w:themeShade="95"/>
      </w:rPr>
    </w:tblStylePr>
    <w:tblStylePr w:type="band1Vert">
      <w:tblPr/>
      <w:tcPr>
        <w:shd w:val="clear" w:color="D6D9E3" w:themeColor="text1" w:themeTint="34" w:fill="D6D9E3" w:themeFill="text1" w:themeFillTint="34"/>
      </w:tcPr>
    </w:tblStylePr>
    <w:tblStylePr w:type="band1Horz">
      <w:rPr>
        <w:rFonts w:ascii="Arial" w:hAnsi="Arial"/>
        <w:color w:val="9BA4BB" w:themeColor="text1" w:themeTint="80" w:themeShade="95"/>
        <w:sz w:val="22"/>
      </w:rPr>
      <w:tblPr/>
      <w:tcPr>
        <w:shd w:val="clear" w:color="D6D9E3" w:themeColor="text1" w:themeTint="34" w:fill="D6D9E3" w:themeFill="text1" w:themeFillTint="34"/>
      </w:tcPr>
    </w:tblStylePr>
    <w:tblStylePr w:type="band2Horz">
      <w:rPr>
        <w:rFonts w:ascii="Arial" w:hAnsi="Arial"/>
        <w:color w:val="9BA4BB" w:themeColor="text1" w:themeTint="80" w:themeShade="95"/>
        <w:sz w:val="22"/>
      </w:rPr>
    </w:tblStylePr>
  </w:style>
  <w:style w:type="table" w:styleId="GridTable7Colorful">
    <w:name w:val="Grid Table 7 Colorful"/>
    <w:basedOn w:val="TableNormal"/>
    <w:uiPriority w:val="99"/>
    <w:pPr>
      <w:spacing w:after="0" w:line="240" w:lineRule="auto"/>
    </w:pPr>
    <w:tblPr>
      <w:tblStyleRowBandSize w:val="1"/>
      <w:tblStyleColBandSize w:val="1"/>
      <w:tblBorders>
        <w:bottom w:val="single" w:sz="4" w:space="0" w:color="9BA4BB" w:themeColor="text1" w:themeTint="80"/>
        <w:right w:val="single" w:sz="4" w:space="0" w:color="9BA4BB" w:themeColor="text1" w:themeTint="80"/>
        <w:insideH w:val="single" w:sz="4" w:space="0" w:color="9BA4BB" w:themeColor="text1" w:themeTint="80"/>
        <w:insideV w:val="single" w:sz="4" w:space="0" w:color="9BA4BB" w:themeColor="text1" w:themeTint="80"/>
      </w:tblBorders>
    </w:tblPr>
    <w:tblStylePr w:type="firstRow">
      <w:rPr>
        <w:rFonts w:ascii="Arial" w:hAnsi="Arial"/>
        <w:b/>
        <w:color w:val="9BA4BB" w:themeColor="text1" w:themeTint="80" w:themeShade="95"/>
        <w:sz w:val="22"/>
      </w:rPr>
      <w:tblPr/>
      <w:tcPr>
        <w:tcBorders>
          <w:top w:val="none" w:sz="0" w:space="0" w:color="000000"/>
          <w:left w:val="none" w:sz="0" w:space="0" w:color="000000"/>
          <w:bottom w:val="single" w:sz="4" w:space="0" w:color="9BA4BB" w:themeColor="text1" w:themeTint="80"/>
          <w:right w:val="none" w:sz="0" w:space="0" w:color="000000"/>
        </w:tcBorders>
        <w:shd w:val="clear" w:color="FFFFFF" w:themeColor="light1" w:fill="FFFFFF" w:themeFill="light1"/>
      </w:tcPr>
    </w:tblStylePr>
    <w:tblStylePr w:type="lastRow">
      <w:rPr>
        <w:rFonts w:ascii="Arial" w:hAnsi="Arial"/>
        <w:b/>
        <w:color w:val="9BA4BB" w:themeColor="text1" w:themeTint="80" w:themeShade="95"/>
        <w:sz w:val="22"/>
      </w:rPr>
      <w:tblPr/>
      <w:tcPr>
        <w:tcBorders>
          <w:top w:val="single" w:sz="4" w:space="0" w:color="9BA4BB"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9BA4BB" w:themeColor="text1" w:themeTint="80" w:themeShade="95"/>
        <w:sz w:val="22"/>
      </w:rPr>
      <w:tblPr/>
      <w:tcPr>
        <w:tcBorders>
          <w:top w:val="none" w:sz="0" w:space="0" w:color="000000"/>
          <w:left w:val="none" w:sz="0" w:space="0" w:color="000000"/>
          <w:bottom w:val="none" w:sz="0" w:space="0" w:color="000000"/>
          <w:right w:val="single" w:sz="4" w:space="0" w:color="9BA4BB" w:themeColor="text1" w:themeTint="80"/>
        </w:tcBorders>
        <w:shd w:val="clear" w:color="FFFFFF" w:fill="auto"/>
      </w:tcPr>
    </w:tblStylePr>
    <w:tblStylePr w:type="lastCol">
      <w:rPr>
        <w:rFonts w:ascii="Arial" w:hAnsi="Arial"/>
        <w:i/>
        <w:color w:val="9BA4BB" w:themeColor="text1" w:themeTint="80" w:themeShade="95"/>
        <w:sz w:val="22"/>
      </w:rPr>
      <w:tblPr/>
      <w:tcPr>
        <w:tcBorders>
          <w:top w:val="none" w:sz="0" w:space="0" w:color="000000"/>
          <w:left w:val="single" w:sz="4" w:space="0" w:color="9BA4BB" w:themeColor="text1" w:themeTint="80"/>
          <w:bottom w:val="none" w:sz="0" w:space="0" w:color="000000"/>
          <w:right w:val="none" w:sz="0" w:space="0" w:color="000000"/>
        </w:tcBorders>
        <w:shd w:val="clear" w:color="FFFFFF" w:fill="auto"/>
      </w:tcPr>
    </w:tblStylePr>
    <w:tblStylePr w:type="band1Vert">
      <w:tblPr/>
      <w:tcPr>
        <w:shd w:val="clear" w:color="F4F5F8" w:themeColor="text1" w:themeTint="0D" w:fill="F4F5F8" w:themeFill="text1" w:themeFillTint="0D"/>
      </w:tcPr>
    </w:tblStylePr>
    <w:tblStylePr w:type="band1Horz">
      <w:rPr>
        <w:rFonts w:ascii="Arial" w:hAnsi="Arial"/>
        <w:color w:val="9BA4BB" w:themeColor="text1" w:themeTint="80" w:themeShade="95"/>
        <w:sz w:val="22"/>
      </w:rPr>
      <w:tblPr/>
      <w:tcPr>
        <w:shd w:val="clear" w:color="F4F5F8" w:themeColor="text1" w:themeTint="0D" w:fill="F4F5F8" w:themeFill="text1" w:themeFillTint="0D"/>
      </w:tcPr>
    </w:tblStylePr>
    <w:tblStylePr w:type="band2Horz">
      <w:rPr>
        <w:rFonts w:ascii="Arial" w:hAnsi="Arial"/>
        <w:color w:val="9BA4BB" w:themeColor="text1" w:themeTint="80" w:themeShade="95"/>
        <w:sz w:val="22"/>
      </w:rPr>
    </w:tblStylePr>
  </w:style>
  <w:style w:type="table" w:styleId="ListTable1Light">
    <w:name w:val="List Table 1 Light"/>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8516A" w:themeColor="text1"/>
          <w:right w:val="none" w:sz="4" w:space="0" w:color="000000"/>
        </w:tcBorders>
      </w:tcPr>
    </w:tblStylePr>
    <w:tblStylePr w:type="lastRow">
      <w:rPr>
        <w:b/>
        <w:color w:val="404040"/>
      </w:rPr>
      <w:tblPr/>
      <w:tcPr>
        <w:tcBorders>
          <w:top w:val="single" w:sz="4" w:space="0" w:color="48516A"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DD1DD" w:themeColor="text1" w:themeTint="40" w:fill="CDD1DD" w:themeFill="text1" w:themeFillTint="40"/>
      </w:tcPr>
    </w:tblStylePr>
    <w:tblStylePr w:type="band1Horz">
      <w:tblPr/>
      <w:tcPr>
        <w:shd w:val="clear" w:color="CDD1DD" w:themeColor="text1" w:themeTint="40" w:fill="CDD1DD" w:themeFill="text1" w:themeFillTint="40"/>
      </w:tcPr>
    </w:tblStylePr>
  </w:style>
  <w:style w:type="table" w:styleId="ListTable2">
    <w:name w:val="List Table 2"/>
    <w:basedOn w:val="TableNormal"/>
    <w:uiPriority w:val="99"/>
    <w:pPr>
      <w:spacing w:after="0" w:line="240" w:lineRule="auto"/>
    </w:pPr>
    <w:tblPr>
      <w:tblStyleRowBandSize w:val="1"/>
      <w:tblStyleColBandSize w:val="1"/>
      <w:tblBorders>
        <w:top w:val="single" w:sz="4" w:space="0" w:color="8F98B3" w:themeColor="text1" w:themeTint="90"/>
        <w:bottom w:val="single" w:sz="4" w:space="0" w:color="8F98B3" w:themeColor="text1" w:themeTint="90"/>
        <w:insideH w:val="single" w:sz="4" w:space="0" w:color="8F98B3" w:themeColor="text1" w:themeTint="90"/>
      </w:tblBorders>
    </w:tblPr>
    <w:tblStylePr w:type="firstRow">
      <w:rPr>
        <w:rFonts w:ascii="Arial" w:hAnsi="Arial"/>
        <w:b/>
        <w:color w:val="404040"/>
        <w:sz w:val="22"/>
      </w:rPr>
      <w:tblPr/>
      <w:tcPr>
        <w:tcBorders>
          <w:top w:val="single" w:sz="4" w:space="0" w:color="8F98B3" w:themeColor="text1" w:themeTint="90"/>
          <w:left w:val="none" w:sz="4" w:space="0" w:color="000000"/>
          <w:bottom w:val="single" w:sz="4" w:space="0" w:color="8F98B3" w:themeColor="text1" w:themeTint="90"/>
          <w:right w:val="none" w:sz="4" w:space="0" w:color="000000"/>
        </w:tcBorders>
      </w:tcPr>
    </w:tblStylePr>
    <w:tblStylePr w:type="lastRow">
      <w:rPr>
        <w:rFonts w:ascii="Arial" w:hAnsi="Arial"/>
        <w:b/>
        <w:color w:val="404040"/>
        <w:sz w:val="22"/>
      </w:rPr>
      <w:tblPr/>
      <w:tcPr>
        <w:tcBorders>
          <w:top w:val="single" w:sz="4" w:space="0" w:color="8F98B3" w:themeColor="text1" w:themeTint="90"/>
          <w:left w:val="none" w:sz="4" w:space="0" w:color="000000"/>
          <w:bottom w:val="single" w:sz="4" w:space="0" w:color="8F98B3"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DD1DD" w:themeColor="text1" w:themeTint="40" w:fill="CDD1DD" w:themeFill="text1" w:themeFillTint="40"/>
      </w:tcPr>
    </w:tblStylePr>
    <w:tblStylePr w:type="band1Horz">
      <w:rPr>
        <w:rFonts w:ascii="Arial" w:hAnsi="Arial"/>
        <w:color w:val="404040"/>
        <w:sz w:val="22"/>
      </w:rPr>
      <w:tblPr/>
      <w:tcPr>
        <w:shd w:val="clear" w:color="CDD1DD" w:themeColor="text1" w:themeTint="40" w:fill="CDD1DD" w:themeFill="text1" w:themeFillTint="40"/>
      </w:tcPr>
    </w:tblStylePr>
  </w:style>
  <w:style w:type="table" w:styleId="ListTable4">
    <w:name w:val="List Table 4"/>
    <w:basedOn w:val="TableNormal"/>
    <w:uiPriority w:val="99"/>
    <w:pPr>
      <w:spacing w:after="0" w:line="240" w:lineRule="auto"/>
    </w:pPr>
    <w:tblPr>
      <w:tblStyleRowBandSize w:val="1"/>
      <w:tblStyleColBandSize w:val="1"/>
      <w:tblBorders>
        <w:top w:val="single" w:sz="4" w:space="0" w:color="48516A" w:themeColor="text1"/>
        <w:left w:val="single" w:sz="4" w:space="0" w:color="48516A" w:themeColor="text1"/>
        <w:bottom w:val="single" w:sz="4" w:space="0" w:color="48516A" w:themeColor="text1"/>
        <w:right w:val="single" w:sz="4" w:space="0" w:color="48516A" w:themeColor="text1"/>
        <w:insideH w:val="single" w:sz="4" w:space="0" w:color="48516A" w:themeColor="text1"/>
      </w:tblBorders>
    </w:tblPr>
    <w:tblStylePr w:type="firstRow">
      <w:rPr>
        <w:rFonts w:ascii="Arial" w:hAnsi="Arial"/>
        <w:b/>
        <w:color w:val="FFFFFF"/>
        <w:sz w:val="22"/>
      </w:rPr>
      <w:tblPr/>
      <w:tcPr>
        <w:shd w:val="clear" w:color="48516A" w:themeColor="text1" w:fill="48516A"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DD1DD" w:themeColor="text1" w:themeTint="40" w:fill="CDD1DD" w:themeFill="text1" w:themeFillTint="40"/>
      </w:tcPr>
    </w:tblStylePr>
    <w:tblStylePr w:type="band1Horz">
      <w:rPr>
        <w:rFonts w:ascii="Arial" w:hAnsi="Arial"/>
        <w:color w:val="404040"/>
        <w:sz w:val="22"/>
      </w:rPr>
      <w:tblPr/>
      <w:tcPr>
        <w:shd w:val="clear" w:color="CDD1DD" w:themeColor="text1" w:themeTint="40" w:fill="CDD1DD" w:themeFill="text1" w:themeFillTint="40"/>
      </w:tcPr>
    </w:tblStylePr>
  </w:style>
  <w:style w:type="table" w:styleId="ListTable5Dark">
    <w:name w:val="List Table 5 Dark"/>
    <w:basedOn w:val="TableNormal"/>
    <w:uiPriority w:val="99"/>
    <w:pPr>
      <w:spacing w:after="0" w:line="240" w:lineRule="auto"/>
    </w:pPr>
    <w:tblPr>
      <w:tblStyleRowBandSize w:val="1"/>
      <w:tblStyleColBandSize w:val="1"/>
      <w:tblBorders>
        <w:top w:val="single" w:sz="32" w:space="0" w:color="9BA4BB" w:themeColor="text1" w:themeTint="80"/>
        <w:left w:val="single" w:sz="32" w:space="0" w:color="9BA4BB" w:themeColor="text1" w:themeTint="80"/>
        <w:bottom w:val="single" w:sz="32" w:space="0" w:color="9BA4BB" w:themeColor="text1" w:themeTint="80"/>
        <w:right w:val="single" w:sz="32" w:space="0" w:color="9BA4BB" w:themeColor="text1" w:themeTint="80"/>
      </w:tblBorders>
      <w:shd w:val="clear" w:color="9BA4BB" w:themeColor="text1" w:themeTint="80" w:fill="9BA4BB" w:themeFill="text1" w:themeFillTint="80"/>
    </w:tblPr>
    <w:tblStylePr w:type="firstRow">
      <w:rPr>
        <w:rFonts w:ascii="Arial" w:hAnsi="Arial"/>
        <w:b/>
        <w:color w:val="FFFFFF" w:themeColor="light1"/>
        <w:sz w:val="22"/>
      </w:rPr>
      <w:tblPr/>
      <w:tcPr>
        <w:tcBorders>
          <w:top w:val="single" w:sz="32" w:space="0" w:color="9BA4BB" w:themeColor="text1" w:themeTint="80"/>
          <w:bottom w:val="single" w:sz="12" w:space="0" w:color="FFFFFF" w:themeColor="light1"/>
        </w:tcBorders>
        <w:shd w:val="clear" w:color="9BA4BB" w:themeColor="text1" w:themeTint="80" w:fill="9BA4BB"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A4BB" w:themeColor="text1" w:themeTint="80"/>
          <w:right w:val="single" w:sz="4" w:space="0" w:color="FFFFFF" w:themeColor="light1"/>
        </w:tcBorders>
      </w:tcPr>
    </w:tblStylePr>
    <w:tblStylePr w:type="lastCol">
      <w:tblPr/>
      <w:tcPr>
        <w:tcBorders>
          <w:left w:val="single" w:sz="4" w:space="0" w:color="FFFFFF" w:themeColor="light1"/>
          <w:right w:val="single" w:sz="32" w:space="0" w:color="9BA4BB" w:themeColor="text1" w:themeTint="80"/>
        </w:tcBorders>
      </w:tcPr>
    </w:tblStylePr>
    <w:tblStylePr w:type="band1Vert">
      <w:tblPr/>
      <w:tcPr>
        <w:tcBorders>
          <w:left w:val="single" w:sz="4" w:space="0" w:color="FFFFFF" w:themeColor="light1"/>
          <w:right w:val="single" w:sz="4" w:space="0" w:color="FFFFFF" w:themeColor="light1"/>
        </w:tcBorders>
        <w:shd w:val="clear" w:color="9BA4BB" w:themeColor="text1" w:themeTint="80" w:fill="9BA4BB"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BA4BB" w:themeColor="text1" w:themeTint="80" w:fill="9BA4BB" w:themeFill="text1" w:themeFillTint="80"/>
      </w:tcPr>
    </w:tblStylePr>
    <w:tblStylePr w:type="band2Horz">
      <w:tblPr/>
      <w:tcPr>
        <w:tcBorders>
          <w:top w:val="single" w:sz="4" w:space="0" w:color="FFFFFF" w:themeColor="light1"/>
          <w:bottom w:val="single" w:sz="4" w:space="0" w:color="FFFFFF" w:themeColor="light1"/>
        </w:tcBorders>
        <w:shd w:val="clear" w:color="9BA4BB" w:themeColor="text1" w:themeTint="80" w:fill="9BA4BB" w:themeFill="text1" w:themeFillTint="80"/>
      </w:tcPr>
    </w:tblStylePr>
  </w:style>
  <w:style w:type="table" w:styleId="ListTable6Colorful">
    <w:name w:val="List Table 6 Colorful"/>
    <w:basedOn w:val="TableNormal"/>
    <w:uiPriority w:val="99"/>
    <w:pPr>
      <w:spacing w:after="0" w:line="240" w:lineRule="auto"/>
    </w:pPr>
    <w:tblPr>
      <w:tblStyleRowBandSize w:val="1"/>
      <w:tblStyleColBandSize w:val="1"/>
      <w:tblBorders>
        <w:top w:val="single" w:sz="4" w:space="0" w:color="9BA4BB" w:themeColor="text1" w:themeTint="80"/>
        <w:bottom w:val="single" w:sz="4" w:space="0" w:color="9BA4BB" w:themeColor="text1" w:themeTint="80"/>
      </w:tblBorders>
    </w:tblPr>
    <w:tblStylePr w:type="firstRow">
      <w:rPr>
        <w:b/>
        <w:color w:val="48516A" w:themeColor="text1"/>
      </w:rPr>
      <w:tblPr/>
      <w:tcPr>
        <w:tcBorders>
          <w:bottom w:val="single" w:sz="4" w:space="0" w:color="9BA4BB" w:themeColor="text1" w:themeTint="80"/>
        </w:tcBorders>
      </w:tcPr>
    </w:tblStylePr>
    <w:tblStylePr w:type="lastRow">
      <w:rPr>
        <w:b/>
        <w:color w:val="48516A" w:themeColor="text1"/>
      </w:rPr>
      <w:tblPr/>
      <w:tcPr>
        <w:tcBorders>
          <w:top w:val="single" w:sz="4" w:space="0" w:color="9BA4BB" w:themeColor="text1" w:themeTint="80"/>
        </w:tcBorders>
      </w:tcPr>
    </w:tblStylePr>
    <w:tblStylePr w:type="firstCol">
      <w:rPr>
        <w:b/>
        <w:color w:val="48516A" w:themeColor="text1"/>
      </w:rPr>
    </w:tblStylePr>
    <w:tblStylePr w:type="lastCol">
      <w:rPr>
        <w:b/>
        <w:color w:val="48516A" w:themeColor="text1"/>
      </w:rPr>
    </w:tblStylePr>
    <w:tblStylePr w:type="band1Vert">
      <w:tblPr/>
      <w:tcPr>
        <w:shd w:val="clear" w:color="CDD1DD" w:themeColor="text1" w:themeTint="40" w:fill="CDD1DD" w:themeFill="text1" w:themeFillTint="40"/>
      </w:tcPr>
    </w:tblStylePr>
    <w:tblStylePr w:type="band1Horz">
      <w:rPr>
        <w:rFonts w:ascii="Arial" w:hAnsi="Arial"/>
        <w:color w:val="48516A" w:themeColor="text1"/>
        <w:sz w:val="22"/>
      </w:rPr>
      <w:tblPr/>
      <w:tcPr>
        <w:shd w:val="clear" w:color="CDD1DD" w:themeColor="text1" w:themeTint="40" w:fill="CDD1DD" w:themeFill="text1" w:themeFillTint="40"/>
      </w:tcPr>
    </w:tblStylePr>
    <w:tblStylePr w:type="band2Horz">
      <w:rPr>
        <w:rFonts w:ascii="Arial" w:hAnsi="Arial"/>
        <w:color w:val="48516A" w:themeColor="text1"/>
        <w:sz w:val="22"/>
      </w:rPr>
    </w:tblStylePr>
  </w:style>
  <w:style w:type="table" w:styleId="ListTable7Colorful">
    <w:name w:val="List Table 7 Colorful"/>
    <w:basedOn w:val="TableNormal"/>
    <w:uiPriority w:val="99"/>
    <w:pPr>
      <w:spacing w:after="0" w:line="240" w:lineRule="auto"/>
    </w:pPr>
    <w:tblPr>
      <w:tblStyleRowBandSize w:val="1"/>
      <w:tblStyleColBandSize w:val="1"/>
      <w:tblBorders>
        <w:right w:val="single" w:sz="4" w:space="0" w:color="9BA4BB" w:themeColor="text1" w:themeTint="80"/>
      </w:tblBorders>
    </w:tblPr>
    <w:tblStylePr w:type="firstRow">
      <w:rPr>
        <w:rFonts w:ascii="Arial" w:hAnsi="Arial"/>
        <w:i/>
        <w:color w:val="9BA4BB" w:themeColor="text1" w:themeTint="80" w:themeShade="95"/>
        <w:sz w:val="22"/>
      </w:rPr>
      <w:tblPr/>
      <w:tcPr>
        <w:tcBorders>
          <w:top w:val="none" w:sz="0" w:space="0" w:color="000000"/>
          <w:left w:val="none" w:sz="0" w:space="0" w:color="000000"/>
          <w:bottom w:val="single" w:sz="4" w:space="0" w:color="9BA4BB" w:themeColor="text1" w:themeTint="80"/>
          <w:right w:val="none" w:sz="0" w:space="0" w:color="000000"/>
        </w:tcBorders>
        <w:shd w:val="clear" w:color="FFFFFF" w:themeColor="light1" w:fill="FFFFFF" w:themeFill="light1"/>
      </w:tcPr>
    </w:tblStylePr>
    <w:tblStylePr w:type="lastRow">
      <w:rPr>
        <w:rFonts w:ascii="Arial" w:hAnsi="Arial"/>
        <w:i/>
        <w:color w:val="9BA4BB" w:themeColor="text1" w:themeTint="80" w:themeShade="95"/>
        <w:sz w:val="22"/>
      </w:rPr>
      <w:tblPr/>
      <w:tcPr>
        <w:tcBorders>
          <w:top w:val="single" w:sz="4" w:space="0" w:color="9BA4BB"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9BA4BB" w:themeColor="text1" w:themeTint="80" w:themeShade="95"/>
        <w:sz w:val="22"/>
      </w:rPr>
      <w:tblPr/>
      <w:tcPr>
        <w:tcBorders>
          <w:top w:val="none" w:sz="0" w:space="0" w:color="000000"/>
          <w:left w:val="none" w:sz="0" w:space="0" w:color="000000"/>
          <w:bottom w:val="none" w:sz="0" w:space="0" w:color="000000"/>
          <w:right w:val="single" w:sz="4" w:space="0" w:color="9BA4BB" w:themeColor="text1" w:themeTint="80"/>
        </w:tcBorders>
        <w:shd w:val="clear" w:color="FFFFFF" w:fill="auto"/>
      </w:tcPr>
    </w:tblStylePr>
    <w:tblStylePr w:type="lastCol">
      <w:rPr>
        <w:rFonts w:ascii="Arial" w:hAnsi="Arial"/>
        <w:i/>
        <w:color w:val="9BA4BB" w:themeColor="text1" w:themeTint="80" w:themeShade="95"/>
        <w:sz w:val="22"/>
      </w:rPr>
      <w:tblPr/>
      <w:tcPr>
        <w:tcBorders>
          <w:top w:val="none" w:sz="0" w:space="0" w:color="000000"/>
          <w:left w:val="single" w:sz="4" w:space="0" w:color="9BA4BB" w:themeColor="text1" w:themeTint="80"/>
          <w:bottom w:val="none" w:sz="0" w:space="0" w:color="000000"/>
          <w:right w:val="none" w:sz="0" w:space="0" w:color="000000"/>
        </w:tcBorders>
        <w:shd w:val="clear" w:color="FFFFFF" w:fill="auto"/>
      </w:tcPr>
    </w:tblStylePr>
    <w:tblStylePr w:type="band1Vert">
      <w:tblPr/>
      <w:tcPr>
        <w:shd w:val="clear" w:color="CDD1DD" w:themeColor="text1" w:themeTint="40" w:fill="CDD1DD" w:themeFill="text1" w:themeFillTint="40"/>
      </w:tcPr>
    </w:tblStylePr>
    <w:tblStylePr w:type="band1Horz">
      <w:rPr>
        <w:rFonts w:ascii="Arial" w:hAnsi="Arial"/>
        <w:color w:val="9BA4BB" w:themeColor="text1" w:themeTint="80" w:themeShade="95"/>
        <w:sz w:val="22"/>
      </w:rPr>
      <w:tblPr/>
      <w:tcPr>
        <w:shd w:val="clear" w:color="CDD1DD" w:themeColor="text1" w:themeTint="40" w:fill="CDD1DD" w:themeFill="text1" w:themeFillTint="40"/>
      </w:tcPr>
    </w:tblStylePr>
    <w:tblStylePr w:type="band2Horz">
      <w:rPr>
        <w:rFonts w:ascii="Arial" w:hAnsi="Arial"/>
        <w:color w:val="9BA4BB" w:themeColor="text1" w:themeTint="80" w:themeShade="95"/>
        <w:sz w:val="22"/>
      </w:rPr>
    </w:tblStylePr>
  </w:style>
  <w:style w:type="table" w:customStyle="1" w:styleId="Lined-Accent">
    <w:name w:val="Lined - Accent"/>
    <w:basedOn w:val="TableNormal"/>
    <w:uiPriority w:val="99"/>
    <w:pPr>
      <w:spacing w:after="0" w:line="240" w:lineRule="auto"/>
    </w:pPr>
    <w:rPr>
      <w:color w:val="404040"/>
      <w:sz w:val="20"/>
      <w:szCs w:val="20"/>
      <w:lang w:eastAsia="en-IE"/>
    </w:rPr>
    <w:tblPr>
      <w:tblStyleRowBandSize w:val="1"/>
      <w:tblStyleColBandSize w:val="1"/>
    </w:tblPr>
    <w:tblStylePr w:type="firstRow">
      <w:rPr>
        <w:rFonts w:ascii="Arial" w:hAnsi="Arial"/>
        <w:color w:val="F2F2F2"/>
        <w:sz w:val="22"/>
      </w:rPr>
      <w:tblPr/>
      <w:tcPr>
        <w:shd w:val="clear" w:color="9BA4BB" w:themeColor="text1" w:themeTint="80" w:fill="9BA4BB" w:themeFill="text1" w:themeFillTint="80"/>
      </w:tcPr>
    </w:tblStylePr>
    <w:tblStylePr w:type="lastRow">
      <w:rPr>
        <w:rFonts w:ascii="Arial" w:hAnsi="Arial"/>
        <w:color w:val="F2F2F2"/>
        <w:sz w:val="22"/>
      </w:rPr>
      <w:tblPr/>
      <w:tcPr>
        <w:shd w:val="clear" w:color="9BA4BB" w:themeColor="text1" w:themeTint="80" w:fill="9BA4BB" w:themeFill="text1" w:themeFillTint="80"/>
      </w:tcPr>
    </w:tblStylePr>
    <w:tblStylePr w:type="firstCol">
      <w:rPr>
        <w:rFonts w:ascii="Arial" w:hAnsi="Arial"/>
        <w:color w:val="F2F2F2"/>
        <w:sz w:val="22"/>
      </w:rPr>
      <w:tblPr/>
      <w:tcPr>
        <w:shd w:val="clear" w:color="9BA4BB" w:themeColor="text1" w:themeTint="80" w:fill="9BA4BB" w:themeFill="text1" w:themeFillTint="80"/>
      </w:tcPr>
    </w:tblStylePr>
    <w:tblStylePr w:type="lastCol">
      <w:rPr>
        <w:rFonts w:ascii="Arial" w:hAnsi="Arial"/>
        <w:color w:val="F2F2F2"/>
        <w:sz w:val="22"/>
      </w:rPr>
      <w:tblPr/>
      <w:tcPr>
        <w:shd w:val="clear" w:color="9BA4BB" w:themeColor="text1" w:themeTint="80" w:fill="9BA4BB"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4F5F8" w:themeColor="text1" w:themeTint="0D" w:fill="F4F5F8"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4F5F8" w:themeColor="text1" w:themeTint="0D" w:fill="F4F5F8" w:themeFill="text1" w:themeFillTint="0D"/>
      </w:tcPr>
    </w:tblStylePr>
  </w:style>
  <w:style w:type="table" w:customStyle="1" w:styleId="Lined-Accent1">
    <w:name w:val="Lined - Accent 1"/>
    <w:basedOn w:val="TableNormal"/>
    <w:uiPriority w:val="99"/>
    <w:pPr>
      <w:spacing w:after="0" w:line="240" w:lineRule="auto"/>
    </w:pPr>
    <w:rPr>
      <w:color w:val="404040"/>
      <w:sz w:val="20"/>
      <w:szCs w:val="20"/>
      <w:lang w:eastAsia="en-IE"/>
    </w:rPr>
    <w:tblPr>
      <w:tblStyleRowBandSize w:val="1"/>
      <w:tblStyleColBandSize w:val="1"/>
    </w:tblPr>
    <w:tblStylePr w:type="firstRow">
      <w:rPr>
        <w:rFonts w:ascii="Arial" w:hAnsi="Arial"/>
        <w:color w:val="F2F2F2"/>
        <w:sz w:val="22"/>
      </w:rPr>
      <w:tblPr/>
      <w:tcPr>
        <w:shd w:val="clear" w:color="00C75A" w:themeColor="accent1" w:themeTint="EA" w:fill="00C75A" w:themeFill="accent1" w:themeFillTint="EA"/>
      </w:tcPr>
    </w:tblStylePr>
    <w:tblStylePr w:type="lastRow">
      <w:rPr>
        <w:rFonts w:ascii="Arial" w:hAnsi="Arial"/>
        <w:color w:val="F2F2F2"/>
        <w:sz w:val="22"/>
      </w:rPr>
      <w:tblPr/>
      <w:tcPr>
        <w:shd w:val="clear" w:color="00C75A" w:themeColor="accent1" w:themeTint="EA" w:fill="00C75A" w:themeFill="accent1" w:themeFillTint="EA"/>
      </w:tcPr>
    </w:tblStylePr>
    <w:tblStylePr w:type="firstCol">
      <w:rPr>
        <w:rFonts w:ascii="Arial" w:hAnsi="Arial"/>
        <w:color w:val="F2F2F2"/>
        <w:sz w:val="22"/>
      </w:rPr>
      <w:tblPr/>
      <w:tcPr>
        <w:shd w:val="clear" w:color="00C75A" w:themeColor="accent1" w:themeTint="EA" w:fill="00C75A" w:themeFill="accent1" w:themeFillTint="EA"/>
      </w:tcPr>
    </w:tblStylePr>
    <w:tblStylePr w:type="lastCol">
      <w:rPr>
        <w:rFonts w:ascii="Arial" w:hAnsi="Arial"/>
        <w:color w:val="F2F2F2"/>
        <w:sz w:val="22"/>
      </w:rPr>
      <w:tblPr/>
      <w:tcPr>
        <w:shd w:val="clear" w:color="00C75A" w:themeColor="accent1" w:themeTint="EA" w:fill="00C75A"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94FFC4" w:themeColor="accent1" w:themeTint="50" w:fill="94FFC4"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94FFC4" w:themeColor="accent1" w:themeTint="50" w:fill="94FFC4" w:themeFill="accent1" w:themeFillTint="50"/>
      </w:tcPr>
    </w:tblStylePr>
  </w:style>
  <w:style w:type="table" w:customStyle="1" w:styleId="Lined-Accent2">
    <w:name w:val="Lined - Accent 2"/>
    <w:basedOn w:val="TableNormal"/>
    <w:uiPriority w:val="99"/>
    <w:pPr>
      <w:spacing w:after="0" w:line="240" w:lineRule="auto"/>
    </w:pPr>
    <w:rPr>
      <w:color w:val="404040"/>
      <w:sz w:val="20"/>
      <w:szCs w:val="20"/>
      <w:lang w:eastAsia="en-IE"/>
    </w:rPr>
    <w:tblPr>
      <w:tblStyleRowBandSize w:val="1"/>
      <w:tblStyleColBandSize w:val="1"/>
    </w:tblPr>
    <w:tblStylePr w:type="firstRow">
      <w:rPr>
        <w:rFonts w:ascii="Arial" w:hAnsi="Arial"/>
        <w:color w:val="F2F2F2"/>
        <w:sz w:val="22"/>
      </w:rPr>
      <w:tblPr/>
      <w:tcPr>
        <w:shd w:val="clear" w:color="2BFFE9" w:themeColor="accent2" w:themeTint="97" w:fill="2BFFE9" w:themeFill="accent2" w:themeFillTint="97"/>
      </w:tcPr>
    </w:tblStylePr>
    <w:tblStylePr w:type="lastRow">
      <w:rPr>
        <w:rFonts w:ascii="Arial" w:hAnsi="Arial"/>
        <w:color w:val="F2F2F2"/>
        <w:sz w:val="22"/>
      </w:rPr>
      <w:tblPr/>
      <w:tcPr>
        <w:shd w:val="clear" w:color="2BFFE9" w:themeColor="accent2" w:themeTint="97" w:fill="2BFFE9" w:themeFill="accent2" w:themeFillTint="97"/>
      </w:tcPr>
    </w:tblStylePr>
    <w:tblStylePr w:type="firstCol">
      <w:rPr>
        <w:rFonts w:ascii="Arial" w:hAnsi="Arial"/>
        <w:color w:val="F2F2F2"/>
        <w:sz w:val="22"/>
      </w:rPr>
      <w:tblPr/>
      <w:tcPr>
        <w:shd w:val="clear" w:color="2BFFE9" w:themeColor="accent2" w:themeTint="97" w:fill="2BFFE9" w:themeFill="accent2" w:themeFillTint="97"/>
      </w:tcPr>
    </w:tblStylePr>
    <w:tblStylePr w:type="lastCol">
      <w:rPr>
        <w:rFonts w:ascii="Arial" w:hAnsi="Arial"/>
        <w:color w:val="F2F2F2"/>
        <w:sz w:val="22"/>
      </w:rPr>
      <w:tblPr/>
      <w:tcPr>
        <w:shd w:val="clear" w:color="2BFFE9" w:themeColor="accent2" w:themeTint="97" w:fill="2BFFE9"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B8FFF7" w:themeColor="accent2" w:themeTint="32" w:fill="B8FFF7"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B8FFF7" w:themeColor="accent2" w:themeTint="32" w:fill="B8FFF7" w:themeFill="accent2" w:themeFillTint="32"/>
      </w:tcPr>
    </w:tblStylePr>
  </w:style>
  <w:style w:type="table" w:customStyle="1" w:styleId="Lined-Accent3">
    <w:name w:val="Lined - Accent 3"/>
    <w:basedOn w:val="TableNormal"/>
    <w:uiPriority w:val="99"/>
    <w:pPr>
      <w:spacing w:after="0" w:line="240" w:lineRule="auto"/>
    </w:pPr>
    <w:rPr>
      <w:color w:val="404040"/>
      <w:sz w:val="20"/>
      <w:szCs w:val="20"/>
      <w:lang w:eastAsia="en-IE"/>
    </w:rPr>
    <w:tblPr>
      <w:tblStyleRowBandSize w:val="1"/>
      <w:tblStyleColBandSize w:val="1"/>
    </w:tblPr>
    <w:tblStylePr w:type="firstRow">
      <w:rPr>
        <w:rFonts w:ascii="Arial" w:hAnsi="Arial"/>
        <w:color w:val="F2F2F2"/>
        <w:sz w:val="22"/>
      </w:rPr>
      <w:tblPr/>
      <w:tcPr>
        <w:shd w:val="clear" w:color="283A97" w:themeColor="accent3" w:themeTint="FE" w:fill="283A97" w:themeFill="accent3" w:themeFillTint="FE"/>
      </w:tcPr>
    </w:tblStylePr>
    <w:tblStylePr w:type="lastRow">
      <w:rPr>
        <w:rFonts w:ascii="Arial" w:hAnsi="Arial"/>
        <w:color w:val="F2F2F2"/>
        <w:sz w:val="22"/>
      </w:rPr>
      <w:tblPr/>
      <w:tcPr>
        <w:shd w:val="clear" w:color="283A97" w:themeColor="accent3" w:themeTint="FE" w:fill="283A97" w:themeFill="accent3" w:themeFillTint="FE"/>
      </w:tcPr>
    </w:tblStylePr>
    <w:tblStylePr w:type="firstCol">
      <w:rPr>
        <w:rFonts w:ascii="Arial" w:hAnsi="Arial"/>
        <w:color w:val="F2F2F2"/>
        <w:sz w:val="22"/>
      </w:rPr>
      <w:tblPr/>
      <w:tcPr>
        <w:shd w:val="clear" w:color="283A97" w:themeColor="accent3" w:themeTint="FE" w:fill="283A97" w:themeFill="accent3" w:themeFillTint="FE"/>
      </w:tcPr>
    </w:tblStylePr>
    <w:tblStylePr w:type="lastCol">
      <w:rPr>
        <w:rFonts w:ascii="Arial" w:hAnsi="Arial"/>
        <w:color w:val="F2F2F2"/>
        <w:sz w:val="22"/>
      </w:rPr>
      <w:tblPr/>
      <w:tcPr>
        <w:shd w:val="clear" w:color="283A97" w:themeColor="accent3" w:themeTint="FE" w:fill="283A97"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CBD1F1" w:themeColor="accent3" w:themeTint="34" w:fill="CBD1F1"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CBD1F1" w:themeColor="accent3" w:themeTint="34" w:fill="CBD1F1" w:themeFill="accent3" w:themeFillTint="34"/>
      </w:tcPr>
    </w:tblStylePr>
  </w:style>
  <w:style w:type="table" w:customStyle="1" w:styleId="Lined-Accent4">
    <w:name w:val="Lined - Accent 4"/>
    <w:basedOn w:val="TableNormal"/>
    <w:uiPriority w:val="99"/>
    <w:pPr>
      <w:spacing w:after="0" w:line="240" w:lineRule="auto"/>
    </w:pPr>
    <w:rPr>
      <w:color w:val="404040"/>
      <w:sz w:val="20"/>
      <w:szCs w:val="20"/>
      <w:lang w:eastAsia="en-IE"/>
    </w:rPr>
    <w:tblPr>
      <w:tblStyleRowBandSize w:val="1"/>
      <w:tblStyleColBandSize w:val="1"/>
    </w:tblPr>
    <w:tblStylePr w:type="firstRow">
      <w:rPr>
        <w:rFonts w:ascii="Arial" w:hAnsi="Arial"/>
        <w:color w:val="F2F2F2"/>
        <w:sz w:val="22"/>
      </w:rPr>
      <w:tblPr/>
      <w:tcPr>
        <w:shd w:val="clear" w:color="BDDD8A" w:themeColor="accent4" w:themeTint="9A" w:fill="BDDD8A" w:themeFill="accent4" w:themeFillTint="9A"/>
      </w:tcPr>
    </w:tblStylePr>
    <w:tblStylePr w:type="lastRow">
      <w:rPr>
        <w:rFonts w:ascii="Arial" w:hAnsi="Arial"/>
        <w:color w:val="F2F2F2"/>
        <w:sz w:val="22"/>
      </w:rPr>
      <w:tblPr/>
      <w:tcPr>
        <w:shd w:val="clear" w:color="BDDD8A" w:themeColor="accent4" w:themeTint="9A" w:fill="BDDD8A" w:themeFill="accent4" w:themeFillTint="9A"/>
      </w:tcPr>
    </w:tblStylePr>
    <w:tblStylePr w:type="firstCol">
      <w:rPr>
        <w:rFonts w:ascii="Arial" w:hAnsi="Arial"/>
        <w:color w:val="F2F2F2"/>
        <w:sz w:val="22"/>
      </w:rPr>
      <w:tblPr/>
      <w:tcPr>
        <w:shd w:val="clear" w:color="BDDD8A" w:themeColor="accent4" w:themeTint="9A" w:fill="BDDD8A" w:themeFill="accent4" w:themeFillTint="9A"/>
      </w:tcPr>
    </w:tblStylePr>
    <w:tblStylePr w:type="lastCol">
      <w:rPr>
        <w:rFonts w:ascii="Arial" w:hAnsi="Arial"/>
        <w:color w:val="F2F2F2"/>
        <w:sz w:val="22"/>
      </w:rPr>
      <w:tblPr/>
      <w:tcPr>
        <w:shd w:val="clear" w:color="BDDD8A" w:themeColor="accent4" w:themeTint="9A" w:fill="BDDD8A"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8F3D7" w:themeColor="accent4" w:themeTint="34" w:fill="E8F3D7"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8F3D7" w:themeColor="accent4" w:themeTint="34" w:fill="E8F3D7" w:themeFill="accent4" w:themeFillTint="34"/>
      </w:tcPr>
    </w:tblStylePr>
  </w:style>
  <w:style w:type="table" w:customStyle="1" w:styleId="Lined-Accent5">
    <w:name w:val="Lined - Accent 5"/>
    <w:basedOn w:val="TableNormal"/>
    <w:uiPriority w:val="99"/>
    <w:pPr>
      <w:spacing w:after="0" w:line="240" w:lineRule="auto"/>
    </w:pPr>
    <w:rPr>
      <w:color w:val="404040"/>
      <w:sz w:val="20"/>
      <w:szCs w:val="20"/>
      <w:lang w:eastAsia="en-IE"/>
    </w:rPr>
    <w:tblPr>
      <w:tblStyleRowBandSize w:val="1"/>
      <w:tblStyleColBandSize w:val="1"/>
    </w:tblPr>
    <w:tblStylePr w:type="firstRow">
      <w:rPr>
        <w:rFonts w:ascii="Arial" w:hAnsi="Arial"/>
        <w:color w:val="F2F2F2"/>
        <w:sz w:val="22"/>
      </w:rPr>
      <w:tblPr/>
      <w:tcPr>
        <w:shd w:val="clear" w:color="72B6B0" w:themeColor="accent5" w:fill="72B6B0" w:themeFill="accent5"/>
      </w:tcPr>
    </w:tblStylePr>
    <w:tblStylePr w:type="lastRow">
      <w:rPr>
        <w:rFonts w:ascii="Arial" w:hAnsi="Arial"/>
        <w:color w:val="F2F2F2"/>
        <w:sz w:val="22"/>
      </w:rPr>
      <w:tblPr/>
      <w:tcPr>
        <w:shd w:val="clear" w:color="72B6B0" w:themeColor="accent5" w:fill="72B6B0" w:themeFill="accent5"/>
      </w:tcPr>
    </w:tblStylePr>
    <w:tblStylePr w:type="firstCol">
      <w:rPr>
        <w:rFonts w:ascii="Arial" w:hAnsi="Arial"/>
        <w:color w:val="F2F2F2"/>
        <w:sz w:val="22"/>
      </w:rPr>
      <w:tblPr/>
      <w:tcPr>
        <w:shd w:val="clear" w:color="72B6B0" w:themeColor="accent5" w:fill="72B6B0" w:themeFill="accent5"/>
      </w:tcPr>
    </w:tblStylePr>
    <w:tblStylePr w:type="lastCol">
      <w:rPr>
        <w:rFonts w:ascii="Arial" w:hAnsi="Arial"/>
        <w:color w:val="F2F2F2"/>
        <w:sz w:val="22"/>
      </w:rPr>
      <w:tblPr/>
      <w:tcPr>
        <w:shd w:val="clear" w:color="72B6B0" w:themeColor="accent5" w:fill="72B6B0" w:themeFill="accent5"/>
      </w:tcPr>
    </w:tblStylePr>
    <w:tblStylePr w:type="band1Vert">
      <w:rPr>
        <w:rFonts w:ascii="Arial" w:hAnsi="Arial"/>
        <w:color w:val="404040"/>
        <w:sz w:val="22"/>
      </w:rPr>
    </w:tblStylePr>
    <w:tblStylePr w:type="band2Vert">
      <w:rPr>
        <w:rFonts w:ascii="Arial" w:hAnsi="Arial"/>
        <w:color w:val="404040"/>
        <w:sz w:val="22"/>
      </w:rPr>
      <w:tblPr/>
      <w:tcPr>
        <w:shd w:val="clear" w:color="E2F0EE" w:themeColor="accent5" w:themeTint="34" w:fill="E2F0EE"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E2F0EE" w:themeColor="accent5" w:themeTint="34" w:fill="E2F0EE" w:themeFill="accent5" w:themeFillTint="34"/>
      </w:tcPr>
    </w:tblStylePr>
  </w:style>
  <w:style w:type="table" w:customStyle="1" w:styleId="Lined-Accent6">
    <w:name w:val="Lined - Accent 6"/>
    <w:basedOn w:val="TableNormal"/>
    <w:uiPriority w:val="99"/>
    <w:pPr>
      <w:spacing w:after="0" w:line="240" w:lineRule="auto"/>
    </w:pPr>
    <w:rPr>
      <w:color w:val="404040"/>
      <w:sz w:val="20"/>
      <w:szCs w:val="20"/>
      <w:lang w:eastAsia="en-IE"/>
    </w:rPr>
    <w:tblPr>
      <w:tblStyleRowBandSize w:val="1"/>
      <w:tblStyleColBandSize w:val="1"/>
    </w:tblPr>
    <w:tblStylePr w:type="firstRow">
      <w:rPr>
        <w:rFonts w:ascii="Arial" w:hAnsi="Arial"/>
        <w:color w:val="F2F2F2"/>
        <w:sz w:val="22"/>
      </w:rPr>
      <w:tblPr/>
      <w:tcPr>
        <w:shd w:val="clear" w:color="F0B142" w:themeColor="accent6" w:fill="F0B142" w:themeFill="accent6"/>
      </w:tcPr>
    </w:tblStylePr>
    <w:tblStylePr w:type="lastRow">
      <w:rPr>
        <w:rFonts w:ascii="Arial" w:hAnsi="Arial"/>
        <w:color w:val="F2F2F2"/>
        <w:sz w:val="22"/>
      </w:rPr>
      <w:tblPr/>
      <w:tcPr>
        <w:shd w:val="clear" w:color="F0B142" w:themeColor="accent6" w:fill="F0B142" w:themeFill="accent6"/>
      </w:tcPr>
    </w:tblStylePr>
    <w:tblStylePr w:type="firstCol">
      <w:rPr>
        <w:rFonts w:ascii="Arial" w:hAnsi="Arial"/>
        <w:color w:val="F2F2F2"/>
        <w:sz w:val="22"/>
      </w:rPr>
      <w:tblPr/>
      <w:tcPr>
        <w:shd w:val="clear" w:color="F0B142" w:themeColor="accent6" w:fill="F0B142" w:themeFill="accent6"/>
      </w:tcPr>
    </w:tblStylePr>
    <w:tblStylePr w:type="lastCol">
      <w:rPr>
        <w:rFonts w:ascii="Arial" w:hAnsi="Arial"/>
        <w:color w:val="F2F2F2"/>
        <w:sz w:val="22"/>
      </w:rPr>
      <w:tblPr/>
      <w:tcPr>
        <w:shd w:val="clear" w:color="F0B142" w:themeColor="accent6" w:fill="F0B142"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CEED8" w:themeColor="accent6" w:themeTint="34" w:fill="FCEE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CEED8" w:themeColor="accent6" w:themeTint="34" w:fill="FCEED8" w:themeFill="accent6" w:themeFillTint="34"/>
      </w:tcPr>
    </w:tblStylePr>
  </w:style>
  <w:style w:type="table" w:customStyle="1" w:styleId="BorderedLined-Accent">
    <w:name w:val="Bordered &amp; Lined - Accent"/>
    <w:basedOn w:val="TableNormal"/>
    <w:uiPriority w:val="99"/>
    <w:pPr>
      <w:spacing w:after="0" w:line="240" w:lineRule="auto"/>
    </w:pPr>
    <w:rPr>
      <w:color w:val="404040"/>
      <w:sz w:val="20"/>
      <w:szCs w:val="20"/>
      <w:lang w:eastAsia="en-IE"/>
    </w:rPr>
    <w:tblPr>
      <w:tblStyleRowBandSize w:val="1"/>
      <w:tblStyleColBandSize w:val="1"/>
      <w:tblBorders>
        <w:top w:val="single" w:sz="4" w:space="0" w:color="7E89A7" w:themeColor="text1" w:themeTint="A6"/>
        <w:left w:val="single" w:sz="4" w:space="0" w:color="7E89A7" w:themeColor="text1" w:themeTint="A6"/>
        <w:bottom w:val="single" w:sz="4" w:space="0" w:color="7E89A7" w:themeColor="text1" w:themeTint="A6"/>
        <w:right w:val="single" w:sz="4" w:space="0" w:color="7E89A7" w:themeColor="text1" w:themeTint="A6"/>
        <w:insideH w:val="single" w:sz="4" w:space="0" w:color="7E89A7" w:themeColor="text1" w:themeTint="A6"/>
        <w:insideV w:val="single" w:sz="4" w:space="0" w:color="7E89A7" w:themeColor="text1" w:themeTint="A6"/>
      </w:tblBorders>
    </w:tblPr>
    <w:tblStylePr w:type="firstRow">
      <w:rPr>
        <w:rFonts w:ascii="Arial" w:hAnsi="Arial"/>
        <w:color w:val="F2F2F2"/>
        <w:sz w:val="22"/>
      </w:rPr>
      <w:tblPr/>
      <w:tcPr>
        <w:shd w:val="clear" w:color="9BA4BB" w:themeColor="text1" w:themeTint="80" w:fill="9BA4BB" w:themeFill="text1" w:themeFillTint="80"/>
      </w:tcPr>
    </w:tblStylePr>
    <w:tblStylePr w:type="lastRow">
      <w:rPr>
        <w:rFonts w:ascii="Arial" w:hAnsi="Arial"/>
        <w:color w:val="F2F2F2"/>
        <w:sz w:val="22"/>
      </w:rPr>
      <w:tblPr/>
      <w:tcPr>
        <w:shd w:val="clear" w:color="9BA4BB" w:themeColor="text1" w:themeTint="80" w:fill="9BA4BB" w:themeFill="text1" w:themeFillTint="80"/>
      </w:tcPr>
    </w:tblStylePr>
    <w:tblStylePr w:type="firstCol">
      <w:rPr>
        <w:rFonts w:ascii="Arial" w:hAnsi="Arial"/>
        <w:color w:val="F2F2F2"/>
        <w:sz w:val="22"/>
      </w:rPr>
      <w:tblPr/>
      <w:tcPr>
        <w:shd w:val="clear" w:color="9BA4BB" w:themeColor="text1" w:themeTint="80" w:fill="9BA4BB" w:themeFill="text1" w:themeFillTint="80"/>
      </w:tcPr>
    </w:tblStylePr>
    <w:tblStylePr w:type="lastCol">
      <w:rPr>
        <w:rFonts w:ascii="Arial" w:hAnsi="Arial"/>
        <w:color w:val="F2F2F2"/>
        <w:sz w:val="22"/>
      </w:rPr>
      <w:tblPr/>
      <w:tcPr>
        <w:shd w:val="clear" w:color="9BA4BB" w:themeColor="text1" w:themeTint="80" w:fill="9BA4BB"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4F5F8" w:themeColor="text1" w:themeTint="0D" w:fill="F4F5F8"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4F5F8" w:themeColor="text1" w:themeTint="0D" w:fill="F4F5F8" w:themeFill="text1" w:themeFillTint="0D"/>
      </w:tcPr>
    </w:tblStylePr>
  </w:style>
  <w:style w:type="table" w:customStyle="1" w:styleId="BorderedLined-Accent1">
    <w:name w:val="Bordered &amp; Lined - Accent 1"/>
    <w:basedOn w:val="TableNormal"/>
    <w:uiPriority w:val="99"/>
    <w:pPr>
      <w:spacing w:after="0" w:line="240" w:lineRule="auto"/>
    </w:pPr>
    <w:rPr>
      <w:color w:val="404040"/>
      <w:sz w:val="20"/>
      <w:szCs w:val="20"/>
      <w:lang w:eastAsia="en-IE"/>
    </w:rPr>
    <w:tblPr>
      <w:tblStyleRowBandSize w:val="1"/>
      <w:tblStyleColBandSize w:val="1"/>
      <w:tblBorders>
        <w:top w:val="single" w:sz="4" w:space="0" w:color="00642D" w:themeColor="accent1" w:themeShade="95"/>
        <w:left w:val="single" w:sz="4" w:space="0" w:color="00642D" w:themeColor="accent1" w:themeShade="95"/>
        <w:bottom w:val="single" w:sz="4" w:space="0" w:color="00642D" w:themeColor="accent1" w:themeShade="95"/>
        <w:right w:val="single" w:sz="4" w:space="0" w:color="00642D" w:themeColor="accent1" w:themeShade="95"/>
        <w:insideH w:val="single" w:sz="4" w:space="0" w:color="00642D" w:themeColor="accent1" w:themeShade="95"/>
        <w:insideV w:val="single" w:sz="4" w:space="0" w:color="00642D" w:themeColor="accent1" w:themeShade="95"/>
      </w:tblBorders>
    </w:tblPr>
    <w:tblStylePr w:type="firstRow">
      <w:rPr>
        <w:rFonts w:ascii="Arial" w:hAnsi="Arial"/>
        <w:color w:val="F2F2F2"/>
        <w:sz w:val="22"/>
      </w:rPr>
      <w:tblPr/>
      <w:tcPr>
        <w:shd w:val="clear" w:color="00C75A" w:themeColor="accent1" w:themeTint="EA" w:fill="00C75A" w:themeFill="accent1" w:themeFillTint="EA"/>
      </w:tcPr>
    </w:tblStylePr>
    <w:tblStylePr w:type="lastRow">
      <w:rPr>
        <w:rFonts w:ascii="Arial" w:hAnsi="Arial"/>
        <w:color w:val="F2F2F2"/>
        <w:sz w:val="22"/>
      </w:rPr>
      <w:tblPr/>
      <w:tcPr>
        <w:shd w:val="clear" w:color="00C75A" w:themeColor="accent1" w:themeTint="EA" w:fill="00C75A" w:themeFill="accent1" w:themeFillTint="EA"/>
      </w:tcPr>
    </w:tblStylePr>
    <w:tblStylePr w:type="firstCol">
      <w:rPr>
        <w:rFonts w:ascii="Arial" w:hAnsi="Arial"/>
        <w:color w:val="F2F2F2"/>
        <w:sz w:val="22"/>
      </w:rPr>
      <w:tblPr/>
      <w:tcPr>
        <w:shd w:val="clear" w:color="00C75A" w:themeColor="accent1" w:themeTint="EA" w:fill="00C75A" w:themeFill="accent1" w:themeFillTint="EA"/>
      </w:tcPr>
    </w:tblStylePr>
    <w:tblStylePr w:type="lastCol">
      <w:rPr>
        <w:rFonts w:ascii="Arial" w:hAnsi="Arial"/>
        <w:color w:val="F2F2F2"/>
        <w:sz w:val="22"/>
      </w:rPr>
      <w:tblPr/>
      <w:tcPr>
        <w:shd w:val="clear" w:color="00C75A" w:themeColor="accent1" w:themeTint="EA" w:fill="00C75A"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94FFC4" w:themeColor="accent1" w:themeTint="50" w:fill="94FFC4"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94FFC4" w:themeColor="accent1" w:themeTint="50" w:fill="94FFC4" w:themeFill="accent1" w:themeFillTint="50"/>
      </w:tcPr>
    </w:tblStylePr>
  </w:style>
  <w:style w:type="table" w:customStyle="1" w:styleId="BorderedLined-Accent2">
    <w:name w:val="Bordered &amp; Lined - Accent 2"/>
    <w:basedOn w:val="TableNormal"/>
    <w:uiPriority w:val="99"/>
    <w:pPr>
      <w:spacing w:after="0" w:line="240" w:lineRule="auto"/>
    </w:pPr>
    <w:rPr>
      <w:color w:val="404040"/>
      <w:sz w:val="20"/>
      <w:szCs w:val="20"/>
      <w:lang w:eastAsia="en-IE"/>
    </w:rPr>
    <w:tblPr>
      <w:tblStyleRowBandSize w:val="1"/>
      <w:tblStyleColBandSize w:val="1"/>
      <w:tblBorders>
        <w:top w:val="single" w:sz="4" w:space="0" w:color="00584F" w:themeColor="accent2" w:themeShade="95"/>
        <w:left w:val="single" w:sz="4" w:space="0" w:color="00584F" w:themeColor="accent2" w:themeShade="95"/>
        <w:bottom w:val="single" w:sz="4" w:space="0" w:color="00584F" w:themeColor="accent2" w:themeShade="95"/>
        <w:right w:val="single" w:sz="4" w:space="0" w:color="00584F" w:themeColor="accent2" w:themeShade="95"/>
        <w:insideH w:val="single" w:sz="4" w:space="0" w:color="00584F" w:themeColor="accent2" w:themeShade="95"/>
        <w:insideV w:val="single" w:sz="4" w:space="0" w:color="00584F" w:themeColor="accent2" w:themeShade="95"/>
      </w:tblBorders>
    </w:tblPr>
    <w:tblStylePr w:type="firstRow">
      <w:rPr>
        <w:rFonts w:ascii="Arial" w:hAnsi="Arial"/>
        <w:color w:val="F2F2F2"/>
        <w:sz w:val="22"/>
      </w:rPr>
      <w:tblPr/>
      <w:tcPr>
        <w:shd w:val="clear" w:color="2BFFE9" w:themeColor="accent2" w:themeTint="97" w:fill="2BFFE9" w:themeFill="accent2" w:themeFillTint="97"/>
      </w:tcPr>
    </w:tblStylePr>
    <w:tblStylePr w:type="lastRow">
      <w:rPr>
        <w:rFonts w:ascii="Arial" w:hAnsi="Arial"/>
        <w:color w:val="F2F2F2"/>
        <w:sz w:val="22"/>
      </w:rPr>
      <w:tblPr/>
      <w:tcPr>
        <w:shd w:val="clear" w:color="2BFFE9" w:themeColor="accent2" w:themeTint="97" w:fill="2BFFE9" w:themeFill="accent2" w:themeFillTint="97"/>
      </w:tcPr>
    </w:tblStylePr>
    <w:tblStylePr w:type="firstCol">
      <w:rPr>
        <w:rFonts w:ascii="Arial" w:hAnsi="Arial"/>
        <w:color w:val="F2F2F2"/>
        <w:sz w:val="22"/>
      </w:rPr>
      <w:tblPr/>
      <w:tcPr>
        <w:shd w:val="clear" w:color="2BFFE9" w:themeColor="accent2" w:themeTint="97" w:fill="2BFFE9" w:themeFill="accent2" w:themeFillTint="97"/>
      </w:tcPr>
    </w:tblStylePr>
    <w:tblStylePr w:type="lastCol">
      <w:rPr>
        <w:rFonts w:ascii="Arial" w:hAnsi="Arial"/>
        <w:color w:val="F2F2F2"/>
        <w:sz w:val="22"/>
      </w:rPr>
      <w:tblPr/>
      <w:tcPr>
        <w:shd w:val="clear" w:color="2BFFE9" w:themeColor="accent2" w:themeTint="97" w:fill="2BFFE9"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B8FFF7" w:themeColor="accent2" w:themeTint="32" w:fill="B8FFF7"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B8FFF7" w:themeColor="accent2" w:themeTint="32" w:fill="B8FFF7" w:themeFill="accent2" w:themeFillTint="32"/>
      </w:tcPr>
    </w:tblStylePr>
  </w:style>
  <w:style w:type="table" w:customStyle="1" w:styleId="BorderedLined-Accent3">
    <w:name w:val="Bordered &amp; Lined - Accent 3"/>
    <w:basedOn w:val="TableNormal"/>
    <w:uiPriority w:val="99"/>
    <w:pPr>
      <w:spacing w:after="0" w:line="240" w:lineRule="auto"/>
    </w:pPr>
    <w:rPr>
      <w:color w:val="404040"/>
      <w:sz w:val="20"/>
      <w:szCs w:val="20"/>
      <w:lang w:eastAsia="en-IE"/>
    </w:rPr>
    <w:tblPr>
      <w:tblStyleRowBandSize w:val="1"/>
      <w:tblStyleColBandSize w:val="1"/>
      <w:tblBorders>
        <w:top w:val="single" w:sz="4" w:space="0" w:color="172158" w:themeColor="accent3" w:themeShade="95"/>
        <w:left w:val="single" w:sz="4" w:space="0" w:color="172158" w:themeColor="accent3" w:themeShade="95"/>
        <w:bottom w:val="single" w:sz="4" w:space="0" w:color="172158" w:themeColor="accent3" w:themeShade="95"/>
        <w:right w:val="single" w:sz="4" w:space="0" w:color="172158" w:themeColor="accent3" w:themeShade="95"/>
        <w:insideH w:val="single" w:sz="4" w:space="0" w:color="172158" w:themeColor="accent3" w:themeShade="95"/>
        <w:insideV w:val="single" w:sz="4" w:space="0" w:color="172158" w:themeColor="accent3" w:themeShade="95"/>
      </w:tblBorders>
    </w:tblPr>
    <w:tblStylePr w:type="firstRow">
      <w:rPr>
        <w:rFonts w:ascii="Arial" w:hAnsi="Arial"/>
        <w:color w:val="F2F2F2"/>
        <w:sz w:val="22"/>
      </w:rPr>
      <w:tblPr/>
      <w:tcPr>
        <w:shd w:val="clear" w:color="283A97" w:themeColor="accent3" w:themeTint="FE" w:fill="283A97" w:themeFill="accent3" w:themeFillTint="FE"/>
      </w:tcPr>
    </w:tblStylePr>
    <w:tblStylePr w:type="lastRow">
      <w:rPr>
        <w:rFonts w:ascii="Arial" w:hAnsi="Arial"/>
        <w:color w:val="F2F2F2"/>
        <w:sz w:val="22"/>
      </w:rPr>
      <w:tblPr/>
      <w:tcPr>
        <w:shd w:val="clear" w:color="283A97" w:themeColor="accent3" w:themeTint="FE" w:fill="283A97" w:themeFill="accent3" w:themeFillTint="FE"/>
      </w:tcPr>
    </w:tblStylePr>
    <w:tblStylePr w:type="firstCol">
      <w:rPr>
        <w:rFonts w:ascii="Arial" w:hAnsi="Arial"/>
        <w:color w:val="F2F2F2"/>
        <w:sz w:val="22"/>
      </w:rPr>
      <w:tblPr/>
      <w:tcPr>
        <w:shd w:val="clear" w:color="283A97" w:themeColor="accent3" w:themeTint="FE" w:fill="283A97" w:themeFill="accent3" w:themeFillTint="FE"/>
      </w:tcPr>
    </w:tblStylePr>
    <w:tblStylePr w:type="lastCol">
      <w:rPr>
        <w:rFonts w:ascii="Arial" w:hAnsi="Arial"/>
        <w:color w:val="F2F2F2"/>
        <w:sz w:val="22"/>
      </w:rPr>
      <w:tblPr/>
      <w:tcPr>
        <w:shd w:val="clear" w:color="283A97" w:themeColor="accent3" w:themeTint="FE" w:fill="283A97"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CBD1F1" w:themeColor="accent3" w:themeTint="34" w:fill="CBD1F1"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CBD1F1" w:themeColor="accent3" w:themeTint="34" w:fill="CBD1F1" w:themeFill="accent3" w:themeFillTint="34"/>
      </w:tcPr>
    </w:tblStylePr>
  </w:style>
  <w:style w:type="table" w:customStyle="1" w:styleId="BorderedLined-Accent4">
    <w:name w:val="Bordered &amp; Lined - Accent 4"/>
    <w:basedOn w:val="TableNormal"/>
    <w:uiPriority w:val="99"/>
    <w:pPr>
      <w:spacing w:after="0" w:line="240" w:lineRule="auto"/>
    </w:pPr>
    <w:rPr>
      <w:color w:val="404040"/>
      <w:sz w:val="20"/>
      <w:szCs w:val="20"/>
      <w:lang w:eastAsia="en-IE"/>
    </w:rPr>
    <w:tblPr>
      <w:tblStyleRowBandSize w:val="1"/>
      <w:tblStyleColBandSize w:val="1"/>
      <w:tblBorders>
        <w:top w:val="single" w:sz="4" w:space="0" w:color="557722" w:themeColor="accent4" w:themeShade="95"/>
        <w:left w:val="single" w:sz="4" w:space="0" w:color="557722" w:themeColor="accent4" w:themeShade="95"/>
        <w:bottom w:val="single" w:sz="4" w:space="0" w:color="557722" w:themeColor="accent4" w:themeShade="95"/>
        <w:right w:val="single" w:sz="4" w:space="0" w:color="557722" w:themeColor="accent4" w:themeShade="95"/>
        <w:insideH w:val="single" w:sz="4" w:space="0" w:color="557722" w:themeColor="accent4" w:themeShade="95"/>
        <w:insideV w:val="single" w:sz="4" w:space="0" w:color="557722" w:themeColor="accent4" w:themeShade="95"/>
      </w:tblBorders>
    </w:tblPr>
    <w:tblStylePr w:type="firstRow">
      <w:rPr>
        <w:rFonts w:ascii="Arial" w:hAnsi="Arial"/>
        <w:color w:val="F2F2F2"/>
        <w:sz w:val="22"/>
      </w:rPr>
      <w:tblPr/>
      <w:tcPr>
        <w:shd w:val="clear" w:color="BDDD8A" w:themeColor="accent4" w:themeTint="9A" w:fill="BDDD8A" w:themeFill="accent4" w:themeFillTint="9A"/>
      </w:tcPr>
    </w:tblStylePr>
    <w:tblStylePr w:type="lastRow">
      <w:rPr>
        <w:rFonts w:ascii="Arial" w:hAnsi="Arial"/>
        <w:color w:val="F2F2F2"/>
        <w:sz w:val="22"/>
      </w:rPr>
      <w:tblPr/>
      <w:tcPr>
        <w:shd w:val="clear" w:color="BDDD8A" w:themeColor="accent4" w:themeTint="9A" w:fill="BDDD8A" w:themeFill="accent4" w:themeFillTint="9A"/>
      </w:tcPr>
    </w:tblStylePr>
    <w:tblStylePr w:type="firstCol">
      <w:rPr>
        <w:rFonts w:ascii="Arial" w:hAnsi="Arial"/>
        <w:color w:val="F2F2F2"/>
        <w:sz w:val="22"/>
      </w:rPr>
      <w:tblPr/>
      <w:tcPr>
        <w:shd w:val="clear" w:color="BDDD8A" w:themeColor="accent4" w:themeTint="9A" w:fill="BDDD8A" w:themeFill="accent4" w:themeFillTint="9A"/>
      </w:tcPr>
    </w:tblStylePr>
    <w:tblStylePr w:type="lastCol">
      <w:rPr>
        <w:rFonts w:ascii="Arial" w:hAnsi="Arial"/>
        <w:color w:val="F2F2F2"/>
        <w:sz w:val="22"/>
      </w:rPr>
      <w:tblPr/>
      <w:tcPr>
        <w:shd w:val="clear" w:color="BDDD8A" w:themeColor="accent4" w:themeTint="9A" w:fill="BDDD8A"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8F3D7" w:themeColor="accent4" w:themeTint="34" w:fill="E8F3D7"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8F3D7" w:themeColor="accent4" w:themeTint="34" w:fill="E8F3D7" w:themeFill="accent4" w:themeFillTint="34"/>
      </w:tcPr>
    </w:tblStylePr>
  </w:style>
  <w:style w:type="table" w:customStyle="1" w:styleId="BorderedLined-Accent5">
    <w:name w:val="Bordered &amp; Lined - Accent 5"/>
    <w:basedOn w:val="TableNormal"/>
    <w:uiPriority w:val="99"/>
    <w:pPr>
      <w:spacing w:after="0" w:line="240" w:lineRule="auto"/>
    </w:pPr>
    <w:rPr>
      <w:color w:val="404040"/>
      <w:sz w:val="20"/>
      <w:szCs w:val="20"/>
      <w:lang w:eastAsia="en-IE"/>
    </w:rPr>
    <w:tblPr>
      <w:tblStyleRowBandSize w:val="1"/>
      <w:tblStyleColBandSize w:val="1"/>
      <w:tblBorders>
        <w:top w:val="single" w:sz="4" w:space="0" w:color="3B716C" w:themeColor="accent5" w:themeShade="95"/>
        <w:left w:val="single" w:sz="4" w:space="0" w:color="3B716C" w:themeColor="accent5" w:themeShade="95"/>
        <w:bottom w:val="single" w:sz="4" w:space="0" w:color="3B716C" w:themeColor="accent5" w:themeShade="95"/>
        <w:right w:val="single" w:sz="4" w:space="0" w:color="3B716C" w:themeColor="accent5" w:themeShade="95"/>
        <w:insideH w:val="single" w:sz="4" w:space="0" w:color="3B716C" w:themeColor="accent5" w:themeShade="95"/>
        <w:insideV w:val="single" w:sz="4" w:space="0" w:color="3B716C" w:themeColor="accent5" w:themeShade="95"/>
      </w:tblBorders>
    </w:tblPr>
    <w:tblStylePr w:type="firstRow">
      <w:rPr>
        <w:rFonts w:ascii="Arial" w:hAnsi="Arial"/>
        <w:color w:val="F2F2F2"/>
        <w:sz w:val="22"/>
      </w:rPr>
      <w:tblPr/>
      <w:tcPr>
        <w:shd w:val="clear" w:color="72B6B0" w:themeColor="accent5" w:fill="72B6B0" w:themeFill="accent5"/>
      </w:tcPr>
    </w:tblStylePr>
    <w:tblStylePr w:type="lastRow">
      <w:rPr>
        <w:rFonts w:ascii="Arial" w:hAnsi="Arial"/>
        <w:color w:val="F2F2F2"/>
        <w:sz w:val="22"/>
      </w:rPr>
      <w:tblPr/>
      <w:tcPr>
        <w:shd w:val="clear" w:color="72B6B0" w:themeColor="accent5" w:fill="72B6B0" w:themeFill="accent5"/>
      </w:tcPr>
    </w:tblStylePr>
    <w:tblStylePr w:type="firstCol">
      <w:rPr>
        <w:rFonts w:ascii="Arial" w:hAnsi="Arial"/>
        <w:color w:val="F2F2F2"/>
        <w:sz w:val="22"/>
      </w:rPr>
      <w:tblPr/>
      <w:tcPr>
        <w:shd w:val="clear" w:color="72B6B0" w:themeColor="accent5" w:fill="72B6B0" w:themeFill="accent5"/>
      </w:tcPr>
    </w:tblStylePr>
    <w:tblStylePr w:type="lastCol">
      <w:rPr>
        <w:rFonts w:ascii="Arial" w:hAnsi="Arial"/>
        <w:color w:val="F2F2F2"/>
        <w:sz w:val="22"/>
      </w:rPr>
      <w:tblPr/>
      <w:tcPr>
        <w:shd w:val="clear" w:color="72B6B0" w:themeColor="accent5" w:fill="72B6B0" w:themeFill="accent5"/>
      </w:tcPr>
    </w:tblStylePr>
    <w:tblStylePr w:type="band1Vert">
      <w:rPr>
        <w:rFonts w:ascii="Arial" w:hAnsi="Arial"/>
        <w:color w:val="404040"/>
        <w:sz w:val="22"/>
      </w:rPr>
    </w:tblStylePr>
    <w:tblStylePr w:type="band2Vert">
      <w:rPr>
        <w:rFonts w:ascii="Arial" w:hAnsi="Arial"/>
        <w:color w:val="404040"/>
        <w:sz w:val="22"/>
      </w:rPr>
      <w:tblPr/>
      <w:tcPr>
        <w:shd w:val="clear" w:color="E2F0EE" w:themeColor="accent5" w:themeTint="34" w:fill="E2F0EE"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E2F0EE" w:themeColor="accent5" w:themeTint="34" w:fill="E2F0EE" w:themeFill="accent5" w:themeFillTint="34"/>
      </w:tcPr>
    </w:tblStylePr>
  </w:style>
  <w:style w:type="table" w:customStyle="1" w:styleId="BorderedLined-Accent6">
    <w:name w:val="Bordered &amp; Lined - Accent 6"/>
    <w:basedOn w:val="TableNormal"/>
    <w:uiPriority w:val="99"/>
    <w:pPr>
      <w:spacing w:after="0" w:line="240" w:lineRule="auto"/>
    </w:pPr>
    <w:rPr>
      <w:color w:val="404040"/>
      <w:sz w:val="20"/>
      <w:szCs w:val="20"/>
      <w:lang w:eastAsia="en-IE"/>
    </w:rPr>
    <w:tblPr>
      <w:tblStyleRowBandSize w:val="1"/>
      <w:tblStyleColBandSize w:val="1"/>
      <w:tblBorders>
        <w:top w:val="single" w:sz="4" w:space="0" w:color="A56D0D" w:themeColor="accent6" w:themeShade="95"/>
        <w:left w:val="single" w:sz="4" w:space="0" w:color="A56D0D" w:themeColor="accent6" w:themeShade="95"/>
        <w:bottom w:val="single" w:sz="4" w:space="0" w:color="A56D0D" w:themeColor="accent6" w:themeShade="95"/>
        <w:right w:val="single" w:sz="4" w:space="0" w:color="A56D0D" w:themeColor="accent6" w:themeShade="95"/>
        <w:insideH w:val="single" w:sz="4" w:space="0" w:color="A56D0D" w:themeColor="accent6" w:themeShade="95"/>
        <w:insideV w:val="single" w:sz="4" w:space="0" w:color="A56D0D" w:themeColor="accent6" w:themeShade="95"/>
      </w:tblBorders>
    </w:tblPr>
    <w:tblStylePr w:type="firstRow">
      <w:rPr>
        <w:rFonts w:ascii="Arial" w:hAnsi="Arial"/>
        <w:color w:val="F2F2F2"/>
        <w:sz w:val="22"/>
      </w:rPr>
      <w:tblPr/>
      <w:tcPr>
        <w:shd w:val="clear" w:color="F0B142" w:themeColor="accent6" w:fill="F0B142" w:themeFill="accent6"/>
      </w:tcPr>
    </w:tblStylePr>
    <w:tblStylePr w:type="lastRow">
      <w:rPr>
        <w:rFonts w:ascii="Arial" w:hAnsi="Arial"/>
        <w:color w:val="F2F2F2"/>
        <w:sz w:val="22"/>
      </w:rPr>
      <w:tblPr/>
      <w:tcPr>
        <w:shd w:val="clear" w:color="F0B142" w:themeColor="accent6" w:fill="F0B142" w:themeFill="accent6"/>
      </w:tcPr>
    </w:tblStylePr>
    <w:tblStylePr w:type="firstCol">
      <w:rPr>
        <w:rFonts w:ascii="Arial" w:hAnsi="Arial"/>
        <w:color w:val="F2F2F2"/>
        <w:sz w:val="22"/>
      </w:rPr>
      <w:tblPr/>
      <w:tcPr>
        <w:shd w:val="clear" w:color="F0B142" w:themeColor="accent6" w:fill="F0B142" w:themeFill="accent6"/>
      </w:tcPr>
    </w:tblStylePr>
    <w:tblStylePr w:type="lastCol">
      <w:rPr>
        <w:rFonts w:ascii="Arial" w:hAnsi="Arial"/>
        <w:color w:val="F2F2F2"/>
        <w:sz w:val="22"/>
      </w:rPr>
      <w:tblPr/>
      <w:tcPr>
        <w:shd w:val="clear" w:color="F0B142" w:themeColor="accent6" w:fill="F0B142"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CEED8" w:themeColor="accent6" w:themeTint="34" w:fill="FCEE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CEED8" w:themeColor="accent6" w:themeTint="34" w:fill="FCEED8" w:themeFill="accent6" w:themeFillTint="34"/>
      </w:tcPr>
    </w:tblStylePr>
  </w:style>
  <w:style w:type="table" w:customStyle="1" w:styleId="Bordered">
    <w:name w:val="Bordered"/>
    <w:basedOn w:val="TableNormal"/>
    <w:uiPriority w:val="99"/>
    <w:pPr>
      <w:spacing w:after="0" w:line="240" w:lineRule="auto"/>
    </w:pPr>
    <w:tblPr>
      <w:tblStyleRowBandSize w:val="1"/>
      <w:tblStyleColBandSize w:val="1"/>
      <w:tblBorders>
        <w:top w:val="single" w:sz="4" w:space="0" w:color="E1E3EB" w:themeColor="text1" w:themeTint="26"/>
        <w:left w:val="single" w:sz="4" w:space="0" w:color="E1E3EB" w:themeColor="text1" w:themeTint="26"/>
        <w:bottom w:val="single" w:sz="4" w:space="0" w:color="E1E3EB" w:themeColor="text1" w:themeTint="26"/>
        <w:right w:val="single" w:sz="4" w:space="0" w:color="E1E3EB" w:themeColor="text1" w:themeTint="26"/>
        <w:insideH w:val="single" w:sz="4" w:space="0" w:color="E1E3EB" w:themeColor="text1" w:themeTint="26"/>
        <w:insideV w:val="single" w:sz="4" w:space="0" w:color="E1E3EB" w:themeColor="text1" w:themeTint="26"/>
      </w:tblBorders>
    </w:tblPr>
    <w:tblStylePr w:type="firstRow">
      <w:rPr>
        <w:rFonts w:ascii="Arial" w:hAnsi="Arial"/>
        <w:color w:val="404040"/>
        <w:sz w:val="22"/>
      </w:rPr>
      <w:tblPr/>
      <w:tcPr>
        <w:tcBorders>
          <w:bottom w:val="single" w:sz="12" w:space="0" w:color="9BA4BB" w:themeColor="text1" w:themeTint="80"/>
        </w:tcBorders>
      </w:tcPr>
    </w:tblStylePr>
    <w:tblStylePr w:type="lastRow">
      <w:rPr>
        <w:rFonts w:ascii="Arial" w:hAnsi="Arial"/>
        <w:color w:val="404040"/>
        <w:sz w:val="22"/>
      </w:rPr>
      <w:tblPr/>
      <w:tcPr>
        <w:tcBorders>
          <w:top w:val="single" w:sz="12" w:space="0" w:color="9BA4BB"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A4BB" w:themeColor="text1" w:themeTint="80"/>
        </w:tcBorders>
      </w:tcPr>
    </w:tblStylePr>
    <w:tblStylePr w:type="band1Horz">
      <w:rPr>
        <w:rFonts w:ascii="Arial" w:hAnsi="Arial"/>
        <w:color w:val="404040"/>
        <w:sz w:val="22"/>
      </w:rPr>
      <w:tblPr/>
      <w:tcPr>
        <w:tcBorders>
          <w:top w:val="single" w:sz="4" w:space="0" w:color="E1E3EB" w:themeColor="text1" w:themeTint="26"/>
          <w:left w:val="single" w:sz="4" w:space="0" w:color="E1E3EB" w:themeColor="text1" w:themeTint="26"/>
          <w:bottom w:val="single" w:sz="4" w:space="0" w:color="E1E3EB" w:themeColor="text1" w:themeTint="26"/>
          <w:right w:val="single" w:sz="4" w:space="0" w:color="E1E3EB" w:themeColor="text1" w:themeTint="26"/>
        </w:tcBorders>
      </w:tcPr>
    </w:tblStylePr>
  </w:style>
  <w:style w:type="table" w:customStyle="1" w:styleId="Bordered-Accent1">
    <w:name w:val="Bordered - Accent 1"/>
    <w:basedOn w:val="TableNormal"/>
    <w:uiPriority w:val="99"/>
    <w:pPr>
      <w:spacing w:after="0" w:line="240" w:lineRule="auto"/>
    </w:pPr>
    <w:tblPr>
      <w:tblStyleRowBandSize w:val="1"/>
      <w:tblStyleColBandSize w:val="1"/>
      <w:tblBorders>
        <w:top w:val="single" w:sz="4" w:space="0" w:color="76FFB3" w:themeColor="accent1" w:themeTint="67"/>
        <w:left w:val="single" w:sz="4" w:space="0" w:color="76FFB3" w:themeColor="accent1" w:themeTint="67"/>
        <w:bottom w:val="single" w:sz="4" w:space="0" w:color="76FFB3" w:themeColor="accent1" w:themeTint="67"/>
        <w:right w:val="single" w:sz="4" w:space="0" w:color="76FFB3" w:themeColor="accent1" w:themeTint="67"/>
        <w:insideH w:val="single" w:sz="4" w:space="0" w:color="76FFB3" w:themeColor="accent1" w:themeTint="67"/>
        <w:insideV w:val="single" w:sz="4" w:space="0" w:color="76FFB3" w:themeColor="accent1" w:themeTint="67"/>
      </w:tblBorders>
    </w:tblPr>
    <w:tblStylePr w:type="firstRow">
      <w:rPr>
        <w:rFonts w:ascii="Arial" w:hAnsi="Arial"/>
        <w:color w:val="404040"/>
        <w:sz w:val="22"/>
      </w:rPr>
      <w:tblPr/>
      <w:tcPr>
        <w:tcBorders>
          <w:bottom w:val="single" w:sz="12" w:space="0" w:color="00AC4E" w:themeColor="accent1"/>
        </w:tcBorders>
      </w:tcPr>
    </w:tblStylePr>
    <w:tblStylePr w:type="lastRow">
      <w:rPr>
        <w:rFonts w:ascii="Arial" w:hAnsi="Arial"/>
        <w:color w:val="404040"/>
        <w:sz w:val="22"/>
      </w:rPr>
      <w:tblPr/>
      <w:tcPr>
        <w:tcBorders>
          <w:top w:val="single" w:sz="12" w:space="0" w:color="00AC4E"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00AC4E" w:themeColor="accent1"/>
        </w:tcBorders>
      </w:tcPr>
    </w:tblStylePr>
    <w:tblStylePr w:type="band1Horz">
      <w:rPr>
        <w:rFonts w:ascii="Arial" w:hAnsi="Arial"/>
        <w:color w:val="404040"/>
        <w:sz w:val="22"/>
      </w:rPr>
      <w:tblPr/>
      <w:tcPr>
        <w:tcBorders>
          <w:top w:val="single" w:sz="4" w:space="0" w:color="76FFB3" w:themeColor="accent1" w:themeTint="67"/>
          <w:left w:val="single" w:sz="4" w:space="0" w:color="76FFB3" w:themeColor="accent1" w:themeTint="67"/>
          <w:bottom w:val="single" w:sz="4" w:space="0" w:color="76FFB3" w:themeColor="accent1" w:themeTint="67"/>
          <w:right w:val="single" w:sz="4" w:space="0" w:color="76FFB3" w:themeColor="accent1" w:themeTint="67"/>
        </w:tcBorders>
      </w:tcPr>
    </w:tblStylePr>
  </w:style>
  <w:style w:type="table" w:customStyle="1" w:styleId="Bordered-Accent2">
    <w:name w:val="Bordered - Accent 2"/>
    <w:basedOn w:val="TableNormal"/>
    <w:uiPriority w:val="99"/>
    <w:pPr>
      <w:spacing w:after="0" w:line="240" w:lineRule="auto"/>
    </w:pPr>
    <w:tblPr>
      <w:tblStyleRowBandSize w:val="1"/>
      <w:tblStyleColBandSize w:val="1"/>
      <w:tblBorders>
        <w:top w:val="single" w:sz="4" w:space="0" w:color="6EFFF0" w:themeColor="accent2" w:themeTint="67"/>
        <w:left w:val="single" w:sz="4" w:space="0" w:color="6EFFF0" w:themeColor="accent2" w:themeTint="67"/>
        <w:bottom w:val="single" w:sz="4" w:space="0" w:color="6EFFF0" w:themeColor="accent2" w:themeTint="67"/>
        <w:right w:val="single" w:sz="4" w:space="0" w:color="6EFFF0" w:themeColor="accent2" w:themeTint="67"/>
        <w:insideH w:val="single" w:sz="4" w:space="0" w:color="6EFFF0" w:themeColor="accent2" w:themeTint="67"/>
        <w:insideV w:val="single" w:sz="4" w:space="0" w:color="6EFFF0" w:themeColor="accent2" w:themeTint="67"/>
      </w:tblBorders>
    </w:tblPr>
    <w:tblStylePr w:type="firstRow">
      <w:rPr>
        <w:rFonts w:ascii="Arial" w:hAnsi="Arial"/>
        <w:color w:val="404040"/>
        <w:sz w:val="22"/>
      </w:rPr>
      <w:tblPr/>
      <w:tcPr>
        <w:tcBorders>
          <w:bottom w:val="single" w:sz="12" w:space="0" w:color="2BFFE9" w:themeColor="accent2" w:themeTint="97"/>
        </w:tcBorders>
      </w:tcPr>
    </w:tblStylePr>
    <w:tblStylePr w:type="lastRow">
      <w:rPr>
        <w:rFonts w:ascii="Arial" w:hAnsi="Arial"/>
        <w:color w:val="404040"/>
        <w:sz w:val="22"/>
      </w:rPr>
      <w:tblPr/>
      <w:tcPr>
        <w:tcBorders>
          <w:top w:val="single" w:sz="12" w:space="0" w:color="2BFFE9"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2BFFE9" w:themeColor="accent2" w:themeTint="97"/>
        </w:tcBorders>
      </w:tcPr>
    </w:tblStylePr>
    <w:tblStylePr w:type="band1Horz">
      <w:rPr>
        <w:rFonts w:ascii="Arial" w:hAnsi="Arial"/>
        <w:color w:val="404040"/>
        <w:sz w:val="22"/>
      </w:rPr>
      <w:tblPr/>
      <w:tcPr>
        <w:tcBorders>
          <w:top w:val="single" w:sz="4" w:space="0" w:color="6EFFF0" w:themeColor="accent2" w:themeTint="67"/>
          <w:left w:val="single" w:sz="4" w:space="0" w:color="6EFFF0" w:themeColor="accent2" w:themeTint="67"/>
          <w:bottom w:val="single" w:sz="4" w:space="0" w:color="6EFFF0" w:themeColor="accent2" w:themeTint="67"/>
          <w:right w:val="single" w:sz="4" w:space="0" w:color="6EFFF0" w:themeColor="accent2" w:themeTint="67"/>
        </w:tcBorders>
      </w:tcPr>
    </w:tblStylePr>
  </w:style>
  <w:style w:type="table" w:customStyle="1" w:styleId="Bordered-Accent3">
    <w:name w:val="Bordered - Accent 3"/>
    <w:basedOn w:val="TableNormal"/>
    <w:uiPriority w:val="99"/>
    <w:pPr>
      <w:spacing w:after="0" w:line="240" w:lineRule="auto"/>
    </w:pPr>
    <w:tblPr>
      <w:tblStyleRowBandSize w:val="1"/>
      <w:tblStyleColBandSize w:val="1"/>
      <w:tblBorders>
        <w:top w:val="single" w:sz="4" w:space="0" w:color="99A5E4" w:themeColor="accent3" w:themeTint="67"/>
        <w:left w:val="single" w:sz="4" w:space="0" w:color="99A5E4" w:themeColor="accent3" w:themeTint="67"/>
        <w:bottom w:val="single" w:sz="4" w:space="0" w:color="99A5E4" w:themeColor="accent3" w:themeTint="67"/>
        <w:right w:val="single" w:sz="4" w:space="0" w:color="99A5E4" w:themeColor="accent3" w:themeTint="67"/>
        <w:insideH w:val="single" w:sz="4" w:space="0" w:color="99A5E4" w:themeColor="accent3" w:themeTint="67"/>
        <w:insideV w:val="single" w:sz="4" w:space="0" w:color="99A5E4" w:themeColor="accent3" w:themeTint="67"/>
      </w:tblBorders>
    </w:tblPr>
    <w:tblStylePr w:type="firstRow">
      <w:rPr>
        <w:rFonts w:ascii="Arial" w:hAnsi="Arial"/>
        <w:color w:val="404040"/>
        <w:sz w:val="22"/>
      </w:rPr>
      <w:tblPr/>
      <w:tcPr>
        <w:tcBorders>
          <w:bottom w:val="single" w:sz="12" w:space="0" w:color="687AD7" w:themeColor="accent3" w:themeTint="98"/>
        </w:tcBorders>
      </w:tcPr>
    </w:tblStylePr>
    <w:tblStylePr w:type="lastRow">
      <w:rPr>
        <w:rFonts w:ascii="Arial" w:hAnsi="Arial"/>
        <w:color w:val="404040"/>
        <w:sz w:val="22"/>
      </w:rPr>
      <w:tblPr/>
      <w:tcPr>
        <w:tcBorders>
          <w:top w:val="single" w:sz="12" w:space="0" w:color="687AD7"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687AD7" w:themeColor="accent3" w:themeTint="98"/>
        </w:tcBorders>
      </w:tcPr>
    </w:tblStylePr>
    <w:tblStylePr w:type="band1Horz">
      <w:rPr>
        <w:rFonts w:ascii="Arial" w:hAnsi="Arial"/>
        <w:color w:val="404040"/>
        <w:sz w:val="22"/>
      </w:rPr>
      <w:tblPr/>
      <w:tcPr>
        <w:tcBorders>
          <w:top w:val="single" w:sz="4" w:space="0" w:color="99A5E4" w:themeColor="accent3" w:themeTint="67"/>
          <w:left w:val="single" w:sz="4" w:space="0" w:color="99A5E4" w:themeColor="accent3" w:themeTint="67"/>
          <w:bottom w:val="single" w:sz="4" w:space="0" w:color="99A5E4" w:themeColor="accent3" w:themeTint="67"/>
          <w:right w:val="single" w:sz="4" w:space="0" w:color="99A5E4" w:themeColor="accent3" w:themeTint="67"/>
        </w:tcBorders>
      </w:tcPr>
    </w:tblStylePr>
  </w:style>
  <w:style w:type="table" w:customStyle="1" w:styleId="Bordered-Accent4">
    <w:name w:val="Bordered - Accent 4"/>
    <w:basedOn w:val="TableNormal"/>
    <w:uiPriority w:val="99"/>
    <w:pPr>
      <w:spacing w:after="0" w:line="240" w:lineRule="auto"/>
    </w:pPr>
    <w:tblPr>
      <w:tblStyleRowBandSize w:val="1"/>
      <w:tblStyleColBandSize w:val="1"/>
      <w:tblBorders>
        <w:top w:val="single" w:sz="4" w:space="0" w:color="D2E8B0" w:themeColor="accent4" w:themeTint="67"/>
        <w:left w:val="single" w:sz="4" w:space="0" w:color="D2E8B0" w:themeColor="accent4" w:themeTint="67"/>
        <w:bottom w:val="single" w:sz="4" w:space="0" w:color="D2E8B0" w:themeColor="accent4" w:themeTint="67"/>
        <w:right w:val="single" w:sz="4" w:space="0" w:color="D2E8B0" w:themeColor="accent4" w:themeTint="67"/>
        <w:insideH w:val="single" w:sz="4" w:space="0" w:color="D2E8B0" w:themeColor="accent4" w:themeTint="67"/>
        <w:insideV w:val="single" w:sz="4" w:space="0" w:color="D2E8B0" w:themeColor="accent4" w:themeTint="67"/>
      </w:tblBorders>
    </w:tblPr>
    <w:tblStylePr w:type="firstRow">
      <w:rPr>
        <w:rFonts w:ascii="Arial" w:hAnsi="Arial"/>
        <w:color w:val="404040"/>
        <w:sz w:val="22"/>
      </w:rPr>
      <w:tblPr/>
      <w:tcPr>
        <w:tcBorders>
          <w:bottom w:val="single" w:sz="12" w:space="0" w:color="BDDD8A" w:themeColor="accent4" w:themeTint="9A"/>
        </w:tcBorders>
      </w:tcPr>
    </w:tblStylePr>
    <w:tblStylePr w:type="lastRow">
      <w:rPr>
        <w:rFonts w:ascii="Arial" w:hAnsi="Arial"/>
        <w:color w:val="404040"/>
        <w:sz w:val="22"/>
      </w:rPr>
      <w:tblPr/>
      <w:tcPr>
        <w:tcBorders>
          <w:top w:val="single" w:sz="12" w:space="0" w:color="BDDD8A"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DDD8A" w:themeColor="accent4" w:themeTint="9A"/>
        </w:tcBorders>
      </w:tcPr>
    </w:tblStylePr>
    <w:tblStylePr w:type="band1Horz">
      <w:rPr>
        <w:rFonts w:ascii="Arial" w:hAnsi="Arial"/>
        <w:color w:val="404040"/>
        <w:sz w:val="22"/>
      </w:rPr>
      <w:tblPr/>
      <w:tcPr>
        <w:tcBorders>
          <w:top w:val="single" w:sz="4" w:space="0" w:color="D2E8B0" w:themeColor="accent4" w:themeTint="67"/>
          <w:left w:val="single" w:sz="4" w:space="0" w:color="D2E8B0" w:themeColor="accent4" w:themeTint="67"/>
          <w:bottom w:val="single" w:sz="4" w:space="0" w:color="D2E8B0" w:themeColor="accent4" w:themeTint="67"/>
          <w:right w:val="single" w:sz="4" w:space="0" w:color="D2E8B0" w:themeColor="accent4" w:themeTint="67"/>
        </w:tcBorders>
      </w:tcPr>
    </w:tblStylePr>
  </w:style>
  <w:style w:type="table" w:customStyle="1" w:styleId="Bordered-Accent5">
    <w:name w:val="Bordered - Accent 5"/>
    <w:basedOn w:val="TableNormal"/>
    <w:uiPriority w:val="99"/>
    <w:pPr>
      <w:spacing w:after="0" w:line="240" w:lineRule="auto"/>
    </w:pPr>
    <w:tblPr>
      <w:tblStyleRowBandSize w:val="1"/>
      <w:tblStyleColBandSize w:val="1"/>
      <w:tblBorders>
        <w:top w:val="single" w:sz="4" w:space="0" w:color="C5E1DF" w:themeColor="accent5" w:themeTint="67"/>
        <w:left w:val="single" w:sz="4" w:space="0" w:color="C5E1DF" w:themeColor="accent5" w:themeTint="67"/>
        <w:bottom w:val="single" w:sz="4" w:space="0" w:color="C5E1DF" w:themeColor="accent5" w:themeTint="67"/>
        <w:right w:val="single" w:sz="4" w:space="0" w:color="C5E1DF" w:themeColor="accent5" w:themeTint="67"/>
        <w:insideH w:val="single" w:sz="4" w:space="0" w:color="C5E1DF" w:themeColor="accent5" w:themeTint="67"/>
        <w:insideV w:val="single" w:sz="4" w:space="0" w:color="C5E1DF" w:themeColor="accent5" w:themeTint="67"/>
      </w:tblBorders>
    </w:tblPr>
    <w:tblStylePr w:type="firstRow">
      <w:rPr>
        <w:rFonts w:ascii="Arial" w:hAnsi="Arial"/>
        <w:color w:val="404040"/>
        <w:sz w:val="22"/>
      </w:rPr>
      <w:tblPr/>
      <w:tcPr>
        <w:tcBorders>
          <w:bottom w:val="single" w:sz="12" w:space="0" w:color="A9D3CF" w:themeColor="accent5" w:themeTint="9A"/>
        </w:tcBorders>
      </w:tcPr>
    </w:tblStylePr>
    <w:tblStylePr w:type="lastRow">
      <w:rPr>
        <w:rFonts w:ascii="Arial" w:hAnsi="Arial"/>
        <w:color w:val="404040"/>
        <w:sz w:val="22"/>
      </w:rPr>
      <w:tblPr/>
      <w:tcPr>
        <w:tcBorders>
          <w:top w:val="single" w:sz="12" w:space="0" w:color="A9D3CF"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3CF" w:themeColor="accent5" w:themeTint="9A"/>
        </w:tcBorders>
      </w:tcPr>
    </w:tblStylePr>
    <w:tblStylePr w:type="band1Horz">
      <w:rPr>
        <w:rFonts w:ascii="Arial" w:hAnsi="Arial"/>
        <w:color w:val="404040"/>
        <w:sz w:val="22"/>
      </w:rPr>
      <w:tblPr/>
      <w:tcPr>
        <w:tcBorders>
          <w:top w:val="single" w:sz="4" w:space="0" w:color="C5E1DF" w:themeColor="accent5" w:themeTint="67"/>
          <w:left w:val="single" w:sz="4" w:space="0" w:color="C5E1DF" w:themeColor="accent5" w:themeTint="67"/>
          <w:bottom w:val="single" w:sz="4" w:space="0" w:color="C5E1DF" w:themeColor="accent5" w:themeTint="67"/>
          <w:right w:val="single" w:sz="4" w:space="0" w:color="C5E1DF" w:themeColor="accent5" w:themeTint="67"/>
        </w:tcBorders>
      </w:tcPr>
    </w:tblStylePr>
  </w:style>
  <w:style w:type="table" w:customStyle="1" w:styleId="Bordered-Accent6">
    <w:name w:val="Bordered - Accent 6"/>
    <w:basedOn w:val="TableNormal"/>
    <w:uiPriority w:val="99"/>
    <w:pPr>
      <w:spacing w:after="0" w:line="240" w:lineRule="auto"/>
    </w:pPr>
    <w:tblPr>
      <w:tblStyleRowBandSize w:val="1"/>
      <w:tblStyleColBandSize w:val="1"/>
      <w:tblBorders>
        <w:top w:val="single" w:sz="4" w:space="0" w:color="F9DFB2" w:themeColor="accent6" w:themeTint="67"/>
        <w:left w:val="single" w:sz="4" w:space="0" w:color="F9DFB2" w:themeColor="accent6" w:themeTint="67"/>
        <w:bottom w:val="single" w:sz="4" w:space="0" w:color="F9DFB2" w:themeColor="accent6" w:themeTint="67"/>
        <w:right w:val="single" w:sz="4" w:space="0" w:color="F9DFB2" w:themeColor="accent6" w:themeTint="67"/>
        <w:insideH w:val="single" w:sz="4" w:space="0" w:color="F9DFB2" w:themeColor="accent6" w:themeTint="67"/>
        <w:insideV w:val="single" w:sz="4" w:space="0" w:color="F9DFB2" w:themeColor="accent6" w:themeTint="67"/>
      </w:tblBorders>
    </w:tblPr>
    <w:tblStylePr w:type="firstRow">
      <w:rPr>
        <w:rFonts w:ascii="Arial" w:hAnsi="Arial"/>
        <w:color w:val="404040"/>
        <w:sz w:val="22"/>
      </w:rPr>
      <w:tblPr/>
      <w:tcPr>
        <w:tcBorders>
          <w:bottom w:val="single" w:sz="12" w:space="0" w:color="F6D08E" w:themeColor="accent6" w:themeTint="98"/>
        </w:tcBorders>
      </w:tcPr>
    </w:tblStylePr>
    <w:tblStylePr w:type="lastRow">
      <w:rPr>
        <w:rFonts w:ascii="Arial" w:hAnsi="Arial"/>
        <w:color w:val="404040"/>
        <w:sz w:val="22"/>
      </w:rPr>
      <w:tblPr/>
      <w:tcPr>
        <w:tcBorders>
          <w:top w:val="single" w:sz="12" w:space="0" w:color="F6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6D08E" w:themeColor="accent6" w:themeTint="98"/>
        </w:tcBorders>
      </w:tcPr>
    </w:tblStylePr>
    <w:tblStylePr w:type="band1Horz">
      <w:rPr>
        <w:rFonts w:ascii="Arial" w:hAnsi="Arial"/>
        <w:color w:val="404040"/>
        <w:sz w:val="22"/>
      </w:rPr>
      <w:tblPr/>
      <w:tcPr>
        <w:tcBorders>
          <w:top w:val="single" w:sz="4" w:space="0" w:color="F9DFB2" w:themeColor="accent6" w:themeTint="67"/>
          <w:left w:val="single" w:sz="4" w:space="0" w:color="F9DFB2" w:themeColor="accent6" w:themeTint="67"/>
          <w:bottom w:val="single" w:sz="4" w:space="0" w:color="F9DFB2" w:themeColor="accent6" w:themeTint="67"/>
          <w:right w:val="single" w:sz="4" w:space="0" w:color="F9DFB2" w:themeColor="accent6" w:themeTint="67"/>
        </w:tcBorders>
      </w:tcPr>
    </w:tblStylePr>
  </w:style>
  <w:style w:type="paragraph" w:styleId="EndnoteText">
    <w:name w:val="endnote text"/>
    <w:basedOn w:val="Normal"/>
    <w:link w:val="EndnoteTextChar"/>
    <w:uiPriority w:val="99"/>
    <w:semiHidden/>
    <w:unhideWhenUsed/>
    <w:pPr>
      <w:spacing w:after="0" w:line="240" w:lineRule="auto"/>
    </w:pPr>
  </w:style>
  <w:style w:type="character" w:customStyle="1" w:styleId="EndnoteTextChar">
    <w:name w:val="Endnote Text Char"/>
    <w:link w:val="EndnoteText"/>
    <w:uiPriority w:val="99"/>
    <w:rPr>
      <w:sz w:val="20"/>
    </w:rPr>
  </w:style>
  <w:style w:type="character" w:styleId="EndnoteReference">
    <w:name w:val="endnote reference"/>
    <w:basedOn w:val="DefaultParagraphFont"/>
    <w:uiPriority w:val="99"/>
    <w:semiHidden/>
    <w:unhideWhenUsed/>
    <w:rPr>
      <w:vertAlign w:val="superscript"/>
    </w:rPr>
  </w:style>
  <w:style w:type="paragraph" w:styleId="TableofFigures">
    <w:name w:val="table of figures"/>
    <w:basedOn w:val="Normal"/>
    <w:next w:val="Normal"/>
    <w:uiPriority w:val="99"/>
    <w:unhideWhenUsed/>
    <w:pPr>
      <w:spacing w:after="0"/>
    </w:p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Header">
    <w:name w:val="header"/>
    <w:basedOn w:val="Normal"/>
    <w:link w:val="HeaderChar"/>
    <w:uiPriority w:val="99"/>
    <w:unhideWhenUsed/>
    <w:pPr>
      <w:tabs>
        <w:tab w:val="center" w:pos="4819"/>
        <w:tab w:val="right" w:pos="9638"/>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819"/>
        <w:tab w:val="right" w:pos="9638"/>
      </w:tabs>
      <w:spacing w:after="0" w:line="240" w:lineRule="auto"/>
    </w:pPr>
  </w:style>
  <w:style w:type="character" w:customStyle="1" w:styleId="FooterChar">
    <w:name w:val="Footer Char"/>
    <w:basedOn w:val="DefaultParagraphFont"/>
    <w:link w:val="Footer"/>
    <w:uiPriority w:val="99"/>
  </w:style>
  <w:style w:type="paragraph" w:styleId="Title">
    <w:name w:val="Title"/>
    <w:basedOn w:val="Normal"/>
    <w:next w:val="Normal"/>
    <w:link w:val="TitleChar"/>
    <w:uiPriority w:val="10"/>
    <w:qFormat/>
    <w:pPr>
      <w:spacing w:after="0" w:line="240" w:lineRule="auto"/>
      <w:contextualSpacing/>
    </w:pPr>
    <w:rPr>
      <w:rFonts w:asciiTheme="majorHAnsi" w:eastAsiaTheme="majorEastAsia" w:hAnsiTheme="majorHAnsi" w:cstheme="majorBidi"/>
      <w:color w:val="00AC4E" w:themeColor="accent1"/>
      <w:sz w:val="52"/>
      <w:szCs w:val="76"/>
    </w:rPr>
  </w:style>
  <w:style w:type="character" w:customStyle="1" w:styleId="TitleChar">
    <w:name w:val="Title Char"/>
    <w:basedOn w:val="DefaultParagraphFont"/>
    <w:link w:val="Title"/>
    <w:uiPriority w:val="10"/>
    <w:rPr>
      <w:rFonts w:asciiTheme="majorHAnsi" w:eastAsiaTheme="majorEastAsia" w:hAnsiTheme="majorHAnsi" w:cstheme="majorBidi"/>
      <w:color w:val="00AC4E" w:themeColor="accent1"/>
      <w:sz w:val="52"/>
      <w:szCs w:val="76"/>
    </w:rPr>
  </w:style>
  <w:style w:type="paragraph" w:styleId="ListParagraph">
    <w:name w:val="List Paragraph"/>
    <w:basedOn w:val="Normal"/>
    <w:uiPriority w:val="34"/>
    <w:qFormat/>
    <w:pPr>
      <w:ind w:left="720"/>
      <w:contextualSpacing/>
    </w:pPr>
  </w:style>
  <w:style w:type="paragraph" w:customStyle="1" w:styleId="Default">
    <w:name w:val="Default"/>
    <w:pPr>
      <w:spacing w:after="0" w:line="240" w:lineRule="auto"/>
    </w:pPr>
    <w:rPr>
      <w:rFonts w:ascii="Arial" w:hAnsi="Arial" w:cs="Arial"/>
      <w:color w:val="000000"/>
      <w:sz w:val="24"/>
      <w:szCs w:val="24"/>
    </w:rPr>
  </w:style>
  <w:style w:type="character" w:styleId="PlaceholderText">
    <w:name w:val="Placeholder Text"/>
    <w:basedOn w:val="DefaultParagraphFont"/>
    <w:uiPriority w:val="99"/>
    <w:semiHidden/>
    <w:rPr>
      <w:color w:val="808080"/>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00AC4E" w:themeColor="accent1"/>
      <w:spacing w:val="22"/>
      <w:sz w:val="52"/>
      <w:szCs w:val="76"/>
    </w:rPr>
  </w:style>
  <w:style w:type="character" w:customStyle="1" w:styleId="Heading2Char">
    <w:name w:val="Heading 2 Char"/>
    <w:basedOn w:val="DefaultParagraphFont"/>
    <w:link w:val="Heading2"/>
    <w:uiPriority w:val="9"/>
    <w:rPr>
      <w:rFonts w:asciiTheme="majorHAnsi" w:eastAsiaTheme="majorEastAsia" w:hAnsiTheme="majorHAnsi" w:cstheme="majorBidi"/>
      <w:iCs/>
      <w:color w:val="283A97" w:themeColor="accent3"/>
      <w:spacing w:val="8"/>
      <w:sz w:val="32"/>
      <w:szCs w:val="32"/>
    </w:rPr>
  </w:style>
  <w:style w:type="character" w:customStyle="1" w:styleId="Heading3Char">
    <w:name w:val="Heading 3 Char"/>
    <w:basedOn w:val="DefaultParagraphFont"/>
    <w:link w:val="Heading3"/>
    <w:uiPriority w:val="9"/>
    <w:rPr>
      <w:rFonts w:asciiTheme="majorHAnsi" w:eastAsiaTheme="majorEastAsia" w:hAnsiTheme="majorHAnsi" w:cstheme="majorBidi"/>
      <w:color w:val="283A97" w:themeColor="accent3"/>
      <w:spacing w:val="7"/>
      <w:sz w:val="28"/>
      <w:szCs w:val="28"/>
      <w:lang w:val="de-DE"/>
    </w:rPr>
  </w:style>
  <w:style w:type="character" w:customStyle="1" w:styleId="Heading4Char">
    <w:name w:val="Heading 4 Char"/>
    <w:basedOn w:val="DefaultParagraphFont"/>
    <w:link w:val="Heading4"/>
    <w:uiPriority w:val="9"/>
    <w:rPr>
      <w:rFonts w:asciiTheme="majorHAnsi" w:eastAsiaTheme="majorEastAsia" w:hAnsiTheme="majorHAnsi" w:cstheme="majorBidi"/>
      <w:iCs/>
      <w:color w:val="1E2B71" w:themeColor="accent3" w:themeShade="BF"/>
      <w:spacing w:val="8"/>
      <w:sz w:val="26"/>
      <w:szCs w:val="28"/>
    </w:rPr>
  </w:style>
  <w:style w:type="character" w:customStyle="1" w:styleId="Heading5Char">
    <w:name w:val="Heading 5 Char"/>
    <w:basedOn w:val="DefaultParagraphFont"/>
    <w:link w:val="Heading5"/>
    <w:uiPriority w:val="9"/>
    <w:rPr>
      <w:rFonts w:asciiTheme="majorHAnsi" w:eastAsiaTheme="majorEastAsia" w:hAnsiTheme="majorHAnsi" w:cstheme="majorBidi"/>
      <w:color w:val="6779D7" w:themeColor="accent3" w:themeTint="99"/>
      <w:sz w:val="24"/>
      <w:szCs w:val="24"/>
    </w:rPr>
  </w:style>
  <w:style w:type="character" w:customStyle="1" w:styleId="Heading6Char">
    <w:name w:val="Heading 6 Char"/>
    <w:basedOn w:val="DefaultParagraphFont"/>
    <w:link w:val="Heading6"/>
    <w:uiPriority w:val="9"/>
    <w:rPr>
      <w:rFonts w:asciiTheme="majorHAnsi" w:eastAsiaTheme="majorEastAsia" w:hAnsiTheme="majorHAnsi" w:cstheme="majorBidi"/>
      <w:i/>
      <w:iCs/>
      <w:color w:val="6779D7" w:themeColor="accent3" w:themeTint="99"/>
      <w:sz w:val="24"/>
      <w:szCs w:val="24"/>
    </w:rPr>
  </w:style>
  <w:style w:type="character" w:customStyle="1" w:styleId="Heading7Char">
    <w:name w:val="Heading 7 Char"/>
    <w:basedOn w:val="DefaultParagraphFont"/>
    <w:link w:val="Heading7"/>
    <w:uiPriority w:val="9"/>
    <w:rPr>
      <w:rFonts w:asciiTheme="majorHAnsi" w:eastAsiaTheme="majorEastAsia" w:hAnsiTheme="majorHAnsi" w:cstheme="majorBidi"/>
      <w:color w:val="282B35" w:themeColor="text2"/>
      <w:sz w:val="24"/>
      <w:szCs w:val="24"/>
    </w:rPr>
  </w:style>
  <w:style w:type="character" w:customStyle="1" w:styleId="Heading8Char">
    <w:name w:val="Heading 8 Char"/>
    <w:basedOn w:val="DefaultParagraphFont"/>
    <w:link w:val="Heading8"/>
    <w:uiPriority w:val="9"/>
    <w:rPr>
      <w:rFonts w:asciiTheme="majorHAnsi" w:eastAsiaTheme="majorEastAsia" w:hAnsiTheme="majorHAnsi" w:cstheme="majorBidi"/>
      <w:caps/>
      <w:sz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aps/>
      <w:sz w:val="20"/>
    </w:rPr>
  </w:style>
  <w:style w:type="paragraph" w:styleId="Caption">
    <w:name w:val="caption"/>
    <w:basedOn w:val="Normal"/>
    <w:next w:val="Normal"/>
    <w:uiPriority w:val="35"/>
    <w:unhideWhenUsed/>
    <w:qFormat/>
    <w:pPr>
      <w:spacing w:line="240" w:lineRule="auto"/>
    </w:pPr>
    <w:rPr>
      <w:b/>
      <w:bCs/>
      <w:color w:val="009889" w:themeColor="accent2"/>
      <w:spacing w:val="10"/>
      <w:sz w:val="16"/>
      <w:szCs w:val="16"/>
    </w:rPr>
  </w:style>
  <w:style w:type="paragraph" w:styleId="Subtitle">
    <w:name w:val="Subtitle"/>
    <w:basedOn w:val="Normal"/>
    <w:next w:val="Normal"/>
    <w:link w:val="SubtitleChar"/>
    <w:uiPriority w:val="11"/>
    <w:qFormat/>
    <w:pPr>
      <w:numPr>
        <w:ilvl w:val="1"/>
      </w:numPr>
      <w:spacing w:after="240"/>
    </w:pPr>
    <w:rPr>
      <w:color w:val="48516A" w:themeColor="text1"/>
      <w:sz w:val="24"/>
      <w:szCs w:val="24"/>
    </w:rPr>
  </w:style>
  <w:style w:type="character" w:customStyle="1" w:styleId="SubtitleChar">
    <w:name w:val="Subtitle Char"/>
    <w:basedOn w:val="DefaultParagraphFont"/>
    <w:link w:val="Subtitle"/>
    <w:uiPriority w:val="11"/>
    <w:rPr>
      <w:color w:val="48516A" w:themeColor="text1"/>
      <w:sz w:val="24"/>
      <w:szCs w:val="24"/>
    </w:rPr>
  </w:style>
  <w:style w:type="character" w:styleId="Strong">
    <w:name w:val="Strong"/>
    <w:basedOn w:val="DefaultParagraphFont"/>
    <w:uiPriority w:val="22"/>
    <w:qFormat/>
    <w:rPr>
      <w:rFonts w:asciiTheme="minorHAnsi" w:eastAsiaTheme="minorEastAsia" w:hAnsiTheme="minorHAnsi" w:cstheme="minorBidi"/>
      <w:b/>
      <w:bCs/>
      <w:spacing w:val="0"/>
      <w:position w:val="0"/>
      <w:sz w:val="20"/>
      <w:szCs w:val="20"/>
    </w:rPr>
  </w:style>
  <w:style w:type="character" w:styleId="Emphasis">
    <w:name w:val="Emphasis"/>
    <w:basedOn w:val="DefaultParagraphFont"/>
    <w:uiPriority w:val="20"/>
    <w:qFormat/>
    <w:rPr>
      <w:rFonts w:asciiTheme="minorHAnsi" w:eastAsiaTheme="minorEastAsia" w:hAnsiTheme="minorHAnsi" w:cstheme="minorBidi"/>
      <w:i/>
      <w:iCs/>
      <w:color w:val="92C83E" w:themeColor="accent4"/>
      <w:sz w:val="20"/>
      <w:szCs w:val="20"/>
    </w:rPr>
  </w:style>
  <w:style w:type="paragraph" w:styleId="Quote">
    <w:name w:val="Quote"/>
    <w:basedOn w:val="Normal"/>
    <w:next w:val="Normal"/>
    <w:link w:val="QuoteChar"/>
    <w:uiPriority w:val="29"/>
    <w:qFormat/>
    <w:pPr>
      <w:pBdr>
        <w:left w:val="single" w:sz="18" w:space="4" w:color="00AC4E" w:themeColor="accent1"/>
      </w:pBdr>
      <w:spacing w:before="160" w:after="0"/>
      <w:ind w:left="227"/>
    </w:pPr>
    <w:rPr>
      <w:rFonts w:ascii="Poppins SemiBold" w:eastAsiaTheme="majorEastAsia" w:hAnsi="Poppins SemiBold" w:cstheme="majorBidi"/>
      <w:i/>
      <w:sz w:val="22"/>
      <w:szCs w:val="24"/>
    </w:rPr>
  </w:style>
  <w:style w:type="character" w:customStyle="1" w:styleId="QuoteChar">
    <w:name w:val="Quote Char"/>
    <w:basedOn w:val="DefaultParagraphFont"/>
    <w:link w:val="Quote"/>
    <w:uiPriority w:val="29"/>
    <w:rPr>
      <w:rFonts w:ascii="Poppins SemiBold" w:eastAsiaTheme="majorEastAsia" w:hAnsi="Poppins SemiBold" w:cstheme="majorBidi"/>
      <w:i/>
      <w:sz w:val="22"/>
      <w:szCs w:val="24"/>
    </w:rPr>
  </w:style>
  <w:style w:type="paragraph" w:styleId="IntenseQuote">
    <w:name w:val="Intense Quote"/>
    <w:basedOn w:val="Normal"/>
    <w:next w:val="Normal"/>
    <w:link w:val="IntenseQuoteChar"/>
    <w:uiPriority w:val="30"/>
    <w:qFormat/>
    <w:pPr>
      <w:spacing w:before="100" w:beforeAutospacing="1" w:after="240"/>
      <w:ind w:left="936" w:right="936"/>
      <w:jc w:val="center"/>
    </w:pPr>
    <w:rPr>
      <w:rFonts w:asciiTheme="majorHAnsi" w:eastAsiaTheme="majorEastAsia" w:hAnsiTheme="majorHAnsi" w:cstheme="majorBidi"/>
      <w:caps/>
      <w:color w:val="00AC4E" w:themeColor="accent1"/>
      <w:spacing w:val="10"/>
      <w:sz w:val="28"/>
      <w:szCs w:val="28"/>
    </w:rPr>
  </w:style>
  <w:style w:type="character" w:customStyle="1" w:styleId="IntenseQuoteChar">
    <w:name w:val="Intense Quote Char"/>
    <w:basedOn w:val="DefaultParagraphFont"/>
    <w:link w:val="IntenseQuote"/>
    <w:uiPriority w:val="30"/>
    <w:rPr>
      <w:rFonts w:asciiTheme="majorHAnsi" w:eastAsiaTheme="majorEastAsia" w:hAnsiTheme="majorHAnsi" w:cstheme="majorBidi"/>
      <w:caps/>
      <w:color w:val="00AC4E" w:themeColor="accent1"/>
      <w:spacing w:val="10"/>
      <w:sz w:val="28"/>
      <w:szCs w:val="28"/>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rFonts w:asciiTheme="minorHAnsi" w:eastAsiaTheme="minorEastAsia" w:hAnsiTheme="minorHAnsi" w:cstheme="minorBidi"/>
      <w:b/>
      <w:bCs/>
      <w:i/>
      <w:iCs/>
      <w:color w:val="92C83E" w:themeColor="accent4"/>
      <w:spacing w:val="0"/>
      <w:position w:val="0"/>
      <w:sz w:val="20"/>
      <w:szCs w:val="20"/>
    </w:rPr>
  </w:style>
  <w:style w:type="character" w:styleId="SubtleReference">
    <w:name w:val="Subtle Reference"/>
    <w:basedOn w:val="DefaultParagraphFont"/>
    <w:uiPriority w:val="31"/>
    <w:qFormat/>
    <w:rPr>
      <w:rFonts w:asciiTheme="minorHAnsi" w:eastAsiaTheme="minorEastAsia" w:hAnsiTheme="minorHAnsi" w:cstheme="minorBidi"/>
      <w:caps w:val="0"/>
      <w:smallCaps/>
      <w:color w:val="auto"/>
      <w:spacing w:val="10"/>
      <w:sz w:val="20"/>
      <w:szCs w:val="20"/>
      <w:u w:val="single"/>
    </w:rPr>
  </w:style>
  <w:style w:type="character" w:styleId="IntenseReference">
    <w:name w:val="Intense Reference"/>
    <w:basedOn w:val="DefaultParagraphFont"/>
    <w:uiPriority w:val="32"/>
    <w:qFormat/>
    <w:rPr>
      <w:rFonts w:asciiTheme="minorHAnsi" w:eastAsiaTheme="minorEastAsia" w:hAnsiTheme="minorHAnsi" w:cstheme="minorBidi"/>
      <w:b/>
      <w:bCs/>
      <w:caps w:val="0"/>
      <w:smallCaps/>
      <w:color w:val="555F7D" w:themeColor="text1" w:themeTint="E6"/>
      <w:spacing w:val="10"/>
      <w:position w:val="0"/>
      <w:sz w:val="20"/>
      <w:szCs w:val="20"/>
      <w:u w:val="single"/>
    </w:rPr>
  </w:style>
  <w:style w:type="character" w:styleId="BookTitle">
    <w:name w:val="Book Title"/>
    <w:basedOn w:val="DefaultParagraphFont"/>
    <w:uiPriority w:val="33"/>
    <w:qFormat/>
    <w:rPr>
      <w:rFonts w:asciiTheme="minorHAnsi" w:eastAsiaTheme="minorEastAsia" w:hAnsiTheme="minorHAnsi" w:cstheme="minorBidi"/>
      <w:b/>
      <w:bCs/>
      <w:i/>
      <w:iCs/>
      <w:caps w:val="0"/>
      <w:smallCaps w:val="0"/>
      <w:color w:val="auto"/>
      <w:spacing w:val="10"/>
      <w:sz w:val="20"/>
      <w:szCs w:val="20"/>
    </w:rPr>
  </w:style>
  <w:style w:type="paragraph" w:styleId="TOCHeading">
    <w:name w:val="TOC Heading"/>
    <w:basedOn w:val="Heading1"/>
    <w:next w:val="Normal"/>
    <w:uiPriority w:val="39"/>
    <w:unhideWhenUsed/>
    <w:qFormat/>
    <w:pPr>
      <w:outlineLvl w:val="9"/>
    </w:pPr>
  </w:style>
  <w:style w:type="table" w:styleId="TableGrid">
    <w:name w:val="Table Grid"/>
    <w:basedOn w:val="TableNormal"/>
    <w:uiPriority w:val="3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ListTable3">
    <w:name w:val="List Table 3"/>
    <w:basedOn w:val="TableNormal"/>
    <w:uiPriority w:val="48"/>
    <w:pPr>
      <w:spacing w:after="0" w:line="240" w:lineRule="auto"/>
    </w:pPr>
    <w:tblPr>
      <w:tblStyleRowBandSize w:val="1"/>
      <w:tblStyleColBandSize w:val="1"/>
      <w:tblBorders>
        <w:top w:val="single" w:sz="4" w:space="0" w:color="48516A" w:themeColor="text1"/>
        <w:left w:val="single" w:sz="4" w:space="0" w:color="48516A" w:themeColor="text1"/>
        <w:bottom w:val="single" w:sz="4" w:space="0" w:color="48516A" w:themeColor="text1"/>
        <w:right w:val="single" w:sz="4" w:space="0" w:color="48516A" w:themeColor="text1"/>
      </w:tblBorders>
    </w:tblPr>
    <w:tblStylePr w:type="firstRow">
      <w:rPr>
        <w:b/>
        <w:bCs/>
        <w:color w:val="FFFFFF" w:themeColor="background1"/>
      </w:rPr>
      <w:tblPr/>
      <w:tcPr>
        <w:shd w:val="clear" w:color="auto" w:fill="48516A" w:themeFill="text1"/>
      </w:tcPr>
    </w:tblStylePr>
    <w:tblStylePr w:type="lastRow">
      <w:rPr>
        <w:b/>
        <w:bCs/>
      </w:rPr>
      <w:tblPr/>
      <w:tcPr>
        <w:tcBorders>
          <w:top w:val="single" w:sz="4" w:space="0" w:color="48516A" w:themeColor="text1"/>
        </w:tcBorders>
        <w:shd w:val="clear" w:color="auto" w:fill="FFFFFF" w:themeFill="background1"/>
      </w:tcPr>
    </w:tblStylePr>
    <w:tblStylePr w:type="firstCol">
      <w:rPr>
        <w:b/>
        <w:bCs/>
      </w:rPr>
      <w:tblPr/>
      <w:tcPr>
        <w:tcBorders>
          <w:right w:val="none" w:sz="4" w:space="0" w:color="000000"/>
        </w:tcBorders>
        <w:shd w:val="clear" w:color="auto" w:fill="FFFFFF" w:themeFill="background1"/>
      </w:tcPr>
    </w:tblStylePr>
    <w:tblStylePr w:type="lastCol">
      <w:rPr>
        <w:b/>
        <w:bCs/>
      </w:rPr>
      <w:tblPr/>
      <w:tcPr>
        <w:tcBorders>
          <w:left w:val="none" w:sz="4" w:space="0" w:color="000000"/>
        </w:tcBorders>
        <w:shd w:val="clear" w:color="auto" w:fill="FFFFFF" w:themeFill="background1"/>
      </w:tcPr>
    </w:tblStylePr>
    <w:tblStylePr w:type="band1Vert">
      <w:tblPr/>
      <w:tcPr>
        <w:tcBorders>
          <w:left w:val="single" w:sz="4" w:space="0" w:color="48516A" w:themeColor="text1"/>
          <w:right w:val="single" w:sz="4" w:space="0" w:color="48516A" w:themeColor="text1"/>
        </w:tcBorders>
      </w:tcPr>
    </w:tblStylePr>
    <w:tblStylePr w:type="band1Horz">
      <w:tblPr/>
      <w:tcPr>
        <w:tcBorders>
          <w:top w:val="single" w:sz="4" w:space="0" w:color="48516A" w:themeColor="text1"/>
          <w:bottom w:val="single" w:sz="4" w:space="0" w:color="48516A" w:themeColor="text1"/>
        </w:tcBorders>
      </w:tcPr>
    </w:tblStylePr>
    <w:tblStylePr w:type="neCell">
      <w:tblPr/>
      <w:tcPr>
        <w:tcBorders>
          <w:left w:val="none" w:sz="4" w:space="0" w:color="000000"/>
          <w:bottom w:val="none" w:sz="4" w:space="0" w:color="000000"/>
        </w:tcBorders>
      </w:tcPr>
    </w:tblStylePr>
    <w:tblStylePr w:type="nwCell">
      <w:tblPr/>
      <w:tcPr>
        <w:tcBorders>
          <w:bottom w:val="none" w:sz="4" w:space="0" w:color="000000"/>
          <w:right w:val="none" w:sz="4" w:space="0" w:color="000000"/>
        </w:tcBorders>
      </w:tcPr>
    </w:tblStylePr>
    <w:tblStylePr w:type="seCell">
      <w:tblPr/>
      <w:tcPr>
        <w:tcBorders>
          <w:top w:val="single" w:sz="4" w:space="0" w:color="48516A" w:themeColor="text1"/>
          <w:left w:val="none" w:sz="4" w:space="0" w:color="000000"/>
        </w:tcBorders>
      </w:tcPr>
    </w:tblStylePr>
    <w:tblStylePr w:type="swCell">
      <w:tblPr/>
      <w:tcPr>
        <w:tcBorders>
          <w:top w:val="single" w:sz="4" w:space="0" w:color="48516A" w:themeColor="text1"/>
          <w:right w:val="none" w:sz="4" w:space="0" w:color="000000"/>
        </w:tcBorders>
      </w:tcPr>
    </w:tblStylePr>
  </w:style>
  <w:style w:type="table" w:styleId="PlainTable4">
    <w:name w:val="Plain Table 4"/>
    <w:basedOn w:val="TableNormal"/>
    <w:uiPriority w:val="44"/>
    <w:pPr>
      <w:spacing w:after="0" w:line="240" w:lineRule="auto"/>
    </w:pPr>
    <w:tblPr>
      <w:tblStyleRowBandSize w:val="1"/>
      <w:tblStyleColBandSize w:val="1"/>
    </w:tblPr>
    <w:tcPr>
      <w:shd w:val="clear" w:color="auto" w:fill="auto"/>
    </w:tc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FFFFF" w:themeFill="background1"/>
      </w:tcPr>
    </w:tblStylePr>
  </w:style>
  <w:style w:type="table" w:styleId="GridTable5Dark-Accent10">
    <w:name w:val="Grid Table 5 Dark Accent 1"/>
    <w:basedOn w:val="TableNormal"/>
    <w:uiPriority w:val="5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BFFD9"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tcBorders>
        <w:shd w:val="clear" w:color="auto" w:fill="00AC4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tcBorders>
        <w:shd w:val="clear" w:color="auto" w:fill="00AC4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tcBorders>
        <w:shd w:val="clear" w:color="auto" w:fill="00AC4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tcBorders>
        <w:shd w:val="clear" w:color="auto" w:fill="00AC4E" w:themeFill="accent1"/>
      </w:tcPr>
    </w:tblStylePr>
    <w:tblStylePr w:type="band1Vert">
      <w:tblPr/>
      <w:tcPr>
        <w:shd w:val="clear" w:color="auto" w:fill="77FFB4" w:themeFill="accent1" w:themeFillTint="66"/>
      </w:tcPr>
    </w:tblStylePr>
    <w:tblStylePr w:type="band1Horz">
      <w:tblPr/>
      <w:tcPr>
        <w:shd w:val="clear" w:color="auto" w:fill="77FFB4" w:themeFill="accent1" w:themeFillTint="66"/>
      </w:tcPr>
    </w:tblStylePr>
  </w:style>
  <w:style w:type="paragraph" w:styleId="TOC2">
    <w:name w:val="toc 2"/>
    <w:basedOn w:val="Normal"/>
    <w:next w:val="Normal"/>
    <w:uiPriority w:val="39"/>
    <w:unhideWhenUsed/>
    <w:pPr>
      <w:spacing w:before="120" w:after="0"/>
      <w:ind w:left="200"/>
    </w:pPr>
    <w:rPr>
      <w:rFonts w:cstheme="minorHAnsi"/>
      <w:b/>
      <w:bCs/>
      <w:sz w:val="22"/>
      <w:szCs w:val="22"/>
    </w:rPr>
  </w:style>
  <w:style w:type="paragraph" w:styleId="TOC1">
    <w:name w:val="toc 1"/>
    <w:basedOn w:val="Normal"/>
    <w:next w:val="Normal"/>
    <w:uiPriority w:val="39"/>
    <w:unhideWhenUsed/>
    <w:pPr>
      <w:spacing w:before="120" w:after="0"/>
    </w:pPr>
    <w:rPr>
      <w:rFonts w:cstheme="minorHAnsi"/>
      <w:b/>
      <w:bCs/>
      <w:i/>
      <w:iCs/>
      <w:sz w:val="24"/>
      <w:szCs w:val="24"/>
    </w:rPr>
  </w:style>
  <w:style w:type="paragraph" w:styleId="TOC3">
    <w:name w:val="toc 3"/>
    <w:basedOn w:val="Normal"/>
    <w:next w:val="Normal"/>
    <w:uiPriority w:val="39"/>
    <w:unhideWhenUsed/>
    <w:pPr>
      <w:spacing w:after="0"/>
      <w:ind w:left="400"/>
    </w:pPr>
    <w:rPr>
      <w:rFonts w:cstheme="minorHAnsi"/>
      <w:szCs w:val="20"/>
    </w:rPr>
  </w:style>
  <w:style w:type="character" w:styleId="Hyperlink">
    <w:name w:val="Hyperlink"/>
    <w:basedOn w:val="DefaultParagraphFont"/>
    <w:uiPriority w:val="99"/>
    <w:unhideWhenUsed/>
    <w:rPr>
      <w:color w:val="F6C95A" w:themeColor="hyperlink"/>
      <w:u w:val="single"/>
    </w:rPr>
  </w:style>
  <w:style w:type="table" w:customStyle="1" w:styleId="Workpackage6">
    <w:name w:val="Work package 6"/>
    <w:basedOn w:val="TableNormal"/>
    <w:uiPriority w:val="99"/>
    <w:pPr>
      <w:spacing w:after="0" w:line="240" w:lineRule="auto"/>
    </w:pPr>
    <w:tblPr>
      <w:tblStyleRowBandSize w:val="1"/>
    </w:tblPr>
    <w:tcPr>
      <w:vAlign w:val="center"/>
    </w:tcPr>
    <w:tblStylePr w:type="firstRow">
      <w:tblPr/>
      <w:tcPr>
        <w:shd w:val="clear" w:color="auto" w:fill="8597B1"/>
      </w:tcPr>
    </w:tblStylePr>
    <w:tblStylePr w:type="band2Horz">
      <w:tblPr/>
      <w:tcPr>
        <w:shd w:val="clear" w:color="auto" w:fill="E0E5EB"/>
      </w:tcPr>
    </w:tblStylePr>
  </w:style>
  <w:style w:type="table" w:customStyle="1" w:styleId="WorkPackage4">
    <w:name w:val="Work Package 4"/>
    <w:basedOn w:val="TableNormal"/>
    <w:uiPriority w:val="99"/>
    <w:pPr>
      <w:spacing w:after="0" w:line="240" w:lineRule="auto"/>
    </w:pPr>
    <w:tblPr>
      <w:tblStyleRowBandSize w:val="1"/>
    </w:tblPr>
    <w:tcPr>
      <w:vAlign w:val="center"/>
    </w:tcPr>
    <w:tblStylePr w:type="firstRow">
      <w:pPr>
        <w:jc w:val="left"/>
      </w:pPr>
      <w:rPr>
        <w:color w:val="FFFFFF" w:themeColor="background1"/>
      </w:rPr>
      <w:tblPr/>
      <w:tcPr>
        <w:shd w:val="clear" w:color="auto" w:fill="48516A" w:themeFill="text1"/>
      </w:tcPr>
    </w:tblStylePr>
    <w:tblStylePr w:type="band2Horz">
      <w:tblPr/>
      <w:tcPr>
        <w:shd w:val="clear" w:color="auto" w:fill="E4E9EE"/>
      </w:tcPr>
    </w:tblStylePr>
  </w:style>
  <w:style w:type="table" w:customStyle="1" w:styleId="Workpackage5">
    <w:name w:val="Work package 5"/>
    <w:basedOn w:val="TableNormal"/>
    <w:uiPriority w:val="99"/>
    <w:pPr>
      <w:spacing w:after="0" w:line="240" w:lineRule="auto"/>
    </w:pPr>
    <w:tblPr>
      <w:tblStyleRowBandSize w:val="1"/>
    </w:tblPr>
    <w:tcPr>
      <w:vAlign w:val="center"/>
    </w:tcPr>
    <w:tblStylePr w:type="firstRow">
      <w:rPr>
        <w:color w:val="F5F5F6" w:themeColor="background2"/>
      </w:rPr>
      <w:tblPr/>
      <w:tcPr>
        <w:shd w:val="clear" w:color="auto" w:fill="92C83E" w:themeFill="accent4"/>
      </w:tcPr>
    </w:tblStylePr>
    <w:tblStylePr w:type="band2Horz">
      <w:tblPr/>
      <w:tcPr>
        <w:shd w:val="clear" w:color="auto" w:fill="E9F4D8" w:themeFill="accent4" w:themeFillTint="33"/>
      </w:tcPr>
    </w:tblStylePr>
  </w:style>
  <w:style w:type="table" w:customStyle="1" w:styleId="Workpackage3">
    <w:name w:val="Work package 3"/>
    <w:basedOn w:val="TableNormal"/>
    <w:uiPriority w:val="99"/>
    <w:pPr>
      <w:spacing w:after="0" w:line="240" w:lineRule="auto"/>
    </w:pPr>
    <w:tblPr>
      <w:tblStyleRowBandSize w:val="1"/>
    </w:tblPr>
    <w:tcPr>
      <w:vAlign w:val="center"/>
    </w:tcPr>
    <w:tblStylePr w:type="firstRow">
      <w:tblPr/>
      <w:tcPr>
        <w:shd w:val="clear" w:color="auto" w:fill="283A97" w:themeFill="accent3"/>
      </w:tcPr>
    </w:tblStylePr>
    <w:tblStylePr w:type="band2Horz">
      <w:pPr>
        <w:jc w:val="left"/>
      </w:pPr>
      <w:tblPr/>
      <w:tcPr>
        <w:shd w:val="clear" w:color="auto" w:fill="CCD2F1" w:themeFill="accent3" w:themeFillTint="33"/>
      </w:tcPr>
    </w:tblStylePr>
  </w:style>
  <w:style w:type="table" w:customStyle="1" w:styleId="Workpackage2">
    <w:name w:val="Work package 2"/>
    <w:basedOn w:val="TableNormal"/>
    <w:uiPriority w:val="99"/>
    <w:pPr>
      <w:spacing w:after="0" w:line="240" w:lineRule="auto"/>
    </w:pPr>
    <w:tblPr>
      <w:tblStyleRowBandSize w:val="1"/>
    </w:tblPr>
    <w:tcPr>
      <w:vAlign w:val="center"/>
    </w:tcPr>
    <w:tblStylePr w:type="firstRow">
      <w:rPr>
        <w:color w:val="F5F5F6" w:themeColor="background2"/>
      </w:rPr>
      <w:tblPr/>
      <w:tcPr>
        <w:shd w:val="clear" w:color="auto" w:fill="009889" w:themeFill="accent2"/>
      </w:tcPr>
    </w:tblStylePr>
    <w:tblStylePr w:type="band2Horz">
      <w:tblPr/>
      <w:tcPr>
        <w:shd w:val="clear" w:color="auto" w:fill="B7FFF7" w:themeFill="accent2" w:themeFillTint="33"/>
      </w:tcPr>
    </w:tblStylePr>
  </w:style>
  <w:style w:type="table" w:customStyle="1" w:styleId="Workpackage1">
    <w:name w:val="Work package 1"/>
    <w:basedOn w:val="TableNormal"/>
    <w:uiPriority w:val="99"/>
    <w:pPr>
      <w:spacing w:after="0" w:line="240" w:lineRule="auto"/>
    </w:pPr>
    <w:tblPr>
      <w:tblStyleRowBandSize w:val="1"/>
    </w:tblPr>
    <w:tcPr>
      <w:vAlign w:val="center"/>
    </w:tcPr>
    <w:tblStylePr w:type="firstRow">
      <w:rPr>
        <w:color w:val="F5F5F6" w:themeColor="background2"/>
      </w:rPr>
      <w:tblPr/>
      <w:tcPr>
        <w:shd w:val="clear" w:color="auto" w:fill="48516A" w:themeFill="text1"/>
      </w:tcPr>
    </w:tblStylePr>
    <w:tblStylePr w:type="band2Horz">
      <w:tblPr/>
      <w:tcPr>
        <w:shd w:val="clear" w:color="auto" w:fill="D7DAE4" w:themeFill="text1" w:themeFillTint="33"/>
      </w:tcPr>
    </w:tblStylePr>
  </w:style>
  <w:style w:type="numbering" w:customStyle="1" w:styleId="Digital4Business">
    <w:name w:val="Digital4Business"/>
    <w:uiPriority w:val="99"/>
    <w:pPr>
      <w:numPr>
        <w:numId w:val="9"/>
      </w:numPr>
    </w:pPr>
  </w:style>
  <w:style w:type="paragraph" w:customStyle="1" w:styleId="TableParagraph">
    <w:name w:val="Table Paragraph"/>
    <w:basedOn w:val="Normal"/>
    <w:uiPriority w:val="1"/>
    <w:qFormat/>
    <w:pPr>
      <w:widowControl w:val="0"/>
      <w:spacing w:after="0" w:line="240" w:lineRule="auto"/>
    </w:pPr>
    <w:rPr>
      <w:rFonts w:ascii="Arial" w:eastAsia="Arial" w:hAnsi="Arial" w:cs="Arial"/>
      <w:sz w:val="22"/>
      <w:szCs w:val="22"/>
      <w:lang w:val="en-US"/>
    </w:rPr>
  </w:style>
  <w:style w:type="table" w:customStyle="1" w:styleId="GridTable4-Accent22">
    <w:name w:val="Grid Table 4 - Accent 22"/>
    <w:basedOn w:val="TableNormal"/>
    <w:next w:val="GridTable4-Accent2"/>
    <w:uiPriority w:val="49"/>
    <w:pPr>
      <w:spacing w:after="0" w:line="240" w:lineRule="auto"/>
    </w:pPr>
    <w:tblPr>
      <w:tblStyleRowBandSize w:val="1"/>
      <w:tblStyleColBandSize w:val="1"/>
    </w:tblPr>
    <w:tcPr>
      <w:shd w:val="clear" w:color="auto" w:fill="F5F5F6" w:themeFill="background2"/>
      <w:vAlign w:val="center"/>
    </w:tcPr>
    <w:tblStylePr w:type="firstRow">
      <w:rPr>
        <w:b/>
        <w:bCs/>
        <w:color w:val="FFFFFF" w:themeColor="background1"/>
      </w:rPr>
      <w:tblPr/>
      <w:tcPr>
        <w:shd w:val="clear" w:color="auto" w:fill="48516A" w:themeFill="text1"/>
      </w:tcPr>
    </w:tblStylePr>
    <w:tblStylePr w:type="lastRow">
      <w:rPr>
        <w:b/>
        <w:bCs/>
      </w:rPr>
      <w:tblPr/>
      <w:tcPr>
        <w:tcBorders>
          <w:top w:val="single" w:sz="4" w:space="0" w:color="009889" w:themeColor="accent2"/>
        </w:tcBorders>
      </w:tcPr>
    </w:tblStylePr>
    <w:tblStylePr w:type="firstCol">
      <w:rPr>
        <w:b/>
        <w:bCs/>
      </w:rPr>
    </w:tblStylePr>
    <w:tblStylePr w:type="lastCol">
      <w:pPr>
        <w:jc w:val="left"/>
      </w:pPr>
      <w:rPr>
        <w:b/>
        <w:bCs/>
      </w:rPr>
      <w:tblPr/>
      <w:tcPr>
        <w:vAlign w:val="center"/>
      </w:tcPr>
    </w:tblStylePr>
    <w:tblStylePr w:type="band2Horz">
      <w:tblPr/>
      <w:tcPr>
        <w:shd w:val="clear" w:color="auto" w:fill="FFFFFF" w:themeFill="background1"/>
      </w:tcPr>
    </w:tblStyle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pPr>
      <w:spacing w:line="240" w:lineRule="auto"/>
    </w:pPr>
    <w:rPr>
      <w:szCs w:val="20"/>
    </w:rPr>
  </w:style>
  <w:style w:type="character" w:customStyle="1" w:styleId="CommentTextChar">
    <w:name w:val="Comment Text Char"/>
    <w:basedOn w:val="DefaultParagraphFont"/>
    <w:link w:val="CommentText"/>
    <w:uiPriority w:val="99"/>
    <w:semiHidden/>
    <w:rPr>
      <w:sz w:val="20"/>
      <w:szCs w:val="20"/>
    </w:rPr>
  </w:style>
  <w:style w:type="paragraph" w:styleId="TOC4">
    <w:name w:val="toc 4"/>
    <w:basedOn w:val="Normal"/>
    <w:next w:val="Normal"/>
    <w:uiPriority w:val="39"/>
    <w:unhideWhenUsed/>
    <w:pPr>
      <w:spacing w:after="0"/>
      <w:ind w:left="600"/>
    </w:pPr>
    <w:rPr>
      <w:rFonts w:cstheme="minorHAnsi"/>
      <w:szCs w:val="20"/>
    </w:rPr>
  </w:style>
  <w:style w:type="paragraph" w:styleId="TOC5">
    <w:name w:val="toc 5"/>
    <w:basedOn w:val="Normal"/>
    <w:next w:val="Normal"/>
    <w:uiPriority w:val="39"/>
    <w:unhideWhenUsed/>
    <w:pPr>
      <w:spacing w:after="0"/>
      <w:ind w:left="800"/>
    </w:pPr>
    <w:rPr>
      <w:rFonts w:cstheme="minorHAnsi"/>
      <w:szCs w:val="20"/>
    </w:rPr>
  </w:style>
  <w:style w:type="paragraph" w:styleId="TOC6">
    <w:name w:val="toc 6"/>
    <w:basedOn w:val="Normal"/>
    <w:next w:val="Normal"/>
    <w:uiPriority w:val="39"/>
    <w:unhideWhenUsed/>
    <w:pPr>
      <w:spacing w:after="0"/>
      <w:ind w:left="1000"/>
    </w:pPr>
    <w:rPr>
      <w:rFonts w:cstheme="minorHAnsi"/>
      <w:szCs w:val="20"/>
    </w:rPr>
  </w:style>
  <w:style w:type="paragraph" w:styleId="TOC7">
    <w:name w:val="toc 7"/>
    <w:basedOn w:val="Normal"/>
    <w:next w:val="Normal"/>
    <w:uiPriority w:val="39"/>
    <w:unhideWhenUsed/>
    <w:pPr>
      <w:spacing w:after="0"/>
      <w:ind w:left="1200"/>
    </w:pPr>
    <w:rPr>
      <w:rFonts w:cstheme="minorHAnsi"/>
      <w:szCs w:val="20"/>
    </w:rPr>
  </w:style>
  <w:style w:type="paragraph" w:styleId="TOC8">
    <w:name w:val="toc 8"/>
    <w:basedOn w:val="Normal"/>
    <w:next w:val="Normal"/>
    <w:uiPriority w:val="39"/>
    <w:unhideWhenUsed/>
    <w:pPr>
      <w:spacing w:after="0"/>
      <w:ind w:left="1400"/>
    </w:pPr>
    <w:rPr>
      <w:rFonts w:cstheme="minorHAnsi"/>
      <w:szCs w:val="20"/>
    </w:rPr>
  </w:style>
  <w:style w:type="paragraph" w:styleId="TOC9">
    <w:name w:val="toc 9"/>
    <w:basedOn w:val="Normal"/>
    <w:next w:val="Normal"/>
    <w:uiPriority w:val="39"/>
    <w:unhideWhenUsed/>
    <w:pPr>
      <w:spacing w:after="0"/>
      <w:ind w:left="1600"/>
    </w:pPr>
    <w:rPr>
      <w:rFonts w:cstheme="minorHAnsi"/>
      <w:szCs w:val="20"/>
    </w:rPr>
  </w:style>
  <w:style w:type="paragraph" w:styleId="FootnoteText">
    <w:name w:val="footnote text"/>
    <w:basedOn w:val="Normal"/>
    <w:link w:val="FootnoteTextChar"/>
    <w:uiPriority w:val="99"/>
    <w:semiHidden/>
    <w:unhideWhenUsed/>
    <w:pPr>
      <w:spacing w:after="0" w:line="240" w:lineRule="auto"/>
    </w:pPr>
    <w:rPr>
      <w:sz w:val="14"/>
      <w:szCs w:val="20"/>
    </w:rPr>
  </w:style>
  <w:style w:type="character" w:customStyle="1" w:styleId="FootnoteTextChar">
    <w:name w:val="Footnote Text Char"/>
    <w:basedOn w:val="DefaultParagraphFont"/>
    <w:link w:val="FootnoteText"/>
    <w:uiPriority w:val="99"/>
    <w:semiHidden/>
    <w:rPr>
      <w:sz w:val="14"/>
      <w:szCs w:val="20"/>
    </w:rPr>
  </w:style>
  <w:style w:type="character" w:styleId="FootnoteReference">
    <w:name w:val="footnote reference"/>
    <w:basedOn w:val="DefaultParagraphFont"/>
    <w:uiPriority w:val="99"/>
    <w:unhideWhenUsed/>
    <w:rPr>
      <w:vertAlign w:val="superscript"/>
    </w:rPr>
  </w:style>
  <w:style w:type="character" w:styleId="UnresolvedMention">
    <w:name w:val="Unresolved Mention"/>
    <w:basedOn w:val="DefaultParagraphFont"/>
    <w:uiPriority w:val="99"/>
    <w:semiHidden/>
    <w:unhideWhenUsed/>
    <w:rsid w:val="00091F56"/>
    <w:rPr>
      <w:color w:val="605E5C"/>
      <w:shd w:val="clear" w:color="auto" w:fill="E1DFDD"/>
    </w:rPr>
  </w:style>
  <w:style w:type="character" w:customStyle="1" w:styleId="ng-star-inserted">
    <w:name w:val="ng-star-inserted"/>
    <w:basedOn w:val="DefaultParagraphFont"/>
    <w:rsid w:val="001B6962"/>
  </w:style>
  <w:style w:type="table" w:customStyle="1" w:styleId="GridTable1Light-Accent21">
    <w:name w:val="Grid Table 1 Light - Accent 21"/>
    <w:basedOn w:val="TableNormal"/>
    <w:uiPriority w:val="99"/>
    <w:rsid w:val="00531361"/>
    <w:pPr>
      <w:spacing w:after="0" w:line="240" w:lineRule="auto"/>
    </w:pPr>
    <w:rPr>
      <w:lang w:eastAsia="en-GB"/>
    </w:rPr>
    <w:tblPr>
      <w:tblStyleRowBandSize w:val="1"/>
      <w:tblStyleColBandSize w:val="1"/>
      <w:tblBorders>
        <w:top w:val="single" w:sz="4" w:space="0" w:color="6EFFF0" w:themeColor="accent2" w:themeTint="67"/>
        <w:left w:val="single" w:sz="4" w:space="0" w:color="6EFFF0" w:themeColor="accent2" w:themeTint="67"/>
        <w:bottom w:val="single" w:sz="4" w:space="0" w:color="6EFFF0" w:themeColor="accent2" w:themeTint="67"/>
        <w:right w:val="single" w:sz="4" w:space="0" w:color="6EFFF0" w:themeColor="accent2" w:themeTint="67"/>
        <w:insideH w:val="single" w:sz="4" w:space="0" w:color="6EFFF0" w:themeColor="accent2" w:themeTint="67"/>
        <w:insideV w:val="single" w:sz="4" w:space="0" w:color="6EFFF0" w:themeColor="accent2" w:themeTint="67"/>
      </w:tblBorders>
    </w:tblPr>
    <w:tblStylePr w:type="firstRow">
      <w:rPr>
        <w:b/>
        <w:color w:val="404040"/>
      </w:rPr>
      <w:tblPr/>
      <w:tcPr>
        <w:tcBorders>
          <w:bottom w:val="single" w:sz="12" w:space="0" w:color="2DFFE9"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6EFFF0" w:themeColor="accent2" w:themeTint="67"/>
          <w:left w:val="single" w:sz="4" w:space="0" w:color="6EFFF0" w:themeColor="accent2" w:themeTint="67"/>
          <w:bottom w:val="single" w:sz="4" w:space="0" w:color="6EFFF0" w:themeColor="accent2" w:themeTint="67"/>
          <w:right w:val="single" w:sz="4" w:space="0" w:color="6EFFF0" w:themeColor="accent2" w:themeTint="67"/>
        </w:tcBorders>
      </w:tcPr>
    </w:tblStylePr>
  </w:style>
  <w:style w:type="table" w:customStyle="1" w:styleId="GridTable6Colorful-Accent11">
    <w:name w:val="Grid Table 6 Colorful - Accent 11"/>
    <w:basedOn w:val="TableNormal"/>
    <w:uiPriority w:val="99"/>
    <w:rsid w:val="00531361"/>
    <w:pPr>
      <w:spacing w:after="0" w:line="240" w:lineRule="auto"/>
    </w:pPr>
    <w:rPr>
      <w:lang w:eastAsia="en-GB"/>
    </w:rPr>
    <w:tblPr>
      <w:tblStyleRowBandSize w:val="1"/>
      <w:tblStyleColBandSize w:val="1"/>
      <w:tblBorders>
        <w:top w:val="single" w:sz="4" w:space="0" w:color="55FFA1" w:themeColor="accent1" w:themeTint="80"/>
        <w:left w:val="single" w:sz="4" w:space="0" w:color="55FFA1" w:themeColor="accent1" w:themeTint="80"/>
        <w:bottom w:val="single" w:sz="4" w:space="0" w:color="55FFA1" w:themeColor="accent1" w:themeTint="80"/>
        <w:right w:val="single" w:sz="4" w:space="0" w:color="55FFA1" w:themeColor="accent1" w:themeTint="80"/>
        <w:insideH w:val="single" w:sz="4" w:space="0" w:color="55FFA1" w:themeColor="accent1" w:themeTint="80"/>
        <w:insideV w:val="single" w:sz="4" w:space="0" w:color="55FFA1" w:themeColor="accent1" w:themeTint="80"/>
      </w:tblBorders>
    </w:tblPr>
    <w:tblStylePr w:type="firstRow">
      <w:rPr>
        <w:b/>
        <w:color w:val="55FFA1" w:themeColor="accent1" w:themeTint="80" w:themeShade="95"/>
      </w:rPr>
      <w:tblPr/>
      <w:tcPr>
        <w:tcBorders>
          <w:bottom w:val="single" w:sz="12" w:space="0" w:color="55FFA1" w:themeColor="accent1" w:themeTint="80"/>
        </w:tcBorders>
      </w:tcPr>
    </w:tblStylePr>
    <w:tblStylePr w:type="lastRow">
      <w:rPr>
        <w:b/>
        <w:color w:val="55FFA1" w:themeColor="accent1" w:themeTint="80" w:themeShade="95"/>
      </w:rPr>
    </w:tblStylePr>
    <w:tblStylePr w:type="firstCol">
      <w:rPr>
        <w:b/>
        <w:color w:val="55FFA1" w:themeColor="accent1" w:themeTint="80" w:themeShade="95"/>
      </w:rPr>
    </w:tblStylePr>
    <w:tblStylePr w:type="lastCol">
      <w:rPr>
        <w:b/>
        <w:color w:val="55FFA1" w:themeColor="accent1" w:themeTint="80" w:themeShade="95"/>
      </w:rPr>
    </w:tblStylePr>
    <w:tblStylePr w:type="band1Vert">
      <w:tblPr/>
      <w:tcPr>
        <w:shd w:val="clear" w:color="BAFFD9" w:themeColor="accent1" w:themeTint="34" w:fill="BAFFD9" w:themeFill="accent1" w:themeFillTint="34"/>
      </w:tcPr>
    </w:tblStylePr>
    <w:tblStylePr w:type="band1Horz">
      <w:rPr>
        <w:rFonts w:ascii="Arial" w:hAnsi="Arial"/>
        <w:color w:val="55FFA1" w:themeColor="accent1" w:themeTint="80" w:themeShade="95"/>
        <w:sz w:val="22"/>
      </w:rPr>
      <w:tblPr/>
      <w:tcPr>
        <w:shd w:val="clear" w:color="BAFFD9" w:themeColor="accent1" w:themeTint="34" w:fill="BAFFD9" w:themeFill="accent1" w:themeFillTint="34"/>
      </w:tcPr>
    </w:tblStylePr>
    <w:tblStylePr w:type="band2Horz">
      <w:rPr>
        <w:rFonts w:ascii="Arial" w:hAnsi="Arial"/>
        <w:color w:val="55FFA1" w:themeColor="accent1" w:themeTint="80" w:themeShade="95"/>
        <w:sz w:val="22"/>
      </w:rPr>
    </w:tblStylePr>
  </w:style>
  <w:style w:type="table" w:customStyle="1" w:styleId="GridTable6Colorful-Accent21">
    <w:name w:val="Grid Table 6 Colorful - Accent 21"/>
    <w:basedOn w:val="TableNormal"/>
    <w:uiPriority w:val="99"/>
    <w:rsid w:val="00531361"/>
    <w:pPr>
      <w:spacing w:after="0" w:line="240" w:lineRule="auto"/>
    </w:pPr>
    <w:rPr>
      <w:lang w:eastAsia="en-GB"/>
    </w:rPr>
    <w:tblPr>
      <w:tblStyleRowBandSize w:val="1"/>
      <w:tblStyleColBandSize w:val="1"/>
      <w:tblBorders>
        <w:top w:val="single" w:sz="4" w:space="0" w:color="2BFFE9" w:themeColor="accent2" w:themeTint="97"/>
        <w:left w:val="single" w:sz="4" w:space="0" w:color="2BFFE9" w:themeColor="accent2" w:themeTint="97"/>
        <w:bottom w:val="single" w:sz="4" w:space="0" w:color="2BFFE9" w:themeColor="accent2" w:themeTint="97"/>
        <w:right w:val="single" w:sz="4" w:space="0" w:color="2BFFE9" w:themeColor="accent2" w:themeTint="97"/>
        <w:insideH w:val="single" w:sz="4" w:space="0" w:color="2BFFE9" w:themeColor="accent2" w:themeTint="97"/>
        <w:insideV w:val="single" w:sz="4" w:space="0" w:color="2BFFE9" w:themeColor="accent2" w:themeTint="97"/>
      </w:tblBorders>
    </w:tblPr>
    <w:tblStylePr w:type="firstRow">
      <w:rPr>
        <w:b/>
        <w:color w:val="2BFFE9" w:themeColor="accent2" w:themeTint="97" w:themeShade="95"/>
      </w:rPr>
      <w:tblPr/>
      <w:tcPr>
        <w:tcBorders>
          <w:bottom w:val="single" w:sz="12" w:space="0" w:color="2BFFE9" w:themeColor="accent2" w:themeTint="97"/>
        </w:tcBorders>
      </w:tcPr>
    </w:tblStylePr>
    <w:tblStylePr w:type="lastRow">
      <w:rPr>
        <w:b/>
        <w:color w:val="2BFFE9" w:themeColor="accent2" w:themeTint="97" w:themeShade="95"/>
      </w:rPr>
    </w:tblStylePr>
    <w:tblStylePr w:type="firstCol">
      <w:rPr>
        <w:b/>
        <w:color w:val="2BFFE9" w:themeColor="accent2" w:themeTint="97" w:themeShade="95"/>
      </w:rPr>
    </w:tblStylePr>
    <w:tblStylePr w:type="lastCol">
      <w:rPr>
        <w:b/>
        <w:color w:val="2BFFE9" w:themeColor="accent2" w:themeTint="97" w:themeShade="95"/>
      </w:rPr>
    </w:tblStylePr>
    <w:tblStylePr w:type="band1Vert">
      <w:tblPr/>
      <w:tcPr>
        <w:shd w:val="clear" w:color="B8FFF7" w:themeColor="accent2" w:themeTint="32" w:fill="B8FFF7" w:themeFill="accent2" w:themeFillTint="32"/>
      </w:tcPr>
    </w:tblStylePr>
    <w:tblStylePr w:type="band1Horz">
      <w:rPr>
        <w:rFonts w:ascii="Arial" w:hAnsi="Arial"/>
        <w:color w:val="2BFFE9" w:themeColor="accent2" w:themeTint="97" w:themeShade="95"/>
        <w:sz w:val="22"/>
      </w:rPr>
      <w:tblPr/>
      <w:tcPr>
        <w:shd w:val="clear" w:color="B8FFF7" w:themeColor="accent2" w:themeTint="32" w:fill="B8FFF7" w:themeFill="accent2" w:themeFillTint="32"/>
      </w:tcPr>
    </w:tblStylePr>
    <w:tblStylePr w:type="band2Horz">
      <w:rPr>
        <w:rFonts w:ascii="Arial" w:hAnsi="Arial"/>
        <w:color w:val="2BFFE9" w:themeColor="accent2" w:themeTint="97" w:themeShade="95"/>
        <w:sz w:val="22"/>
      </w:rPr>
    </w:tblStylePr>
  </w:style>
  <w:style w:type="table" w:customStyle="1" w:styleId="GridTable6Colorful-Accent31">
    <w:name w:val="Grid Table 6 Colorful - Accent 31"/>
    <w:basedOn w:val="TableNormal"/>
    <w:uiPriority w:val="99"/>
    <w:rsid w:val="00531361"/>
    <w:pPr>
      <w:spacing w:after="0" w:line="240" w:lineRule="auto"/>
    </w:pPr>
    <w:rPr>
      <w:lang w:eastAsia="en-GB"/>
    </w:rPr>
    <w:tblPr>
      <w:tblStyleRowBandSize w:val="1"/>
      <w:tblStyleColBandSize w:val="1"/>
      <w:tblBorders>
        <w:top w:val="single" w:sz="4" w:space="0" w:color="283A97" w:themeColor="accent3" w:themeTint="FE"/>
        <w:left w:val="single" w:sz="4" w:space="0" w:color="283A97" w:themeColor="accent3" w:themeTint="FE"/>
        <w:bottom w:val="single" w:sz="4" w:space="0" w:color="283A97" w:themeColor="accent3" w:themeTint="FE"/>
        <w:right w:val="single" w:sz="4" w:space="0" w:color="283A97" w:themeColor="accent3" w:themeTint="FE"/>
        <w:insideH w:val="single" w:sz="4" w:space="0" w:color="283A97" w:themeColor="accent3" w:themeTint="FE"/>
        <w:insideV w:val="single" w:sz="4" w:space="0" w:color="283A97" w:themeColor="accent3" w:themeTint="FE"/>
      </w:tblBorders>
    </w:tblPr>
    <w:tblStylePr w:type="firstRow">
      <w:rPr>
        <w:b/>
        <w:color w:val="283A97" w:themeColor="accent3" w:themeTint="FE" w:themeShade="95"/>
      </w:rPr>
      <w:tblPr/>
      <w:tcPr>
        <w:tcBorders>
          <w:bottom w:val="single" w:sz="12" w:space="0" w:color="283A97" w:themeColor="accent3" w:themeTint="FE"/>
        </w:tcBorders>
      </w:tcPr>
    </w:tblStylePr>
    <w:tblStylePr w:type="lastRow">
      <w:rPr>
        <w:b/>
        <w:color w:val="283A97" w:themeColor="accent3" w:themeTint="FE" w:themeShade="95"/>
      </w:rPr>
    </w:tblStylePr>
    <w:tblStylePr w:type="firstCol">
      <w:rPr>
        <w:b/>
        <w:color w:val="283A97" w:themeColor="accent3" w:themeTint="FE" w:themeShade="95"/>
      </w:rPr>
    </w:tblStylePr>
    <w:tblStylePr w:type="lastCol">
      <w:rPr>
        <w:b/>
        <w:color w:val="283A97" w:themeColor="accent3" w:themeTint="FE" w:themeShade="95"/>
      </w:rPr>
    </w:tblStylePr>
    <w:tblStylePr w:type="band1Vert">
      <w:tblPr/>
      <w:tcPr>
        <w:shd w:val="clear" w:color="CBD1F1" w:themeColor="accent3" w:themeTint="34" w:fill="CBD1F1" w:themeFill="accent3" w:themeFillTint="34"/>
      </w:tcPr>
    </w:tblStylePr>
    <w:tblStylePr w:type="band1Horz">
      <w:rPr>
        <w:rFonts w:ascii="Arial" w:hAnsi="Arial"/>
        <w:color w:val="283A97" w:themeColor="accent3" w:themeTint="FE" w:themeShade="95"/>
        <w:sz w:val="22"/>
      </w:rPr>
      <w:tblPr/>
      <w:tcPr>
        <w:shd w:val="clear" w:color="CBD1F1" w:themeColor="accent3" w:themeTint="34" w:fill="CBD1F1" w:themeFill="accent3" w:themeFillTint="34"/>
      </w:tcPr>
    </w:tblStylePr>
    <w:tblStylePr w:type="band2Horz">
      <w:rPr>
        <w:rFonts w:ascii="Arial" w:hAnsi="Arial"/>
        <w:color w:val="283A97" w:themeColor="accent3" w:themeTint="FE" w:themeShade="95"/>
        <w:sz w:val="22"/>
      </w:rPr>
    </w:tblStylePr>
  </w:style>
  <w:style w:type="table" w:customStyle="1" w:styleId="GridTable6Colorful-Accent41">
    <w:name w:val="Grid Table 6 Colorful - Accent 41"/>
    <w:basedOn w:val="TableNormal"/>
    <w:uiPriority w:val="99"/>
    <w:rsid w:val="00531361"/>
    <w:pPr>
      <w:spacing w:after="0" w:line="240" w:lineRule="auto"/>
    </w:pPr>
    <w:rPr>
      <w:lang w:eastAsia="en-GB"/>
    </w:rPr>
    <w:tblPr>
      <w:tblStyleRowBandSize w:val="1"/>
      <w:tblStyleColBandSize w:val="1"/>
      <w:tblBorders>
        <w:top w:val="single" w:sz="4" w:space="0" w:color="BDDD8A" w:themeColor="accent4" w:themeTint="9A"/>
        <w:left w:val="single" w:sz="4" w:space="0" w:color="BDDD8A" w:themeColor="accent4" w:themeTint="9A"/>
        <w:bottom w:val="single" w:sz="4" w:space="0" w:color="BDDD8A" w:themeColor="accent4" w:themeTint="9A"/>
        <w:right w:val="single" w:sz="4" w:space="0" w:color="BDDD8A" w:themeColor="accent4" w:themeTint="9A"/>
        <w:insideH w:val="single" w:sz="4" w:space="0" w:color="BDDD8A" w:themeColor="accent4" w:themeTint="9A"/>
        <w:insideV w:val="single" w:sz="4" w:space="0" w:color="BDDD8A" w:themeColor="accent4" w:themeTint="9A"/>
      </w:tblBorders>
    </w:tblPr>
    <w:tblStylePr w:type="firstRow">
      <w:rPr>
        <w:b/>
        <w:color w:val="BDDD8A" w:themeColor="accent4" w:themeTint="9A" w:themeShade="95"/>
      </w:rPr>
      <w:tblPr/>
      <w:tcPr>
        <w:tcBorders>
          <w:bottom w:val="single" w:sz="12" w:space="0" w:color="BDDD8A" w:themeColor="accent4" w:themeTint="9A"/>
        </w:tcBorders>
      </w:tcPr>
    </w:tblStylePr>
    <w:tblStylePr w:type="lastRow">
      <w:rPr>
        <w:b/>
        <w:color w:val="BDDD8A" w:themeColor="accent4" w:themeTint="9A" w:themeShade="95"/>
      </w:rPr>
    </w:tblStylePr>
    <w:tblStylePr w:type="firstCol">
      <w:rPr>
        <w:b/>
        <w:color w:val="BDDD8A" w:themeColor="accent4" w:themeTint="9A" w:themeShade="95"/>
      </w:rPr>
    </w:tblStylePr>
    <w:tblStylePr w:type="lastCol">
      <w:rPr>
        <w:b/>
        <w:color w:val="BDDD8A" w:themeColor="accent4" w:themeTint="9A" w:themeShade="95"/>
      </w:rPr>
    </w:tblStylePr>
    <w:tblStylePr w:type="band1Vert">
      <w:tblPr/>
      <w:tcPr>
        <w:shd w:val="clear" w:color="E8F3D7" w:themeColor="accent4" w:themeTint="34" w:fill="E8F3D7" w:themeFill="accent4" w:themeFillTint="34"/>
      </w:tcPr>
    </w:tblStylePr>
    <w:tblStylePr w:type="band1Horz">
      <w:rPr>
        <w:rFonts w:ascii="Arial" w:hAnsi="Arial"/>
        <w:color w:val="BDDD8A" w:themeColor="accent4" w:themeTint="9A" w:themeShade="95"/>
        <w:sz w:val="22"/>
      </w:rPr>
      <w:tblPr/>
      <w:tcPr>
        <w:shd w:val="clear" w:color="E8F3D7" w:themeColor="accent4" w:themeTint="34" w:fill="E8F3D7" w:themeFill="accent4" w:themeFillTint="34"/>
      </w:tcPr>
    </w:tblStylePr>
    <w:tblStylePr w:type="band2Horz">
      <w:rPr>
        <w:rFonts w:ascii="Arial" w:hAnsi="Arial"/>
        <w:color w:val="BDDD8A" w:themeColor="accent4" w:themeTint="9A" w:themeShade="95"/>
        <w:sz w:val="22"/>
      </w:rPr>
    </w:tblStylePr>
  </w:style>
  <w:style w:type="table" w:customStyle="1" w:styleId="GridTable6Colorful-Accent51">
    <w:name w:val="Grid Table 6 Colorful - Accent 51"/>
    <w:basedOn w:val="TableNormal"/>
    <w:uiPriority w:val="99"/>
    <w:rsid w:val="00531361"/>
    <w:pPr>
      <w:spacing w:after="0" w:line="240" w:lineRule="auto"/>
    </w:pPr>
    <w:rPr>
      <w:lang w:eastAsia="en-GB"/>
    </w:rPr>
    <w:tblPr>
      <w:tblStyleRowBandSize w:val="1"/>
      <w:tblStyleColBandSize w:val="1"/>
      <w:tblBorders>
        <w:top w:val="single" w:sz="4" w:space="0" w:color="72B6B0" w:themeColor="accent5"/>
        <w:left w:val="single" w:sz="4" w:space="0" w:color="72B6B0" w:themeColor="accent5"/>
        <w:bottom w:val="single" w:sz="4" w:space="0" w:color="72B6B0" w:themeColor="accent5"/>
        <w:right w:val="single" w:sz="4" w:space="0" w:color="72B6B0" w:themeColor="accent5"/>
        <w:insideH w:val="single" w:sz="4" w:space="0" w:color="72B6B0" w:themeColor="accent5"/>
        <w:insideV w:val="single" w:sz="4" w:space="0" w:color="72B6B0" w:themeColor="accent5"/>
      </w:tblBorders>
    </w:tblPr>
    <w:tblStylePr w:type="firstRow">
      <w:rPr>
        <w:b/>
        <w:color w:val="3B716C" w:themeColor="accent5" w:themeShade="95"/>
      </w:rPr>
      <w:tblPr/>
      <w:tcPr>
        <w:tcBorders>
          <w:bottom w:val="single" w:sz="12" w:space="0" w:color="72B6B0" w:themeColor="accent5"/>
        </w:tcBorders>
      </w:tcPr>
    </w:tblStylePr>
    <w:tblStylePr w:type="lastRow">
      <w:rPr>
        <w:b/>
        <w:color w:val="3B716C" w:themeColor="accent5" w:themeShade="95"/>
      </w:rPr>
    </w:tblStylePr>
    <w:tblStylePr w:type="firstCol">
      <w:rPr>
        <w:b/>
        <w:color w:val="3B716C" w:themeColor="accent5" w:themeShade="95"/>
      </w:rPr>
    </w:tblStylePr>
    <w:tblStylePr w:type="lastCol">
      <w:rPr>
        <w:b/>
        <w:color w:val="3B716C" w:themeColor="accent5" w:themeShade="95"/>
      </w:rPr>
    </w:tblStylePr>
    <w:tblStylePr w:type="band1Vert">
      <w:tblPr/>
      <w:tcPr>
        <w:shd w:val="clear" w:color="E2F0EE" w:themeColor="accent5" w:themeTint="34" w:fill="E2F0EE" w:themeFill="accent5" w:themeFillTint="34"/>
      </w:tcPr>
    </w:tblStylePr>
    <w:tblStylePr w:type="band1Horz">
      <w:rPr>
        <w:rFonts w:ascii="Arial" w:hAnsi="Arial"/>
        <w:color w:val="3B716C" w:themeColor="accent5" w:themeShade="95"/>
        <w:sz w:val="22"/>
      </w:rPr>
      <w:tblPr/>
      <w:tcPr>
        <w:shd w:val="clear" w:color="E2F0EE" w:themeColor="accent5" w:themeTint="34" w:fill="E2F0EE" w:themeFill="accent5" w:themeFillTint="34"/>
      </w:tcPr>
    </w:tblStylePr>
    <w:tblStylePr w:type="band2Horz">
      <w:rPr>
        <w:rFonts w:ascii="Arial" w:hAnsi="Arial"/>
        <w:color w:val="3B716C" w:themeColor="accent5" w:themeShade="95"/>
        <w:sz w:val="22"/>
      </w:rPr>
    </w:tblStylePr>
  </w:style>
  <w:style w:type="table" w:customStyle="1" w:styleId="GridTable6Colorful-Accent61">
    <w:name w:val="Grid Table 6 Colorful - Accent 61"/>
    <w:basedOn w:val="TableNormal"/>
    <w:uiPriority w:val="99"/>
    <w:rsid w:val="00531361"/>
    <w:pPr>
      <w:spacing w:after="0" w:line="240" w:lineRule="auto"/>
    </w:pPr>
    <w:rPr>
      <w:lang w:eastAsia="en-GB"/>
    </w:rPr>
    <w:tblPr>
      <w:tblStyleRowBandSize w:val="1"/>
      <w:tblStyleColBandSize w:val="1"/>
      <w:tblBorders>
        <w:top w:val="single" w:sz="4" w:space="0" w:color="F0B142" w:themeColor="accent6"/>
        <w:left w:val="single" w:sz="4" w:space="0" w:color="F0B142" w:themeColor="accent6"/>
        <w:bottom w:val="single" w:sz="4" w:space="0" w:color="F0B142" w:themeColor="accent6"/>
        <w:right w:val="single" w:sz="4" w:space="0" w:color="F0B142" w:themeColor="accent6"/>
        <w:insideH w:val="single" w:sz="4" w:space="0" w:color="F0B142" w:themeColor="accent6"/>
        <w:insideV w:val="single" w:sz="4" w:space="0" w:color="F0B142" w:themeColor="accent6"/>
      </w:tblBorders>
    </w:tblPr>
    <w:tblStylePr w:type="firstRow">
      <w:rPr>
        <w:b/>
        <w:color w:val="3B716C" w:themeColor="accent5" w:themeShade="95"/>
      </w:rPr>
      <w:tblPr/>
      <w:tcPr>
        <w:tcBorders>
          <w:bottom w:val="single" w:sz="12" w:space="0" w:color="F0B142" w:themeColor="accent6"/>
        </w:tcBorders>
      </w:tcPr>
    </w:tblStylePr>
    <w:tblStylePr w:type="lastRow">
      <w:rPr>
        <w:b/>
        <w:color w:val="3B716C" w:themeColor="accent5" w:themeShade="95"/>
      </w:rPr>
    </w:tblStylePr>
    <w:tblStylePr w:type="firstCol">
      <w:rPr>
        <w:b/>
        <w:color w:val="3B716C" w:themeColor="accent5" w:themeShade="95"/>
      </w:rPr>
    </w:tblStylePr>
    <w:tblStylePr w:type="lastCol">
      <w:rPr>
        <w:b/>
        <w:color w:val="3B716C" w:themeColor="accent5" w:themeShade="95"/>
      </w:rPr>
    </w:tblStylePr>
    <w:tblStylePr w:type="band1Vert">
      <w:tblPr/>
      <w:tcPr>
        <w:shd w:val="clear" w:color="FCEED8" w:themeColor="accent6" w:themeTint="34" w:fill="FCEED8" w:themeFill="accent6" w:themeFillTint="34"/>
      </w:tcPr>
    </w:tblStylePr>
    <w:tblStylePr w:type="band1Horz">
      <w:rPr>
        <w:rFonts w:ascii="Arial" w:hAnsi="Arial"/>
        <w:color w:val="3B716C" w:themeColor="accent5" w:themeShade="95"/>
        <w:sz w:val="22"/>
      </w:rPr>
      <w:tblPr/>
      <w:tcPr>
        <w:shd w:val="clear" w:color="FCEED8" w:themeColor="accent6" w:themeTint="34" w:fill="FCEED8" w:themeFill="accent6" w:themeFillTint="34"/>
      </w:tcPr>
    </w:tblStylePr>
    <w:tblStylePr w:type="band2Horz">
      <w:rPr>
        <w:rFonts w:ascii="Arial" w:hAnsi="Arial"/>
        <w:color w:val="3B716C" w:themeColor="accent5" w:themeShade="95"/>
        <w:sz w:val="22"/>
      </w:rPr>
    </w:tblStylePr>
  </w:style>
  <w:style w:type="table" w:customStyle="1" w:styleId="GridTable7Colorful-Accent11">
    <w:name w:val="Grid Table 7 Colorful - Accent 11"/>
    <w:basedOn w:val="TableNormal"/>
    <w:uiPriority w:val="99"/>
    <w:rsid w:val="00531361"/>
    <w:pPr>
      <w:spacing w:after="0" w:line="240" w:lineRule="auto"/>
    </w:pPr>
    <w:rPr>
      <w:lang w:eastAsia="en-GB"/>
    </w:rPr>
    <w:tblPr>
      <w:tblStyleRowBandSize w:val="1"/>
      <w:tblStyleColBandSize w:val="1"/>
      <w:tblBorders>
        <w:bottom w:val="single" w:sz="4" w:space="0" w:color="55FFA1" w:themeColor="accent1" w:themeTint="80"/>
        <w:right w:val="single" w:sz="4" w:space="0" w:color="55FFA1" w:themeColor="accent1" w:themeTint="80"/>
        <w:insideH w:val="single" w:sz="4" w:space="0" w:color="55FFA1" w:themeColor="accent1" w:themeTint="80"/>
        <w:insideV w:val="single" w:sz="4" w:space="0" w:color="55FFA1" w:themeColor="accent1" w:themeTint="80"/>
      </w:tblBorders>
    </w:tblPr>
    <w:tblStylePr w:type="firstRow">
      <w:rPr>
        <w:rFonts w:ascii="Arial" w:hAnsi="Arial"/>
        <w:b/>
        <w:color w:val="55FFA1" w:themeColor="accent1" w:themeTint="80" w:themeShade="95"/>
        <w:sz w:val="22"/>
      </w:rPr>
      <w:tblPr/>
      <w:tcPr>
        <w:tcBorders>
          <w:top w:val="none" w:sz="4" w:space="0" w:color="000000"/>
          <w:left w:val="none" w:sz="4" w:space="0" w:color="000000"/>
          <w:bottom w:val="single" w:sz="4" w:space="0" w:color="55FFA1" w:themeColor="accent1" w:themeTint="80"/>
          <w:right w:val="none" w:sz="4" w:space="0" w:color="000000"/>
        </w:tcBorders>
        <w:shd w:val="clear" w:color="FFFFFF" w:themeColor="light1" w:fill="FFFFFF" w:themeFill="light1"/>
      </w:tcPr>
    </w:tblStylePr>
    <w:tblStylePr w:type="lastRow">
      <w:rPr>
        <w:rFonts w:ascii="Arial" w:hAnsi="Arial"/>
        <w:b/>
        <w:color w:val="55FFA1" w:themeColor="accent1" w:themeTint="80" w:themeShade="95"/>
        <w:sz w:val="22"/>
      </w:rPr>
      <w:tblPr/>
      <w:tcPr>
        <w:tcBorders>
          <w:top w:val="single" w:sz="4" w:space="0" w:color="55FFA1"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55FFA1" w:themeColor="accent1" w:themeTint="80" w:themeShade="95"/>
        <w:sz w:val="22"/>
      </w:rPr>
      <w:tblPr/>
      <w:tcPr>
        <w:tcBorders>
          <w:top w:val="none" w:sz="4" w:space="0" w:color="000000"/>
          <w:left w:val="none" w:sz="4" w:space="0" w:color="000000"/>
          <w:bottom w:val="none" w:sz="4" w:space="0" w:color="000000"/>
          <w:right w:val="single" w:sz="4" w:space="0" w:color="55FFA1" w:themeColor="accent1" w:themeTint="80"/>
        </w:tcBorders>
        <w:shd w:val="clear" w:color="FFFFFF" w:fill="auto"/>
      </w:tcPr>
    </w:tblStylePr>
    <w:tblStylePr w:type="lastCol">
      <w:rPr>
        <w:rFonts w:ascii="Arial" w:hAnsi="Arial"/>
        <w:i/>
        <w:color w:val="55FFA1" w:themeColor="accent1" w:themeTint="80" w:themeShade="95"/>
        <w:sz w:val="22"/>
      </w:rPr>
      <w:tblPr/>
      <w:tcPr>
        <w:tcBorders>
          <w:top w:val="none" w:sz="4" w:space="0" w:color="000000"/>
          <w:left w:val="single" w:sz="4" w:space="0" w:color="55FFA1" w:themeColor="accent1" w:themeTint="80"/>
          <w:bottom w:val="none" w:sz="4" w:space="0" w:color="000000"/>
          <w:right w:val="none" w:sz="4" w:space="0" w:color="000000"/>
        </w:tcBorders>
        <w:shd w:val="clear" w:color="FFFFFF" w:fill="auto"/>
      </w:tcPr>
    </w:tblStylePr>
    <w:tblStylePr w:type="band1Vert">
      <w:tblPr/>
      <w:tcPr>
        <w:shd w:val="clear" w:color="BAFFD9" w:themeColor="accent1" w:themeTint="34" w:fill="BAFFD9" w:themeFill="accent1" w:themeFillTint="34"/>
      </w:tcPr>
    </w:tblStylePr>
    <w:tblStylePr w:type="band1Horz">
      <w:rPr>
        <w:rFonts w:ascii="Arial" w:hAnsi="Arial"/>
        <w:color w:val="55FFA1" w:themeColor="accent1" w:themeTint="80" w:themeShade="95"/>
        <w:sz w:val="22"/>
      </w:rPr>
      <w:tblPr/>
      <w:tcPr>
        <w:shd w:val="clear" w:color="BAFFD9" w:themeColor="accent1" w:themeTint="34" w:fill="BAFFD9" w:themeFill="accent1" w:themeFillTint="34"/>
      </w:tcPr>
    </w:tblStylePr>
    <w:tblStylePr w:type="band2Horz">
      <w:rPr>
        <w:rFonts w:ascii="Arial" w:hAnsi="Arial"/>
        <w:color w:val="55FFA1" w:themeColor="accent1" w:themeTint="80" w:themeShade="95"/>
        <w:sz w:val="22"/>
      </w:rPr>
    </w:tblStylePr>
  </w:style>
  <w:style w:type="table" w:customStyle="1" w:styleId="GridTable7Colorful-Accent21">
    <w:name w:val="Grid Table 7 Colorful - Accent 21"/>
    <w:basedOn w:val="TableNormal"/>
    <w:uiPriority w:val="99"/>
    <w:rsid w:val="00531361"/>
    <w:pPr>
      <w:spacing w:after="0" w:line="240" w:lineRule="auto"/>
    </w:pPr>
    <w:rPr>
      <w:lang w:eastAsia="en-GB"/>
    </w:rPr>
    <w:tblPr>
      <w:tblStyleRowBandSize w:val="1"/>
      <w:tblStyleColBandSize w:val="1"/>
      <w:tblBorders>
        <w:bottom w:val="single" w:sz="4" w:space="0" w:color="2BFFE9" w:themeColor="accent2" w:themeTint="97"/>
        <w:right w:val="single" w:sz="4" w:space="0" w:color="2BFFE9" w:themeColor="accent2" w:themeTint="97"/>
        <w:insideH w:val="single" w:sz="4" w:space="0" w:color="2BFFE9" w:themeColor="accent2" w:themeTint="97"/>
        <w:insideV w:val="single" w:sz="4" w:space="0" w:color="2BFFE9" w:themeColor="accent2" w:themeTint="97"/>
      </w:tblBorders>
    </w:tblPr>
    <w:tblStylePr w:type="firstRow">
      <w:rPr>
        <w:rFonts w:ascii="Arial" w:hAnsi="Arial"/>
        <w:b/>
        <w:color w:val="2BFFE9" w:themeColor="accent2" w:themeTint="97" w:themeShade="95"/>
        <w:sz w:val="22"/>
      </w:rPr>
      <w:tblPr/>
      <w:tcPr>
        <w:tcBorders>
          <w:top w:val="none" w:sz="4" w:space="0" w:color="000000"/>
          <w:left w:val="none" w:sz="4" w:space="0" w:color="000000"/>
          <w:bottom w:val="single" w:sz="4" w:space="0" w:color="2BFFE9" w:themeColor="accent2" w:themeTint="97"/>
          <w:right w:val="none" w:sz="4" w:space="0" w:color="000000"/>
        </w:tcBorders>
        <w:shd w:val="clear" w:color="FFFFFF" w:themeColor="light1" w:fill="FFFFFF" w:themeFill="light1"/>
      </w:tcPr>
    </w:tblStylePr>
    <w:tblStylePr w:type="lastRow">
      <w:rPr>
        <w:rFonts w:ascii="Arial" w:hAnsi="Arial"/>
        <w:b/>
        <w:color w:val="2BFFE9" w:themeColor="accent2" w:themeTint="97" w:themeShade="95"/>
        <w:sz w:val="22"/>
      </w:rPr>
      <w:tblPr/>
      <w:tcPr>
        <w:tcBorders>
          <w:top w:val="single" w:sz="4" w:space="0" w:color="2BFFE9"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BFFE9" w:themeColor="accent2" w:themeTint="97" w:themeShade="95"/>
        <w:sz w:val="22"/>
      </w:rPr>
      <w:tblPr/>
      <w:tcPr>
        <w:tcBorders>
          <w:top w:val="none" w:sz="4" w:space="0" w:color="000000"/>
          <w:left w:val="none" w:sz="4" w:space="0" w:color="000000"/>
          <w:bottom w:val="none" w:sz="4" w:space="0" w:color="000000"/>
          <w:right w:val="single" w:sz="4" w:space="0" w:color="2BFFE9" w:themeColor="accent2" w:themeTint="97"/>
        </w:tcBorders>
        <w:shd w:val="clear" w:color="FFFFFF" w:fill="auto"/>
      </w:tcPr>
    </w:tblStylePr>
    <w:tblStylePr w:type="lastCol">
      <w:rPr>
        <w:rFonts w:ascii="Arial" w:hAnsi="Arial"/>
        <w:i/>
        <w:color w:val="2BFFE9" w:themeColor="accent2" w:themeTint="97" w:themeShade="95"/>
        <w:sz w:val="22"/>
      </w:rPr>
      <w:tblPr/>
      <w:tcPr>
        <w:tcBorders>
          <w:top w:val="none" w:sz="4" w:space="0" w:color="000000"/>
          <w:left w:val="single" w:sz="4" w:space="0" w:color="2BFFE9" w:themeColor="accent2" w:themeTint="97"/>
          <w:bottom w:val="none" w:sz="4" w:space="0" w:color="000000"/>
          <w:right w:val="none" w:sz="4" w:space="0" w:color="000000"/>
        </w:tcBorders>
        <w:shd w:val="clear" w:color="FFFFFF" w:fill="auto"/>
      </w:tcPr>
    </w:tblStylePr>
    <w:tblStylePr w:type="band1Vert">
      <w:tblPr/>
      <w:tcPr>
        <w:shd w:val="clear" w:color="B8FFF7" w:themeColor="accent2" w:themeTint="32" w:fill="B8FFF7" w:themeFill="accent2" w:themeFillTint="32"/>
      </w:tcPr>
    </w:tblStylePr>
    <w:tblStylePr w:type="band1Horz">
      <w:rPr>
        <w:rFonts w:ascii="Arial" w:hAnsi="Arial"/>
        <w:color w:val="2BFFE9" w:themeColor="accent2" w:themeTint="97" w:themeShade="95"/>
        <w:sz w:val="22"/>
      </w:rPr>
      <w:tblPr/>
      <w:tcPr>
        <w:shd w:val="clear" w:color="B8FFF7" w:themeColor="accent2" w:themeTint="32" w:fill="B8FFF7" w:themeFill="accent2" w:themeFillTint="32"/>
      </w:tcPr>
    </w:tblStylePr>
    <w:tblStylePr w:type="band2Horz">
      <w:rPr>
        <w:rFonts w:ascii="Arial" w:hAnsi="Arial"/>
        <w:color w:val="2BFFE9" w:themeColor="accent2" w:themeTint="97" w:themeShade="95"/>
        <w:sz w:val="22"/>
      </w:rPr>
    </w:tblStylePr>
  </w:style>
  <w:style w:type="table" w:customStyle="1" w:styleId="GridTable7Colorful-Accent31">
    <w:name w:val="Grid Table 7 Colorful - Accent 31"/>
    <w:basedOn w:val="TableNormal"/>
    <w:uiPriority w:val="99"/>
    <w:rsid w:val="00531361"/>
    <w:pPr>
      <w:spacing w:after="0" w:line="240" w:lineRule="auto"/>
    </w:pPr>
    <w:rPr>
      <w:lang w:eastAsia="en-GB"/>
    </w:rPr>
    <w:tblPr>
      <w:tblStyleRowBandSize w:val="1"/>
      <w:tblStyleColBandSize w:val="1"/>
      <w:tblBorders>
        <w:bottom w:val="single" w:sz="4" w:space="0" w:color="283A97" w:themeColor="accent3" w:themeTint="FE"/>
        <w:right w:val="single" w:sz="4" w:space="0" w:color="283A97" w:themeColor="accent3" w:themeTint="FE"/>
        <w:insideH w:val="single" w:sz="4" w:space="0" w:color="283A97" w:themeColor="accent3" w:themeTint="FE"/>
        <w:insideV w:val="single" w:sz="4" w:space="0" w:color="283A97" w:themeColor="accent3" w:themeTint="FE"/>
      </w:tblBorders>
    </w:tblPr>
    <w:tblStylePr w:type="firstRow">
      <w:rPr>
        <w:rFonts w:ascii="Arial" w:hAnsi="Arial"/>
        <w:b/>
        <w:color w:val="283A97" w:themeColor="accent3" w:themeTint="FE" w:themeShade="95"/>
        <w:sz w:val="22"/>
      </w:rPr>
      <w:tblPr/>
      <w:tcPr>
        <w:tcBorders>
          <w:top w:val="none" w:sz="4" w:space="0" w:color="000000"/>
          <w:left w:val="none" w:sz="4" w:space="0" w:color="000000"/>
          <w:bottom w:val="single" w:sz="4" w:space="0" w:color="283A97" w:themeColor="accent3" w:themeTint="FE"/>
          <w:right w:val="none" w:sz="4" w:space="0" w:color="000000"/>
        </w:tcBorders>
        <w:shd w:val="clear" w:color="FFFFFF" w:themeColor="light1" w:fill="FFFFFF" w:themeFill="light1"/>
      </w:tcPr>
    </w:tblStylePr>
    <w:tblStylePr w:type="lastRow">
      <w:rPr>
        <w:rFonts w:ascii="Arial" w:hAnsi="Arial"/>
        <w:b/>
        <w:color w:val="283A97" w:themeColor="accent3" w:themeTint="FE" w:themeShade="95"/>
        <w:sz w:val="22"/>
      </w:rPr>
      <w:tblPr/>
      <w:tcPr>
        <w:tcBorders>
          <w:top w:val="single" w:sz="4" w:space="0" w:color="283A97"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83A97" w:themeColor="accent3" w:themeTint="FE" w:themeShade="95"/>
        <w:sz w:val="22"/>
      </w:rPr>
      <w:tblPr/>
      <w:tcPr>
        <w:tcBorders>
          <w:top w:val="none" w:sz="4" w:space="0" w:color="000000"/>
          <w:left w:val="none" w:sz="4" w:space="0" w:color="000000"/>
          <w:bottom w:val="none" w:sz="4" w:space="0" w:color="000000"/>
          <w:right w:val="single" w:sz="4" w:space="0" w:color="283A97" w:themeColor="accent3" w:themeTint="FE"/>
        </w:tcBorders>
        <w:shd w:val="clear" w:color="FFFFFF" w:fill="auto"/>
      </w:tcPr>
    </w:tblStylePr>
    <w:tblStylePr w:type="lastCol">
      <w:rPr>
        <w:rFonts w:ascii="Arial" w:hAnsi="Arial"/>
        <w:i/>
        <w:color w:val="283A97" w:themeColor="accent3" w:themeTint="FE" w:themeShade="95"/>
        <w:sz w:val="22"/>
      </w:rPr>
      <w:tblPr/>
      <w:tcPr>
        <w:tcBorders>
          <w:top w:val="none" w:sz="4" w:space="0" w:color="000000"/>
          <w:left w:val="single" w:sz="4" w:space="0" w:color="283A97" w:themeColor="accent3" w:themeTint="FE"/>
          <w:bottom w:val="none" w:sz="4" w:space="0" w:color="000000"/>
          <w:right w:val="none" w:sz="4" w:space="0" w:color="000000"/>
        </w:tcBorders>
        <w:shd w:val="clear" w:color="FFFFFF" w:fill="auto"/>
      </w:tcPr>
    </w:tblStylePr>
    <w:tblStylePr w:type="band1Vert">
      <w:tblPr/>
      <w:tcPr>
        <w:shd w:val="clear" w:color="CBD1F1" w:themeColor="accent3" w:themeTint="34" w:fill="CBD1F1" w:themeFill="accent3" w:themeFillTint="34"/>
      </w:tcPr>
    </w:tblStylePr>
    <w:tblStylePr w:type="band1Horz">
      <w:rPr>
        <w:rFonts w:ascii="Arial" w:hAnsi="Arial"/>
        <w:color w:val="283A97" w:themeColor="accent3" w:themeTint="FE" w:themeShade="95"/>
        <w:sz w:val="22"/>
      </w:rPr>
      <w:tblPr/>
      <w:tcPr>
        <w:shd w:val="clear" w:color="CBD1F1" w:themeColor="accent3" w:themeTint="34" w:fill="CBD1F1" w:themeFill="accent3" w:themeFillTint="34"/>
      </w:tcPr>
    </w:tblStylePr>
    <w:tblStylePr w:type="band2Horz">
      <w:rPr>
        <w:rFonts w:ascii="Arial" w:hAnsi="Arial"/>
        <w:color w:val="283A97" w:themeColor="accent3" w:themeTint="FE" w:themeShade="95"/>
        <w:sz w:val="22"/>
      </w:rPr>
    </w:tblStylePr>
  </w:style>
  <w:style w:type="table" w:customStyle="1" w:styleId="GridTable7Colorful-Accent41">
    <w:name w:val="Grid Table 7 Colorful - Accent 41"/>
    <w:basedOn w:val="TableNormal"/>
    <w:uiPriority w:val="99"/>
    <w:rsid w:val="00531361"/>
    <w:pPr>
      <w:spacing w:after="0" w:line="240" w:lineRule="auto"/>
    </w:pPr>
    <w:rPr>
      <w:lang w:eastAsia="en-GB"/>
    </w:rPr>
    <w:tblPr>
      <w:tblStyleRowBandSize w:val="1"/>
      <w:tblStyleColBandSize w:val="1"/>
      <w:tblBorders>
        <w:bottom w:val="single" w:sz="4" w:space="0" w:color="BDDD8A" w:themeColor="accent4" w:themeTint="9A"/>
        <w:right w:val="single" w:sz="4" w:space="0" w:color="BDDD8A" w:themeColor="accent4" w:themeTint="9A"/>
        <w:insideH w:val="single" w:sz="4" w:space="0" w:color="BDDD8A" w:themeColor="accent4" w:themeTint="9A"/>
        <w:insideV w:val="single" w:sz="4" w:space="0" w:color="BDDD8A" w:themeColor="accent4" w:themeTint="9A"/>
      </w:tblBorders>
    </w:tblPr>
    <w:tblStylePr w:type="firstRow">
      <w:rPr>
        <w:rFonts w:ascii="Arial" w:hAnsi="Arial"/>
        <w:b/>
        <w:color w:val="BDDD8A" w:themeColor="accent4" w:themeTint="9A" w:themeShade="95"/>
        <w:sz w:val="22"/>
      </w:rPr>
      <w:tblPr/>
      <w:tcPr>
        <w:tcBorders>
          <w:top w:val="none" w:sz="4" w:space="0" w:color="000000"/>
          <w:left w:val="none" w:sz="4" w:space="0" w:color="000000"/>
          <w:bottom w:val="single" w:sz="4" w:space="0" w:color="BDDD8A" w:themeColor="accent4" w:themeTint="9A"/>
          <w:right w:val="none" w:sz="4" w:space="0" w:color="000000"/>
        </w:tcBorders>
        <w:shd w:val="clear" w:color="FFFFFF" w:themeColor="light1" w:fill="FFFFFF" w:themeFill="light1"/>
      </w:tcPr>
    </w:tblStylePr>
    <w:tblStylePr w:type="lastRow">
      <w:rPr>
        <w:rFonts w:ascii="Arial" w:hAnsi="Arial"/>
        <w:b/>
        <w:color w:val="BDDD8A" w:themeColor="accent4" w:themeTint="9A" w:themeShade="95"/>
        <w:sz w:val="22"/>
      </w:rPr>
      <w:tblPr/>
      <w:tcPr>
        <w:tcBorders>
          <w:top w:val="single" w:sz="4" w:space="0" w:color="BDDD8A"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DDD8A" w:themeColor="accent4" w:themeTint="9A" w:themeShade="95"/>
        <w:sz w:val="22"/>
      </w:rPr>
      <w:tblPr/>
      <w:tcPr>
        <w:tcBorders>
          <w:top w:val="none" w:sz="4" w:space="0" w:color="000000"/>
          <w:left w:val="none" w:sz="4" w:space="0" w:color="000000"/>
          <w:bottom w:val="none" w:sz="4" w:space="0" w:color="000000"/>
          <w:right w:val="single" w:sz="4" w:space="0" w:color="BDDD8A" w:themeColor="accent4" w:themeTint="9A"/>
        </w:tcBorders>
        <w:shd w:val="clear" w:color="FFFFFF" w:fill="auto"/>
      </w:tcPr>
    </w:tblStylePr>
    <w:tblStylePr w:type="lastCol">
      <w:rPr>
        <w:rFonts w:ascii="Arial" w:hAnsi="Arial"/>
        <w:i/>
        <w:color w:val="BDDD8A" w:themeColor="accent4" w:themeTint="9A" w:themeShade="95"/>
        <w:sz w:val="22"/>
      </w:rPr>
      <w:tblPr/>
      <w:tcPr>
        <w:tcBorders>
          <w:top w:val="none" w:sz="4" w:space="0" w:color="000000"/>
          <w:left w:val="single" w:sz="4" w:space="0" w:color="BDDD8A" w:themeColor="accent4" w:themeTint="9A"/>
          <w:bottom w:val="none" w:sz="4" w:space="0" w:color="000000"/>
          <w:right w:val="none" w:sz="4" w:space="0" w:color="000000"/>
        </w:tcBorders>
        <w:shd w:val="clear" w:color="FFFFFF" w:fill="auto"/>
      </w:tcPr>
    </w:tblStylePr>
    <w:tblStylePr w:type="band1Vert">
      <w:tblPr/>
      <w:tcPr>
        <w:shd w:val="clear" w:color="E8F3D7" w:themeColor="accent4" w:themeTint="34" w:fill="E8F3D7" w:themeFill="accent4" w:themeFillTint="34"/>
      </w:tcPr>
    </w:tblStylePr>
    <w:tblStylePr w:type="band1Horz">
      <w:rPr>
        <w:rFonts w:ascii="Arial" w:hAnsi="Arial"/>
        <w:color w:val="BDDD8A" w:themeColor="accent4" w:themeTint="9A" w:themeShade="95"/>
        <w:sz w:val="22"/>
      </w:rPr>
      <w:tblPr/>
      <w:tcPr>
        <w:shd w:val="clear" w:color="E8F3D7" w:themeColor="accent4" w:themeTint="34" w:fill="E8F3D7" w:themeFill="accent4" w:themeFillTint="34"/>
      </w:tcPr>
    </w:tblStylePr>
    <w:tblStylePr w:type="band2Horz">
      <w:rPr>
        <w:rFonts w:ascii="Arial" w:hAnsi="Arial"/>
        <w:color w:val="BDDD8A" w:themeColor="accent4" w:themeTint="9A" w:themeShade="95"/>
        <w:sz w:val="22"/>
      </w:rPr>
    </w:tblStylePr>
  </w:style>
  <w:style w:type="table" w:customStyle="1" w:styleId="GridTable7Colorful-Accent51">
    <w:name w:val="Grid Table 7 Colorful - Accent 51"/>
    <w:basedOn w:val="TableNormal"/>
    <w:uiPriority w:val="99"/>
    <w:rsid w:val="00531361"/>
    <w:pPr>
      <w:spacing w:after="0" w:line="240" w:lineRule="auto"/>
    </w:pPr>
    <w:rPr>
      <w:lang w:eastAsia="en-GB"/>
    </w:rPr>
    <w:tblPr>
      <w:tblStyleRowBandSize w:val="1"/>
      <w:tblStyleColBandSize w:val="1"/>
      <w:tblBorders>
        <w:bottom w:val="single" w:sz="4" w:space="0" w:color="AFD5D2" w:themeColor="accent5" w:themeTint="90"/>
        <w:right w:val="single" w:sz="4" w:space="0" w:color="AFD5D2" w:themeColor="accent5" w:themeTint="90"/>
        <w:insideH w:val="single" w:sz="4" w:space="0" w:color="AFD5D2" w:themeColor="accent5" w:themeTint="90"/>
        <w:insideV w:val="single" w:sz="4" w:space="0" w:color="AFD5D2" w:themeColor="accent5" w:themeTint="90"/>
      </w:tblBorders>
    </w:tblPr>
    <w:tblStylePr w:type="firstRow">
      <w:rPr>
        <w:rFonts w:ascii="Arial" w:hAnsi="Arial"/>
        <w:b/>
        <w:color w:val="3B716C" w:themeColor="accent5" w:themeShade="95"/>
        <w:sz w:val="22"/>
      </w:rPr>
      <w:tblPr/>
      <w:tcPr>
        <w:tcBorders>
          <w:top w:val="none" w:sz="4" w:space="0" w:color="000000"/>
          <w:left w:val="none" w:sz="4" w:space="0" w:color="000000"/>
          <w:bottom w:val="single" w:sz="4" w:space="0" w:color="AFD5D2" w:themeColor="accent5" w:themeTint="90"/>
          <w:right w:val="none" w:sz="4" w:space="0" w:color="000000"/>
        </w:tcBorders>
        <w:shd w:val="clear" w:color="FFFFFF" w:themeColor="light1" w:fill="FFFFFF" w:themeFill="light1"/>
      </w:tcPr>
    </w:tblStylePr>
    <w:tblStylePr w:type="lastRow">
      <w:rPr>
        <w:rFonts w:ascii="Arial" w:hAnsi="Arial"/>
        <w:b/>
        <w:color w:val="3B716C" w:themeColor="accent5" w:themeShade="95"/>
        <w:sz w:val="22"/>
      </w:rPr>
      <w:tblPr/>
      <w:tcPr>
        <w:tcBorders>
          <w:top w:val="single" w:sz="4" w:space="0" w:color="AFD5D2"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3B716C" w:themeColor="accent5" w:themeShade="95"/>
        <w:sz w:val="22"/>
      </w:rPr>
      <w:tblPr/>
      <w:tcPr>
        <w:tcBorders>
          <w:top w:val="none" w:sz="4" w:space="0" w:color="000000"/>
          <w:left w:val="none" w:sz="4" w:space="0" w:color="000000"/>
          <w:bottom w:val="none" w:sz="4" w:space="0" w:color="000000"/>
          <w:right w:val="single" w:sz="4" w:space="0" w:color="AFD5D2" w:themeColor="accent5" w:themeTint="90"/>
        </w:tcBorders>
        <w:shd w:val="clear" w:color="FFFFFF" w:fill="auto"/>
      </w:tcPr>
    </w:tblStylePr>
    <w:tblStylePr w:type="lastCol">
      <w:rPr>
        <w:rFonts w:ascii="Arial" w:hAnsi="Arial"/>
        <w:i/>
        <w:color w:val="3B716C" w:themeColor="accent5" w:themeShade="95"/>
        <w:sz w:val="22"/>
      </w:rPr>
      <w:tblPr/>
      <w:tcPr>
        <w:tcBorders>
          <w:top w:val="none" w:sz="4" w:space="0" w:color="000000"/>
          <w:left w:val="single" w:sz="4" w:space="0" w:color="AFD5D2" w:themeColor="accent5" w:themeTint="90"/>
          <w:bottom w:val="none" w:sz="4" w:space="0" w:color="000000"/>
          <w:right w:val="none" w:sz="4" w:space="0" w:color="000000"/>
        </w:tcBorders>
        <w:shd w:val="clear" w:color="FFFFFF" w:fill="auto"/>
      </w:tcPr>
    </w:tblStylePr>
    <w:tblStylePr w:type="band1Vert">
      <w:tblPr/>
      <w:tcPr>
        <w:shd w:val="clear" w:color="E2F0EE" w:themeColor="accent5" w:themeTint="34" w:fill="E2F0EE" w:themeFill="accent5" w:themeFillTint="34"/>
      </w:tcPr>
    </w:tblStylePr>
    <w:tblStylePr w:type="band1Horz">
      <w:rPr>
        <w:rFonts w:ascii="Arial" w:hAnsi="Arial"/>
        <w:color w:val="3B716C" w:themeColor="accent5" w:themeShade="95"/>
        <w:sz w:val="22"/>
      </w:rPr>
      <w:tblPr/>
      <w:tcPr>
        <w:shd w:val="clear" w:color="E2F0EE" w:themeColor="accent5" w:themeTint="34" w:fill="E2F0EE" w:themeFill="accent5" w:themeFillTint="34"/>
      </w:tcPr>
    </w:tblStylePr>
    <w:tblStylePr w:type="band2Horz">
      <w:rPr>
        <w:rFonts w:ascii="Arial" w:hAnsi="Arial"/>
        <w:color w:val="3B716C" w:themeColor="accent5" w:themeShade="95"/>
        <w:sz w:val="22"/>
      </w:rPr>
    </w:tblStylePr>
  </w:style>
  <w:style w:type="table" w:customStyle="1" w:styleId="GridTable7Colorful-Accent61">
    <w:name w:val="Grid Table 7 Colorful - Accent 61"/>
    <w:basedOn w:val="TableNormal"/>
    <w:uiPriority w:val="99"/>
    <w:rsid w:val="00531361"/>
    <w:pPr>
      <w:spacing w:after="0" w:line="240" w:lineRule="auto"/>
    </w:pPr>
    <w:rPr>
      <w:lang w:eastAsia="en-GB"/>
    </w:rPr>
    <w:tblPr>
      <w:tblStyleRowBandSize w:val="1"/>
      <w:tblStyleColBandSize w:val="1"/>
      <w:tblBorders>
        <w:bottom w:val="single" w:sz="4" w:space="0" w:color="F6D294" w:themeColor="accent6" w:themeTint="90"/>
        <w:right w:val="single" w:sz="4" w:space="0" w:color="F6D294" w:themeColor="accent6" w:themeTint="90"/>
        <w:insideH w:val="single" w:sz="4" w:space="0" w:color="F6D294" w:themeColor="accent6" w:themeTint="90"/>
        <w:insideV w:val="single" w:sz="4" w:space="0" w:color="F6D294" w:themeColor="accent6" w:themeTint="90"/>
      </w:tblBorders>
    </w:tblPr>
    <w:tblStylePr w:type="firstRow">
      <w:rPr>
        <w:rFonts w:ascii="Arial" w:hAnsi="Arial"/>
        <w:b/>
        <w:color w:val="A56D0D" w:themeColor="accent6" w:themeShade="95"/>
        <w:sz w:val="22"/>
      </w:rPr>
      <w:tblPr/>
      <w:tcPr>
        <w:tcBorders>
          <w:top w:val="none" w:sz="4" w:space="0" w:color="000000"/>
          <w:left w:val="none" w:sz="4" w:space="0" w:color="000000"/>
          <w:bottom w:val="single" w:sz="4" w:space="0" w:color="F6D294" w:themeColor="accent6" w:themeTint="90"/>
          <w:right w:val="none" w:sz="4" w:space="0" w:color="000000"/>
        </w:tcBorders>
        <w:shd w:val="clear" w:color="FFFFFF" w:themeColor="light1" w:fill="FFFFFF" w:themeFill="light1"/>
      </w:tcPr>
    </w:tblStylePr>
    <w:tblStylePr w:type="lastRow">
      <w:rPr>
        <w:rFonts w:ascii="Arial" w:hAnsi="Arial"/>
        <w:b/>
        <w:color w:val="A56D0D" w:themeColor="accent6" w:themeShade="95"/>
        <w:sz w:val="22"/>
      </w:rPr>
      <w:tblPr/>
      <w:tcPr>
        <w:tcBorders>
          <w:top w:val="single" w:sz="4" w:space="0" w:color="F6D294"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56D0D" w:themeColor="accent6" w:themeShade="95"/>
        <w:sz w:val="22"/>
      </w:rPr>
      <w:tblPr/>
      <w:tcPr>
        <w:tcBorders>
          <w:top w:val="none" w:sz="4" w:space="0" w:color="000000"/>
          <w:left w:val="none" w:sz="4" w:space="0" w:color="000000"/>
          <w:bottom w:val="none" w:sz="4" w:space="0" w:color="000000"/>
          <w:right w:val="single" w:sz="4" w:space="0" w:color="F6D294" w:themeColor="accent6" w:themeTint="90"/>
        </w:tcBorders>
        <w:shd w:val="clear" w:color="FFFFFF" w:fill="auto"/>
      </w:tcPr>
    </w:tblStylePr>
    <w:tblStylePr w:type="lastCol">
      <w:rPr>
        <w:rFonts w:ascii="Arial" w:hAnsi="Arial"/>
        <w:i/>
        <w:color w:val="A56D0D" w:themeColor="accent6" w:themeShade="95"/>
        <w:sz w:val="22"/>
      </w:rPr>
      <w:tblPr/>
      <w:tcPr>
        <w:tcBorders>
          <w:top w:val="none" w:sz="4" w:space="0" w:color="000000"/>
          <w:left w:val="single" w:sz="4" w:space="0" w:color="F6D294" w:themeColor="accent6" w:themeTint="90"/>
          <w:bottom w:val="none" w:sz="4" w:space="0" w:color="000000"/>
          <w:right w:val="none" w:sz="4" w:space="0" w:color="000000"/>
        </w:tcBorders>
        <w:shd w:val="clear" w:color="FFFFFF" w:fill="auto"/>
      </w:tcPr>
    </w:tblStylePr>
    <w:tblStylePr w:type="band1Vert">
      <w:tblPr/>
      <w:tcPr>
        <w:shd w:val="clear" w:color="FCEED8" w:themeColor="accent6" w:themeTint="34" w:fill="FCEED8" w:themeFill="accent6" w:themeFillTint="34"/>
      </w:tcPr>
    </w:tblStylePr>
    <w:tblStylePr w:type="band1Horz">
      <w:rPr>
        <w:rFonts w:ascii="Arial" w:hAnsi="Arial"/>
        <w:color w:val="A56D0D" w:themeColor="accent6" w:themeShade="95"/>
        <w:sz w:val="22"/>
      </w:rPr>
      <w:tblPr/>
      <w:tcPr>
        <w:shd w:val="clear" w:color="FCEED8" w:themeColor="accent6" w:themeTint="34" w:fill="FCEED8" w:themeFill="accent6" w:themeFillTint="34"/>
      </w:tcPr>
    </w:tblStylePr>
    <w:tblStylePr w:type="band2Horz">
      <w:rPr>
        <w:rFonts w:ascii="Arial" w:hAnsi="Arial"/>
        <w:color w:val="A56D0D" w:themeColor="accent6" w:themeShade="95"/>
        <w:sz w:val="22"/>
      </w:rPr>
    </w:tblStylePr>
  </w:style>
  <w:style w:type="table" w:customStyle="1" w:styleId="ListTable6Colorful-Accent11">
    <w:name w:val="List Table 6 Colorful - Accent 11"/>
    <w:basedOn w:val="TableNormal"/>
    <w:uiPriority w:val="99"/>
    <w:rsid w:val="00531361"/>
    <w:pPr>
      <w:spacing w:after="0" w:line="240" w:lineRule="auto"/>
    </w:pPr>
    <w:rPr>
      <w:lang w:eastAsia="en-GB"/>
    </w:rPr>
    <w:tblPr>
      <w:tblStyleRowBandSize w:val="1"/>
      <w:tblStyleColBandSize w:val="1"/>
      <w:tblBorders>
        <w:top w:val="single" w:sz="4" w:space="0" w:color="00AC4E" w:themeColor="accent1"/>
        <w:bottom w:val="single" w:sz="4" w:space="0" w:color="00AC4E" w:themeColor="accent1"/>
      </w:tblBorders>
    </w:tblPr>
    <w:tblStylePr w:type="firstRow">
      <w:rPr>
        <w:b/>
        <w:color w:val="00642D" w:themeColor="accent1" w:themeShade="95"/>
      </w:rPr>
      <w:tblPr/>
      <w:tcPr>
        <w:tcBorders>
          <w:bottom w:val="single" w:sz="4" w:space="0" w:color="00AC4E" w:themeColor="accent1"/>
        </w:tcBorders>
      </w:tcPr>
    </w:tblStylePr>
    <w:tblStylePr w:type="lastRow">
      <w:rPr>
        <w:b/>
        <w:color w:val="00642D" w:themeColor="accent1" w:themeShade="95"/>
      </w:rPr>
      <w:tblPr/>
      <w:tcPr>
        <w:tcBorders>
          <w:top w:val="single" w:sz="4" w:space="0" w:color="00AC4E" w:themeColor="accent1"/>
        </w:tcBorders>
      </w:tcPr>
    </w:tblStylePr>
    <w:tblStylePr w:type="firstCol">
      <w:rPr>
        <w:b/>
        <w:color w:val="00642D" w:themeColor="accent1" w:themeShade="95"/>
      </w:rPr>
    </w:tblStylePr>
    <w:tblStylePr w:type="lastCol">
      <w:rPr>
        <w:b/>
        <w:color w:val="00642D" w:themeColor="accent1" w:themeShade="95"/>
      </w:rPr>
    </w:tblStylePr>
    <w:tblStylePr w:type="band1Vert">
      <w:tblPr/>
      <w:tcPr>
        <w:shd w:val="clear" w:color="AAFFD0" w:themeColor="accent1" w:themeTint="40" w:fill="AAFFD0" w:themeFill="accent1" w:themeFillTint="40"/>
      </w:tcPr>
    </w:tblStylePr>
    <w:tblStylePr w:type="band1Horz">
      <w:rPr>
        <w:rFonts w:ascii="Arial" w:hAnsi="Arial"/>
        <w:color w:val="00642D" w:themeColor="accent1" w:themeShade="95"/>
        <w:sz w:val="22"/>
      </w:rPr>
      <w:tblPr/>
      <w:tcPr>
        <w:shd w:val="clear" w:color="AAFFD0" w:themeColor="accent1" w:themeTint="40" w:fill="AAFFD0" w:themeFill="accent1" w:themeFillTint="40"/>
      </w:tcPr>
    </w:tblStylePr>
    <w:tblStylePr w:type="band2Horz">
      <w:rPr>
        <w:rFonts w:ascii="Arial" w:hAnsi="Arial"/>
        <w:color w:val="00642D" w:themeColor="accent1" w:themeShade="95"/>
        <w:sz w:val="22"/>
      </w:rPr>
    </w:tblStylePr>
  </w:style>
  <w:style w:type="table" w:customStyle="1" w:styleId="ListTable6Colorful-Accent21">
    <w:name w:val="List Table 6 Colorful - Accent 21"/>
    <w:basedOn w:val="TableNormal"/>
    <w:uiPriority w:val="99"/>
    <w:rsid w:val="00531361"/>
    <w:pPr>
      <w:spacing w:after="0" w:line="240" w:lineRule="auto"/>
    </w:pPr>
    <w:rPr>
      <w:lang w:eastAsia="en-GB"/>
    </w:rPr>
    <w:tblPr>
      <w:tblStyleRowBandSize w:val="1"/>
      <w:tblStyleColBandSize w:val="1"/>
      <w:tblBorders>
        <w:top w:val="single" w:sz="4" w:space="0" w:color="2BFFE9" w:themeColor="accent2" w:themeTint="97"/>
        <w:bottom w:val="single" w:sz="4" w:space="0" w:color="2BFFE9" w:themeColor="accent2" w:themeTint="97"/>
      </w:tblBorders>
    </w:tblPr>
    <w:tblStylePr w:type="firstRow">
      <w:rPr>
        <w:b/>
        <w:color w:val="2BFFE9" w:themeColor="accent2" w:themeTint="97" w:themeShade="95"/>
      </w:rPr>
      <w:tblPr/>
      <w:tcPr>
        <w:tcBorders>
          <w:bottom w:val="single" w:sz="4" w:space="0" w:color="2BFFE9" w:themeColor="accent2" w:themeTint="97"/>
        </w:tcBorders>
      </w:tcPr>
    </w:tblStylePr>
    <w:tblStylePr w:type="lastRow">
      <w:rPr>
        <w:b/>
        <w:color w:val="2BFFE9" w:themeColor="accent2" w:themeTint="97" w:themeShade="95"/>
      </w:rPr>
      <w:tblPr/>
      <w:tcPr>
        <w:tcBorders>
          <w:top w:val="single" w:sz="4" w:space="0" w:color="2BFFE9" w:themeColor="accent2" w:themeTint="97"/>
        </w:tcBorders>
      </w:tcPr>
    </w:tblStylePr>
    <w:tblStylePr w:type="firstCol">
      <w:rPr>
        <w:b/>
        <w:color w:val="2BFFE9" w:themeColor="accent2" w:themeTint="97" w:themeShade="95"/>
      </w:rPr>
    </w:tblStylePr>
    <w:tblStylePr w:type="lastCol">
      <w:rPr>
        <w:b/>
        <w:color w:val="2BFFE9" w:themeColor="accent2" w:themeTint="97" w:themeShade="95"/>
      </w:rPr>
    </w:tblStylePr>
    <w:tblStylePr w:type="band1Vert">
      <w:tblPr/>
      <w:tcPr>
        <w:shd w:val="clear" w:color="A5FFF5" w:themeColor="accent2" w:themeTint="40" w:fill="A5FFF5" w:themeFill="accent2" w:themeFillTint="40"/>
      </w:tcPr>
    </w:tblStylePr>
    <w:tblStylePr w:type="band1Horz">
      <w:rPr>
        <w:rFonts w:ascii="Arial" w:hAnsi="Arial"/>
        <w:color w:val="2BFFE9" w:themeColor="accent2" w:themeTint="97" w:themeShade="95"/>
        <w:sz w:val="22"/>
      </w:rPr>
      <w:tblPr/>
      <w:tcPr>
        <w:shd w:val="clear" w:color="A5FFF5" w:themeColor="accent2" w:themeTint="40" w:fill="A5FFF5" w:themeFill="accent2" w:themeFillTint="40"/>
      </w:tcPr>
    </w:tblStylePr>
    <w:tblStylePr w:type="band2Horz">
      <w:rPr>
        <w:rFonts w:ascii="Arial" w:hAnsi="Arial"/>
        <w:color w:val="2BFFE9" w:themeColor="accent2" w:themeTint="97" w:themeShade="95"/>
        <w:sz w:val="22"/>
      </w:rPr>
    </w:tblStylePr>
  </w:style>
  <w:style w:type="table" w:customStyle="1" w:styleId="ListTable6Colorful-Accent31">
    <w:name w:val="List Table 6 Colorful - Accent 31"/>
    <w:basedOn w:val="TableNormal"/>
    <w:uiPriority w:val="99"/>
    <w:rsid w:val="00531361"/>
    <w:pPr>
      <w:spacing w:after="0" w:line="240" w:lineRule="auto"/>
    </w:pPr>
    <w:rPr>
      <w:lang w:eastAsia="en-GB"/>
    </w:rPr>
    <w:tblPr>
      <w:tblStyleRowBandSize w:val="1"/>
      <w:tblStyleColBandSize w:val="1"/>
      <w:tblBorders>
        <w:top w:val="single" w:sz="4" w:space="0" w:color="687AD7" w:themeColor="accent3" w:themeTint="98"/>
        <w:bottom w:val="single" w:sz="4" w:space="0" w:color="687AD7" w:themeColor="accent3" w:themeTint="98"/>
      </w:tblBorders>
    </w:tblPr>
    <w:tblStylePr w:type="firstRow">
      <w:rPr>
        <w:b/>
        <w:color w:val="687AD7" w:themeColor="accent3" w:themeTint="98" w:themeShade="95"/>
      </w:rPr>
      <w:tblPr/>
      <w:tcPr>
        <w:tcBorders>
          <w:bottom w:val="single" w:sz="4" w:space="0" w:color="687AD7" w:themeColor="accent3" w:themeTint="98"/>
        </w:tcBorders>
      </w:tcPr>
    </w:tblStylePr>
    <w:tblStylePr w:type="lastRow">
      <w:rPr>
        <w:b/>
        <w:color w:val="687AD7" w:themeColor="accent3" w:themeTint="98" w:themeShade="95"/>
      </w:rPr>
      <w:tblPr/>
      <w:tcPr>
        <w:tcBorders>
          <w:top w:val="single" w:sz="4" w:space="0" w:color="687AD7" w:themeColor="accent3" w:themeTint="98"/>
        </w:tcBorders>
      </w:tcPr>
    </w:tblStylePr>
    <w:tblStylePr w:type="firstCol">
      <w:rPr>
        <w:b/>
        <w:color w:val="687AD7" w:themeColor="accent3" w:themeTint="98" w:themeShade="95"/>
      </w:rPr>
    </w:tblStylePr>
    <w:tblStylePr w:type="lastCol">
      <w:rPr>
        <w:b/>
        <w:color w:val="687AD7" w:themeColor="accent3" w:themeTint="98" w:themeShade="95"/>
      </w:rPr>
    </w:tblStylePr>
    <w:tblStylePr w:type="band1Vert">
      <w:tblPr/>
      <w:tcPr>
        <w:shd w:val="clear" w:color="BFC6EE" w:themeColor="accent3" w:themeTint="40" w:fill="BFC6EE" w:themeFill="accent3" w:themeFillTint="40"/>
      </w:tcPr>
    </w:tblStylePr>
    <w:tblStylePr w:type="band1Horz">
      <w:rPr>
        <w:rFonts w:ascii="Arial" w:hAnsi="Arial"/>
        <w:color w:val="687AD7" w:themeColor="accent3" w:themeTint="98" w:themeShade="95"/>
        <w:sz w:val="22"/>
      </w:rPr>
      <w:tblPr/>
      <w:tcPr>
        <w:shd w:val="clear" w:color="BFC6EE" w:themeColor="accent3" w:themeTint="40" w:fill="BFC6EE" w:themeFill="accent3" w:themeFillTint="40"/>
      </w:tcPr>
    </w:tblStylePr>
    <w:tblStylePr w:type="band2Horz">
      <w:rPr>
        <w:rFonts w:ascii="Arial" w:hAnsi="Arial"/>
        <w:color w:val="687AD7" w:themeColor="accent3" w:themeTint="98" w:themeShade="95"/>
        <w:sz w:val="22"/>
      </w:rPr>
    </w:tblStylePr>
  </w:style>
  <w:style w:type="table" w:customStyle="1" w:styleId="ListTable6Colorful-Accent41">
    <w:name w:val="List Table 6 Colorful - Accent 41"/>
    <w:basedOn w:val="TableNormal"/>
    <w:uiPriority w:val="99"/>
    <w:rsid w:val="00531361"/>
    <w:pPr>
      <w:spacing w:after="0" w:line="240" w:lineRule="auto"/>
    </w:pPr>
    <w:rPr>
      <w:lang w:eastAsia="en-GB"/>
    </w:rPr>
    <w:tblPr>
      <w:tblStyleRowBandSize w:val="1"/>
      <w:tblStyleColBandSize w:val="1"/>
      <w:tblBorders>
        <w:top w:val="single" w:sz="4" w:space="0" w:color="BDDD8A" w:themeColor="accent4" w:themeTint="9A"/>
        <w:bottom w:val="single" w:sz="4" w:space="0" w:color="BDDD8A" w:themeColor="accent4" w:themeTint="9A"/>
      </w:tblBorders>
    </w:tblPr>
    <w:tblStylePr w:type="firstRow">
      <w:rPr>
        <w:b/>
        <w:color w:val="BDDD8A" w:themeColor="accent4" w:themeTint="9A" w:themeShade="95"/>
      </w:rPr>
      <w:tblPr/>
      <w:tcPr>
        <w:tcBorders>
          <w:bottom w:val="single" w:sz="4" w:space="0" w:color="BDDD8A" w:themeColor="accent4" w:themeTint="9A"/>
        </w:tcBorders>
      </w:tcPr>
    </w:tblStylePr>
    <w:tblStylePr w:type="lastRow">
      <w:rPr>
        <w:b/>
        <w:color w:val="BDDD8A" w:themeColor="accent4" w:themeTint="9A" w:themeShade="95"/>
      </w:rPr>
      <w:tblPr/>
      <w:tcPr>
        <w:tcBorders>
          <w:top w:val="single" w:sz="4" w:space="0" w:color="BDDD8A" w:themeColor="accent4" w:themeTint="9A"/>
        </w:tcBorders>
      </w:tcPr>
    </w:tblStylePr>
    <w:tblStylePr w:type="firstCol">
      <w:rPr>
        <w:b/>
        <w:color w:val="BDDD8A" w:themeColor="accent4" w:themeTint="9A" w:themeShade="95"/>
      </w:rPr>
    </w:tblStylePr>
    <w:tblStylePr w:type="lastCol">
      <w:rPr>
        <w:b/>
        <w:color w:val="BDDD8A" w:themeColor="accent4" w:themeTint="9A" w:themeShade="95"/>
      </w:rPr>
    </w:tblStylePr>
    <w:tblStylePr w:type="band1Vert">
      <w:tblPr/>
      <w:tcPr>
        <w:shd w:val="clear" w:color="E3F1CE" w:themeColor="accent4" w:themeTint="40" w:fill="E3F1CE" w:themeFill="accent4" w:themeFillTint="40"/>
      </w:tcPr>
    </w:tblStylePr>
    <w:tblStylePr w:type="band1Horz">
      <w:rPr>
        <w:rFonts w:ascii="Arial" w:hAnsi="Arial"/>
        <w:color w:val="BDDD8A" w:themeColor="accent4" w:themeTint="9A" w:themeShade="95"/>
        <w:sz w:val="22"/>
      </w:rPr>
      <w:tblPr/>
      <w:tcPr>
        <w:shd w:val="clear" w:color="E3F1CE" w:themeColor="accent4" w:themeTint="40" w:fill="E3F1CE" w:themeFill="accent4" w:themeFillTint="40"/>
      </w:tcPr>
    </w:tblStylePr>
    <w:tblStylePr w:type="band2Horz">
      <w:rPr>
        <w:rFonts w:ascii="Arial" w:hAnsi="Arial"/>
        <w:color w:val="BDDD8A" w:themeColor="accent4" w:themeTint="9A" w:themeShade="95"/>
        <w:sz w:val="22"/>
      </w:rPr>
    </w:tblStylePr>
  </w:style>
  <w:style w:type="table" w:customStyle="1" w:styleId="ListTable6Colorful-Accent51">
    <w:name w:val="List Table 6 Colorful - Accent 51"/>
    <w:basedOn w:val="TableNormal"/>
    <w:uiPriority w:val="99"/>
    <w:rsid w:val="00531361"/>
    <w:pPr>
      <w:spacing w:after="0" w:line="240" w:lineRule="auto"/>
    </w:pPr>
    <w:rPr>
      <w:lang w:eastAsia="en-GB"/>
    </w:rPr>
    <w:tblPr>
      <w:tblStyleRowBandSize w:val="1"/>
      <w:tblStyleColBandSize w:val="1"/>
      <w:tblBorders>
        <w:top w:val="single" w:sz="4" w:space="0" w:color="A9D3CF" w:themeColor="accent5" w:themeTint="9A"/>
        <w:bottom w:val="single" w:sz="4" w:space="0" w:color="A9D3CF" w:themeColor="accent5" w:themeTint="9A"/>
      </w:tblBorders>
    </w:tblPr>
    <w:tblStylePr w:type="firstRow">
      <w:rPr>
        <w:b/>
        <w:color w:val="A9D3CF" w:themeColor="accent5" w:themeTint="9A" w:themeShade="95"/>
      </w:rPr>
      <w:tblPr/>
      <w:tcPr>
        <w:tcBorders>
          <w:bottom w:val="single" w:sz="4" w:space="0" w:color="A9D3CF" w:themeColor="accent5" w:themeTint="9A"/>
        </w:tcBorders>
      </w:tcPr>
    </w:tblStylePr>
    <w:tblStylePr w:type="lastRow">
      <w:rPr>
        <w:b/>
        <w:color w:val="A9D3CF" w:themeColor="accent5" w:themeTint="9A" w:themeShade="95"/>
      </w:rPr>
      <w:tblPr/>
      <w:tcPr>
        <w:tcBorders>
          <w:top w:val="single" w:sz="4" w:space="0" w:color="A9D3CF" w:themeColor="accent5" w:themeTint="9A"/>
        </w:tcBorders>
      </w:tcPr>
    </w:tblStylePr>
    <w:tblStylePr w:type="firstCol">
      <w:rPr>
        <w:b/>
        <w:color w:val="A9D3CF" w:themeColor="accent5" w:themeTint="9A" w:themeShade="95"/>
      </w:rPr>
    </w:tblStylePr>
    <w:tblStylePr w:type="lastCol">
      <w:rPr>
        <w:b/>
        <w:color w:val="A9D3CF" w:themeColor="accent5" w:themeTint="9A" w:themeShade="95"/>
      </w:rPr>
    </w:tblStylePr>
    <w:tblStylePr w:type="band1Vert">
      <w:tblPr/>
      <w:tcPr>
        <w:shd w:val="clear" w:color="DBECEB" w:themeColor="accent5" w:themeTint="40" w:fill="DBECEB" w:themeFill="accent5" w:themeFillTint="40"/>
      </w:tcPr>
    </w:tblStylePr>
    <w:tblStylePr w:type="band1Horz">
      <w:rPr>
        <w:rFonts w:ascii="Arial" w:hAnsi="Arial"/>
        <w:color w:val="A9D3CF" w:themeColor="accent5" w:themeTint="9A" w:themeShade="95"/>
        <w:sz w:val="22"/>
      </w:rPr>
      <w:tblPr/>
      <w:tcPr>
        <w:shd w:val="clear" w:color="DBECEB" w:themeColor="accent5" w:themeTint="40" w:fill="DBECEB" w:themeFill="accent5" w:themeFillTint="40"/>
      </w:tcPr>
    </w:tblStylePr>
    <w:tblStylePr w:type="band2Horz">
      <w:rPr>
        <w:rFonts w:ascii="Arial" w:hAnsi="Arial"/>
        <w:color w:val="A9D3CF" w:themeColor="accent5" w:themeTint="9A" w:themeShade="95"/>
        <w:sz w:val="22"/>
      </w:rPr>
    </w:tblStylePr>
  </w:style>
  <w:style w:type="table" w:customStyle="1" w:styleId="ListTable6Colorful-Accent61">
    <w:name w:val="List Table 6 Colorful - Accent 61"/>
    <w:basedOn w:val="TableNormal"/>
    <w:uiPriority w:val="99"/>
    <w:rsid w:val="00531361"/>
    <w:pPr>
      <w:spacing w:after="0" w:line="240" w:lineRule="auto"/>
    </w:pPr>
    <w:rPr>
      <w:lang w:eastAsia="en-GB"/>
    </w:rPr>
    <w:tblPr>
      <w:tblStyleRowBandSize w:val="1"/>
      <w:tblStyleColBandSize w:val="1"/>
      <w:tblBorders>
        <w:top w:val="single" w:sz="4" w:space="0" w:color="F6D08E" w:themeColor="accent6" w:themeTint="98"/>
        <w:bottom w:val="single" w:sz="4" w:space="0" w:color="F6D08E" w:themeColor="accent6" w:themeTint="98"/>
      </w:tblBorders>
    </w:tblPr>
    <w:tblStylePr w:type="firstRow">
      <w:rPr>
        <w:b/>
        <w:color w:val="F6D08E" w:themeColor="accent6" w:themeTint="98" w:themeShade="95"/>
      </w:rPr>
      <w:tblPr/>
      <w:tcPr>
        <w:tcBorders>
          <w:bottom w:val="single" w:sz="4" w:space="0" w:color="F6D08E" w:themeColor="accent6" w:themeTint="98"/>
        </w:tcBorders>
      </w:tcPr>
    </w:tblStylePr>
    <w:tblStylePr w:type="lastRow">
      <w:rPr>
        <w:b/>
        <w:color w:val="F6D08E" w:themeColor="accent6" w:themeTint="98" w:themeShade="95"/>
      </w:rPr>
      <w:tblPr/>
      <w:tcPr>
        <w:tcBorders>
          <w:top w:val="single" w:sz="4" w:space="0" w:color="F6D08E" w:themeColor="accent6" w:themeTint="98"/>
        </w:tcBorders>
      </w:tcPr>
    </w:tblStylePr>
    <w:tblStylePr w:type="firstCol">
      <w:rPr>
        <w:b/>
        <w:color w:val="F6D08E" w:themeColor="accent6" w:themeTint="98" w:themeShade="95"/>
      </w:rPr>
    </w:tblStylePr>
    <w:tblStylePr w:type="lastCol">
      <w:rPr>
        <w:b/>
        <w:color w:val="F6D08E" w:themeColor="accent6" w:themeTint="98" w:themeShade="95"/>
      </w:rPr>
    </w:tblStylePr>
    <w:tblStylePr w:type="band1Vert">
      <w:tblPr/>
      <w:tcPr>
        <w:shd w:val="clear" w:color="FBEBCF" w:themeColor="accent6" w:themeTint="40" w:fill="FBEBCF" w:themeFill="accent6" w:themeFillTint="40"/>
      </w:tcPr>
    </w:tblStylePr>
    <w:tblStylePr w:type="band1Horz">
      <w:rPr>
        <w:rFonts w:ascii="Arial" w:hAnsi="Arial"/>
        <w:color w:val="F6D08E" w:themeColor="accent6" w:themeTint="98" w:themeShade="95"/>
        <w:sz w:val="22"/>
      </w:rPr>
      <w:tblPr/>
      <w:tcPr>
        <w:shd w:val="clear" w:color="FBEBCF" w:themeColor="accent6" w:themeTint="40" w:fill="FBEBCF" w:themeFill="accent6" w:themeFillTint="40"/>
      </w:tcPr>
    </w:tblStylePr>
    <w:tblStylePr w:type="band2Horz">
      <w:rPr>
        <w:rFonts w:ascii="Arial" w:hAnsi="Arial"/>
        <w:color w:val="F6D08E" w:themeColor="accent6" w:themeTint="98" w:themeShade="95"/>
        <w:sz w:val="22"/>
      </w:rPr>
    </w:tblStylePr>
  </w:style>
  <w:style w:type="table" w:customStyle="1" w:styleId="ListTable7Colorful-Accent11">
    <w:name w:val="List Table 7 Colorful - Accent 11"/>
    <w:basedOn w:val="TableNormal"/>
    <w:uiPriority w:val="99"/>
    <w:rsid w:val="00531361"/>
    <w:pPr>
      <w:spacing w:after="0" w:line="240" w:lineRule="auto"/>
    </w:pPr>
    <w:rPr>
      <w:lang w:eastAsia="en-GB"/>
    </w:rPr>
    <w:tblPr>
      <w:tblStyleRowBandSize w:val="1"/>
      <w:tblStyleColBandSize w:val="1"/>
      <w:tblBorders>
        <w:right w:val="single" w:sz="4" w:space="0" w:color="00AC4E" w:themeColor="accent1"/>
      </w:tblBorders>
    </w:tblPr>
    <w:tblStylePr w:type="firstRow">
      <w:rPr>
        <w:rFonts w:ascii="Arial" w:hAnsi="Arial"/>
        <w:i/>
        <w:color w:val="00642D" w:themeColor="accent1" w:themeShade="95"/>
        <w:sz w:val="22"/>
      </w:rPr>
      <w:tblPr/>
      <w:tcPr>
        <w:tcBorders>
          <w:top w:val="none" w:sz="4" w:space="0" w:color="000000"/>
          <w:left w:val="none" w:sz="4" w:space="0" w:color="000000"/>
          <w:bottom w:val="single" w:sz="4" w:space="0" w:color="00AC4E" w:themeColor="accent1"/>
          <w:right w:val="none" w:sz="4" w:space="0" w:color="000000"/>
        </w:tcBorders>
        <w:shd w:val="clear" w:color="FFFFFF" w:themeColor="light1" w:fill="FFFFFF" w:themeFill="light1"/>
      </w:tcPr>
    </w:tblStylePr>
    <w:tblStylePr w:type="lastRow">
      <w:rPr>
        <w:rFonts w:ascii="Arial" w:hAnsi="Arial"/>
        <w:i/>
        <w:color w:val="00642D" w:themeColor="accent1" w:themeShade="95"/>
        <w:sz w:val="22"/>
      </w:rPr>
      <w:tblPr/>
      <w:tcPr>
        <w:tcBorders>
          <w:top w:val="single" w:sz="4" w:space="0" w:color="00AC4E"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00642D" w:themeColor="accent1" w:themeShade="95"/>
        <w:sz w:val="22"/>
      </w:rPr>
      <w:tblPr/>
      <w:tcPr>
        <w:tcBorders>
          <w:top w:val="none" w:sz="4" w:space="0" w:color="000000"/>
          <w:left w:val="none" w:sz="4" w:space="0" w:color="000000"/>
          <w:bottom w:val="none" w:sz="4" w:space="0" w:color="000000"/>
          <w:right w:val="single" w:sz="4" w:space="0" w:color="00AC4E" w:themeColor="accent1"/>
        </w:tcBorders>
        <w:shd w:val="clear" w:color="FFFFFF" w:fill="auto"/>
      </w:tcPr>
    </w:tblStylePr>
    <w:tblStylePr w:type="lastCol">
      <w:rPr>
        <w:rFonts w:ascii="Arial" w:hAnsi="Arial"/>
        <w:i/>
        <w:color w:val="00642D" w:themeColor="accent1" w:themeShade="95"/>
        <w:sz w:val="22"/>
      </w:rPr>
      <w:tblPr/>
      <w:tcPr>
        <w:tcBorders>
          <w:top w:val="none" w:sz="4" w:space="0" w:color="000000"/>
          <w:left w:val="single" w:sz="4" w:space="0" w:color="00AC4E" w:themeColor="accent1"/>
          <w:bottom w:val="none" w:sz="4" w:space="0" w:color="000000"/>
          <w:right w:val="none" w:sz="4" w:space="0" w:color="000000"/>
        </w:tcBorders>
        <w:shd w:val="clear" w:color="FFFFFF" w:fill="auto"/>
      </w:tcPr>
    </w:tblStylePr>
    <w:tblStylePr w:type="band1Vert">
      <w:tblPr/>
      <w:tcPr>
        <w:shd w:val="clear" w:color="AAFFD0" w:themeColor="accent1" w:themeTint="40" w:fill="AAFFD0" w:themeFill="accent1" w:themeFillTint="40"/>
      </w:tcPr>
    </w:tblStylePr>
    <w:tblStylePr w:type="band1Horz">
      <w:rPr>
        <w:rFonts w:ascii="Arial" w:hAnsi="Arial"/>
        <w:color w:val="00642D" w:themeColor="accent1" w:themeShade="95"/>
        <w:sz w:val="22"/>
      </w:rPr>
      <w:tblPr/>
      <w:tcPr>
        <w:shd w:val="clear" w:color="AAFFD0" w:themeColor="accent1" w:themeTint="40" w:fill="AAFFD0" w:themeFill="accent1" w:themeFillTint="40"/>
      </w:tcPr>
    </w:tblStylePr>
    <w:tblStylePr w:type="band2Horz">
      <w:rPr>
        <w:rFonts w:ascii="Arial" w:hAnsi="Arial"/>
        <w:color w:val="00642D" w:themeColor="accent1" w:themeShade="95"/>
        <w:sz w:val="22"/>
      </w:rPr>
    </w:tblStylePr>
  </w:style>
  <w:style w:type="table" w:customStyle="1" w:styleId="ListTable7Colorful-Accent21">
    <w:name w:val="List Table 7 Colorful - Accent 21"/>
    <w:basedOn w:val="TableNormal"/>
    <w:uiPriority w:val="99"/>
    <w:rsid w:val="00531361"/>
    <w:pPr>
      <w:spacing w:after="0" w:line="240" w:lineRule="auto"/>
    </w:pPr>
    <w:rPr>
      <w:lang w:eastAsia="en-GB"/>
    </w:rPr>
    <w:tblPr>
      <w:tblStyleRowBandSize w:val="1"/>
      <w:tblStyleColBandSize w:val="1"/>
      <w:tblBorders>
        <w:right w:val="single" w:sz="4" w:space="0" w:color="2BFFE9" w:themeColor="accent2" w:themeTint="97"/>
      </w:tblBorders>
    </w:tblPr>
    <w:tblStylePr w:type="firstRow">
      <w:rPr>
        <w:rFonts w:ascii="Arial" w:hAnsi="Arial"/>
        <w:i/>
        <w:color w:val="2BFFE9" w:themeColor="accent2" w:themeTint="97" w:themeShade="95"/>
        <w:sz w:val="22"/>
      </w:rPr>
      <w:tblPr/>
      <w:tcPr>
        <w:tcBorders>
          <w:top w:val="none" w:sz="4" w:space="0" w:color="000000"/>
          <w:left w:val="none" w:sz="4" w:space="0" w:color="000000"/>
          <w:bottom w:val="single" w:sz="4" w:space="0" w:color="2BFFE9" w:themeColor="accent2" w:themeTint="97"/>
          <w:right w:val="none" w:sz="4" w:space="0" w:color="000000"/>
        </w:tcBorders>
        <w:shd w:val="clear" w:color="FFFFFF" w:themeColor="light1" w:fill="FFFFFF" w:themeFill="light1"/>
      </w:tcPr>
    </w:tblStylePr>
    <w:tblStylePr w:type="lastRow">
      <w:rPr>
        <w:rFonts w:ascii="Arial" w:hAnsi="Arial"/>
        <w:i/>
        <w:color w:val="2BFFE9" w:themeColor="accent2" w:themeTint="97" w:themeShade="95"/>
        <w:sz w:val="22"/>
      </w:rPr>
      <w:tblPr/>
      <w:tcPr>
        <w:tcBorders>
          <w:top w:val="single" w:sz="4" w:space="0" w:color="2BFFE9"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BFFE9" w:themeColor="accent2" w:themeTint="97" w:themeShade="95"/>
        <w:sz w:val="22"/>
      </w:rPr>
      <w:tblPr/>
      <w:tcPr>
        <w:tcBorders>
          <w:top w:val="none" w:sz="4" w:space="0" w:color="000000"/>
          <w:left w:val="none" w:sz="4" w:space="0" w:color="000000"/>
          <w:bottom w:val="none" w:sz="4" w:space="0" w:color="000000"/>
          <w:right w:val="single" w:sz="4" w:space="0" w:color="2BFFE9" w:themeColor="accent2" w:themeTint="97"/>
        </w:tcBorders>
        <w:shd w:val="clear" w:color="FFFFFF" w:fill="auto"/>
      </w:tcPr>
    </w:tblStylePr>
    <w:tblStylePr w:type="lastCol">
      <w:rPr>
        <w:rFonts w:ascii="Arial" w:hAnsi="Arial"/>
        <w:i/>
        <w:color w:val="2BFFE9" w:themeColor="accent2" w:themeTint="97" w:themeShade="95"/>
        <w:sz w:val="22"/>
      </w:rPr>
      <w:tblPr/>
      <w:tcPr>
        <w:tcBorders>
          <w:top w:val="none" w:sz="4" w:space="0" w:color="000000"/>
          <w:left w:val="single" w:sz="4" w:space="0" w:color="2BFFE9" w:themeColor="accent2" w:themeTint="97"/>
          <w:bottom w:val="none" w:sz="4" w:space="0" w:color="000000"/>
          <w:right w:val="none" w:sz="4" w:space="0" w:color="000000"/>
        </w:tcBorders>
        <w:shd w:val="clear" w:color="FFFFFF" w:fill="auto"/>
      </w:tcPr>
    </w:tblStylePr>
    <w:tblStylePr w:type="band1Vert">
      <w:tblPr/>
      <w:tcPr>
        <w:shd w:val="clear" w:color="A5FFF5" w:themeColor="accent2" w:themeTint="40" w:fill="A5FFF5" w:themeFill="accent2" w:themeFillTint="40"/>
      </w:tcPr>
    </w:tblStylePr>
    <w:tblStylePr w:type="band1Horz">
      <w:rPr>
        <w:rFonts w:ascii="Arial" w:hAnsi="Arial"/>
        <w:color w:val="2BFFE9" w:themeColor="accent2" w:themeTint="97" w:themeShade="95"/>
        <w:sz w:val="22"/>
      </w:rPr>
      <w:tblPr/>
      <w:tcPr>
        <w:shd w:val="clear" w:color="A5FFF5" w:themeColor="accent2" w:themeTint="40" w:fill="A5FFF5" w:themeFill="accent2" w:themeFillTint="40"/>
      </w:tcPr>
    </w:tblStylePr>
    <w:tblStylePr w:type="band2Horz">
      <w:rPr>
        <w:rFonts w:ascii="Arial" w:hAnsi="Arial"/>
        <w:color w:val="2BFFE9" w:themeColor="accent2" w:themeTint="97" w:themeShade="95"/>
        <w:sz w:val="22"/>
      </w:rPr>
    </w:tblStylePr>
  </w:style>
  <w:style w:type="table" w:customStyle="1" w:styleId="ListTable7Colorful-Accent31">
    <w:name w:val="List Table 7 Colorful - Accent 31"/>
    <w:basedOn w:val="TableNormal"/>
    <w:uiPriority w:val="99"/>
    <w:rsid w:val="00531361"/>
    <w:pPr>
      <w:spacing w:after="0" w:line="240" w:lineRule="auto"/>
    </w:pPr>
    <w:rPr>
      <w:lang w:eastAsia="en-GB"/>
    </w:rPr>
    <w:tblPr>
      <w:tblStyleRowBandSize w:val="1"/>
      <w:tblStyleColBandSize w:val="1"/>
      <w:tblBorders>
        <w:right w:val="single" w:sz="4" w:space="0" w:color="687AD7" w:themeColor="accent3" w:themeTint="98"/>
      </w:tblBorders>
    </w:tblPr>
    <w:tblStylePr w:type="firstRow">
      <w:rPr>
        <w:rFonts w:ascii="Arial" w:hAnsi="Arial"/>
        <w:i/>
        <w:color w:val="687AD7" w:themeColor="accent3" w:themeTint="98" w:themeShade="95"/>
        <w:sz w:val="22"/>
      </w:rPr>
      <w:tblPr/>
      <w:tcPr>
        <w:tcBorders>
          <w:top w:val="none" w:sz="4" w:space="0" w:color="000000"/>
          <w:left w:val="none" w:sz="4" w:space="0" w:color="000000"/>
          <w:bottom w:val="single" w:sz="4" w:space="0" w:color="687AD7" w:themeColor="accent3" w:themeTint="98"/>
          <w:right w:val="none" w:sz="4" w:space="0" w:color="000000"/>
        </w:tcBorders>
        <w:shd w:val="clear" w:color="FFFFFF" w:themeColor="light1" w:fill="FFFFFF" w:themeFill="light1"/>
      </w:tcPr>
    </w:tblStylePr>
    <w:tblStylePr w:type="lastRow">
      <w:rPr>
        <w:rFonts w:ascii="Arial" w:hAnsi="Arial"/>
        <w:i/>
        <w:color w:val="687AD7" w:themeColor="accent3" w:themeTint="98" w:themeShade="95"/>
        <w:sz w:val="22"/>
      </w:rPr>
      <w:tblPr/>
      <w:tcPr>
        <w:tcBorders>
          <w:top w:val="single" w:sz="4" w:space="0" w:color="687AD7"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687AD7" w:themeColor="accent3" w:themeTint="98" w:themeShade="95"/>
        <w:sz w:val="22"/>
      </w:rPr>
      <w:tblPr/>
      <w:tcPr>
        <w:tcBorders>
          <w:top w:val="none" w:sz="4" w:space="0" w:color="000000"/>
          <w:left w:val="none" w:sz="4" w:space="0" w:color="000000"/>
          <w:bottom w:val="none" w:sz="4" w:space="0" w:color="000000"/>
          <w:right w:val="single" w:sz="4" w:space="0" w:color="687AD7" w:themeColor="accent3" w:themeTint="98"/>
        </w:tcBorders>
        <w:shd w:val="clear" w:color="FFFFFF" w:fill="auto"/>
      </w:tcPr>
    </w:tblStylePr>
    <w:tblStylePr w:type="lastCol">
      <w:rPr>
        <w:rFonts w:ascii="Arial" w:hAnsi="Arial"/>
        <w:i/>
        <w:color w:val="687AD7" w:themeColor="accent3" w:themeTint="98" w:themeShade="95"/>
        <w:sz w:val="22"/>
      </w:rPr>
      <w:tblPr/>
      <w:tcPr>
        <w:tcBorders>
          <w:top w:val="none" w:sz="4" w:space="0" w:color="000000"/>
          <w:left w:val="single" w:sz="4" w:space="0" w:color="687AD7" w:themeColor="accent3" w:themeTint="98"/>
          <w:bottom w:val="none" w:sz="4" w:space="0" w:color="000000"/>
          <w:right w:val="none" w:sz="4" w:space="0" w:color="000000"/>
        </w:tcBorders>
        <w:shd w:val="clear" w:color="FFFFFF" w:fill="auto"/>
      </w:tcPr>
    </w:tblStylePr>
    <w:tblStylePr w:type="band1Vert">
      <w:tblPr/>
      <w:tcPr>
        <w:shd w:val="clear" w:color="BFC6EE" w:themeColor="accent3" w:themeTint="40" w:fill="BFC6EE" w:themeFill="accent3" w:themeFillTint="40"/>
      </w:tcPr>
    </w:tblStylePr>
    <w:tblStylePr w:type="band1Horz">
      <w:rPr>
        <w:rFonts w:ascii="Arial" w:hAnsi="Arial"/>
        <w:color w:val="687AD7" w:themeColor="accent3" w:themeTint="98" w:themeShade="95"/>
        <w:sz w:val="22"/>
      </w:rPr>
      <w:tblPr/>
      <w:tcPr>
        <w:shd w:val="clear" w:color="BFC6EE" w:themeColor="accent3" w:themeTint="40" w:fill="BFC6EE" w:themeFill="accent3" w:themeFillTint="40"/>
      </w:tcPr>
    </w:tblStylePr>
    <w:tblStylePr w:type="band2Horz">
      <w:rPr>
        <w:rFonts w:ascii="Arial" w:hAnsi="Arial"/>
        <w:color w:val="687AD7" w:themeColor="accent3" w:themeTint="98" w:themeShade="95"/>
        <w:sz w:val="22"/>
      </w:rPr>
    </w:tblStylePr>
  </w:style>
  <w:style w:type="table" w:customStyle="1" w:styleId="ListTable7Colorful-Accent41">
    <w:name w:val="List Table 7 Colorful - Accent 41"/>
    <w:basedOn w:val="TableNormal"/>
    <w:uiPriority w:val="99"/>
    <w:rsid w:val="00531361"/>
    <w:pPr>
      <w:spacing w:after="0" w:line="240" w:lineRule="auto"/>
    </w:pPr>
    <w:rPr>
      <w:lang w:eastAsia="en-GB"/>
    </w:rPr>
    <w:tblPr>
      <w:tblStyleRowBandSize w:val="1"/>
      <w:tblStyleColBandSize w:val="1"/>
      <w:tblBorders>
        <w:right w:val="single" w:sz="4" w:space="0" w:color="BDDD8A" w:themeColor="accent4" w:themeTint="9A"/>
      </w:tblBorders>
    </w:tblPr>
    <w:tblStylePr w:type="firstRow">
      <w:rPr>
        <w:rFonts w:ascii="Arial" w:hAnsi="Arial"/>
        <w:i/>
        <w:color w:val="BDDD8A" w:themeColor="accent4" w:themeTint="9A" w:themeShade="95"/>
        <w:sz w:val="22"/>
      </w:rPr>
      <w:tblPr/>
      <w:tcPr>
        <w:tcBorders>
          <w:top w:val="none" w:sz="4" w:space="0" w:color="000000"/>
          <w:left w:val="none" w:sz="4" w:space="0" w:color="000000"/>
          <w:bottom w:val="single" w:sz="4" w:space="0" w:color="BDDD8A" w:themeColor="accent4" w:themeTint="9A"/>
          <w:right w:val="none" w:sz="4" w:space="0" w:color="000000"/>
        </w:tcBorders>
        <w:shd w:val="clear" w:color="FFFFFF" w:themeColor="light1" w:fill="FFFFFF" w:themeFill="light1"/>
      </w:tcPr>
    </w:tblStylePr>
    <w:tblStylePr w:type="lastRow">
      <w:rPr>
        <w:rFonts w:ascii="Arial" w:hAnsi="Arial"/>
        <w:i/>
        <w:color w:val="BDDD8A" w:themeColor="accent4" w:themeTint="9A" w:themeShade="95"/>
        <w:sz w:val="22"/>
      </w:rPr>
      <w:tblPr/>
      <w:tcPr>
        <w:tcBorders>
          <w:top w:val="single" w:sz="4" w:space="0" w:color="BDDD8A"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DDD8A" w:themeColor="accent4" w:themeTint="9A" w:themeShade="95"/>
        <w:sz w:val="22"/>
      </w:rPr>
      <w:tblPr/>
      <w:tcPr>
        <w:tcBorders>
          <w:top w:val="none" w:sz="4" w:space="0" w:color="000000"/>
          <w:left w:val="none" w:sz="4" w:space="0" w:color="000000"/>
          <w:bottom w:val="none" w:sz="4" w:space="0" w:color="000000"/>
          <w:right w:val="single" w:sz="4" w:space="0" w:color="BDDD8A" w:themeColor="accent4" w:themeTint="9A"/>
        </w:tcBorders>
        <w:shd w:val="clear" w:color="FFFFFF" w:fill="auto"/>
      </w:tcPr>
    </w:tblStylePr>
    <w:tblStylePr w:type="lastCol">
      <w:rPr>
        <w:rFonts w:ascii="Arial" w:hAnsi="Arial"/>
        <w:i/>
        <w:color w:val="BDDD8A" w:themeColor="accent4" w:themeTint="9A" w:themeShade="95"/>
        <w:sz w:val="22"/>
      </w:rPr>
      <w:tblPr/>
      <w:tcPr>
        <w:tcBorders>
          <w:top w:val="none" w:sz="4" w:space="0" w:color="000000"/>
          <w:left w:val="single" w:sz="4" w:space="0" w:color="BDDD8A" w:themeColor="accent4" w:themeTint="9A"/>
          <w:bottom w:val="none" w:sz="4" w:space="0" w:color="000000"/>
          <w:right w:val="none" w:sz="4" w:space="0" w:color="000000"/>
        </w:tcBorders>
        <w:shd w:val="clear" w:color="FFFFFF" w:fill="auto"/>
      </w:tcPr>
    </w:tblStylePr>
    <w:tblStylePr w:type="band1Vert">
      <w:tblPr/>
      <w:tcPr>
        <w:shd w:val="clear" w:color="E3F1CE" w:themeColor="accent4" w:themeTint="40" w:fill="E3F1CE" w:themeFill="accent4" w:themeFillTint="40"/>
      </w:tcPr>
    </w:tblStylePr>
    <w:tblStylePr w:type="band1Horz">
      <w:rPr>
        <w:rFonts w:ascii="Arial" w:hAnsi="Arial"/>
        <w:color w:val="BDDD8A" w:themeColor="accent4" w:themeTint="9A" w:themeShade="95"/>
        <w:sz w:val="22"/>
      </w:rPr>
      <w:tblPr/>
      <w:tcPr>
        <w:shd w:val="clear" w:color="E3F1CE" w:themeColor="accent4" w:themeTint="40" w:fill="E3F1CE" w:themeFill="accent4" w:themeFillTint="40"/>
      </w:tcPr>
    </w:tblStylePr>
    <w:tblStylePr w:type="band2Horz">
      <w:rPr>
        <w:rFonts w:ascii="Arial" w:hAnsi="Arial"/>
        <w:color w:val="BDDD8A" w:themeColor="accent4" w:themeTint="9A" w:themeShade="95"/>
        <w:sz w:val="22"/>
      </w:rPr>
    </w:tblStylePr>
  </w:style>
  <w:style w:type="table" w:customStyle="1" w:styleId="ListTable7Colorful-Accent51">
    <w:name w:val="List Table 7 Colorful - Accent 51"/>
    <w:basedOn w:val="TableNormal"/>
    <w:uiPriority w:val="99"/>
    <w:rsid w:val="00531361"/>
    <w:pPr>
      <w:spacing w:after="0" w:line="240" w:lineRule="auto"/>
    </w:pPr>
    <w:rPr>
      <w:lang w:eastAsia="en-GB"/>
    </w:rPr>
    <w:tblPr>
      <w:tblStyleRowBandSize w:val="1"/>
      <w:tblStyleColBandSize w:val="1"/>
      <w:tblBorders>
        <w:right w:val="single" w:sz="4" w:space="0" w:color="A9D3CF" w:themeColor="accent5" w:themeTint="9A"/>
      </w:tblBorders>
    </w:tblPr>
    <w:tblStylePr w:type="firstRow">
      <w:rPr>
        <w:rFonts w:ascii="Arial" w:hAnsi="Arial"/>
        <w:i/>
        <w:color w:val="A9D3CF" w:themeColor="accent5" w:themeTint="9A" w:themeShade="95"/>
        <w:sz w:val="22"/>
      </w:rPr>
      <w:tblPr/>
      <w:tcPr>
        <w:tcBorders>
          <w:top w:val="none" w:sz="4" w:space="0" w:color="000000"/>
          <w:left w:val="none" w:sz="4" w:space="0" w:color="000000"/>
          <w:bottom w:val="single" w:sz="4" w:space="0" w:color="A9D3CF" w:themeColor="accent5" w:themeTint="9A"/>
          <w:right w:val="none" w:sz="4" w:space="0" w:color="000000"/>
        </w:tcBorders>
        <w:shd w:val="clear" w:color="FFFFFF" w:themeColor="light1" w:fill="FFFFFF" w:themeFill="light1"/>
      </w:tcPr>
    </w:tblStylePr>
    <w:tblStylePr w:type="lastRow">
      <w:rPr>
        <w:rFonts w:ascii="Arial" w:hAnsi="Arial"/>
        <w:i/>
        <w:color w:val="A9D3CF" w:themeColor="accent5" w:themeTint="9A" w:themeShade="95"/>
        <w:sz w:val="22"/>
      </w:rPr>
      <w:tblPr/>
      <w:tcPr>
        <w:tcBorders>
          <w:top w:val="single" w:sz="4" w:space="0" w:color="A9D3CF"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9D3CF" w:themeColor="accent5" w:themeTint="9A" w:themeShade="95"/>
        <w:sz w:val="22"/>
      </w:rPr>
      <w:tblPr/>
      <w:tcPr>
        <w:tcBorders>
          <w:top w:val="none" w:sz="4" w:space="0" w:color="000000"/>
          <w:left w:val="none" w:sz="4" w:space="0" w:color="000000"/>
          <w:bottom w:val="none" w:sz="4" w:space="0" w:color="000000"/>
          <w:right w:val="single" w:sz="4" w:space="0" w:color="A9D3CF" w:themeColor="accent5" w:themeTint="9A"/>
        </w:tcBorders>
        <w:shd w:val="clear" w:color="FFFFFF" w:fill="auto"/>
      </w:tcPr>
    </w:tblStylePr>
    <w:tblStylePr w:type="lastCol">
      <w:rPr>
        <w:rFonts w:ascii="Arial" w:hAnsi="Arial"/>
        <w:i/>
        <w:color w:val="A9D3CF" w:themeColor="accent5" w:themeTint="9A" w:themeShade="95"/>
        <w:sz w:val="22"/>
      </w:rPr>
      <w:tblPr/>
      <w:tcPr>
        <w:tcBorders>
          <w:top w:val="none" w:sz="4" w:space="0" w:color="000000"/>
          <w:left w:val="single" w:sz="4" w:space="0" w:color="A9D3CF" w:themeColor="accent5" w:themeTint="9A"/>
          <w:bottom w:val="none" w:sz="4" w:space="0" w:color="000000"/>
          <w:right w:val="none" w:sz="4" w:space="0" w:color="000000"/>
        </w:tcBorders>
        <w:shd w:val="clear" w:color="FFFFFF" w:fill="auto"/>
      </w:tcPr>
    </w:tblStylePr>
    <w:tblStylePr w:type="band1Vert">
      <w:tblPr/>
      <w:tcPr>
        <w:shd w:val="clear" w:color="DBECEB" w:themeColor="accent5" w:themeTint="40" w:fill="DBECEB" w:themeFill="accent5" w:themeFillTint="40"/>
      </w:tcPr>
    </w:tblStylePr>
    <w:tblStylePr w:type="band1Horz">
      <w:rPr>
        <w:rFonts w:ascii="Arial" w:hAnsi="Arial"/>
        <w:color w:val="A9D3CF" w:themeColor="accent5" w:themeTint="9A" w:themeShade="95"/>
        <w:sz w:val="22"/>
      </w:rPr>
      <w:tblPr/>
      <w:tcPr>
        <w:shd w:val="clear" w:color="DBECEB" w:themeColor="accent5" w:themeTint="40" w:fill="DBECEB" w:themeFill="accent5" w:themeFillTint="40"/>
      </w:tcPr>
    </w:tblStylePr>
    <w:tblStylePr w:type="band2Horz">
      <w:rPr>
        <w:rFonts w:ascii="Arial" w:hAnsi="Arial"/>
        <w:color w:val="A9D3CF" w:themeColor="accent5" w:themeTint="9A" w:themeShade="95"/>
        <w:sz w:val="22"/>
      </w:rPr>
    </w:tblStylePr>
  </w:style>
  <w:style w:type="table" w:customStyle="1" w:styleId="ListTable7Colorful-Accent61">
    <w:name w:val="List Table 7 Colorful - Accent 61"/>
    <w:basedOn w:val="TableNormal"/>
    <w:uiPriority w:val="99"/>
    <w:rsid w:val="00531361"/>
    <w:pPr>
      <w:spacing w:after="0" w:line="240" w:lineRule="auto"/>
    </w:pPr>
    <w:rPr>
      <w:lang w:eastAsia="en-GB"/>
    </w:rPr>
    <w:tblPr>
      <w:tblStyleRowBandSize w:val="1"/>
      <w:tblStyleColBandSize w:val="1"/>
      <w:tblBorders>
        <w:right w:val="single" w:sz="4" w:space="0" w:color="F6D08E" w:themeColor="accent6" w:themeTint="98"/>
      </w:tblBorders>
    </w:tblPr>
    <w:tblStylePr w:type="firstRow">
      <w:rPr>
        <w:rFonts w:ascii="Arial" w:hAnsi="Arial"/>
        <w:i/>
        <w:color w:val="F6D08E" w:themeColor="accent6" w:themeTint="98" w:themeShade="95"/>
        <w:sz w:val="22"/>
      </w:rPr>
      <w:tblPr/>
      <w:tcPr>
        <w:tcBorders>
          <w:top w:val="none" w:sz="4" w:space="0" w:color="000000"/>
          <w:left w:val="none" w:sz="4" w:space="0" w:color="000000"/>
          <w:bottom w:val="single" w:sz="4" w:space="0" w:color="F6D08E" w:themeColor="accent6" w:themeTint="98"/>
          <w:right w:val="none" w:sz="4" w:space="0" w:color="000000"/>
        </w:tcBorders>
        <w:shd w:val="clear" w:color="FFFFFF" w:themeColor="light1" w:fill="FFFFFF" w:themeFill="light1"/>
      </w:tcPr>
    </w:tblStylePr>
    <w:tblStylePr w:type="lastRow">
      <w:rPr>
        <w:rFonts w:ascii="Arial" w:hAnsi="Arial"/>
        <w:i/>
        <w:color w:val="F6D08E" w:themeColor="accent6" w:themeTint="98" w:themeShade="95"/>
        <w:sz w:val="22"/>
      </w:rPr>
      <w:tblPr/>
      <w:tcPr>
        <w:tcBorders>
          <w:top w:val="single" w:sz="4" w:space="0" w:color="F6D08E"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6D08E" w:themeColor="accent6" w:themeTint="98" w:themeShade="95"/>
        <w:sz w:val="22"/>
      </w:rPr>
      <w:tblPr/>
      <w:tcPr>
        <w:tcBorders>
          <w:top w:val="none" w:sz="4" w:space="0" w:color="000000"/>
          <w:left w:val="none" w:sz="4" w:space="0" w:color="000000"/>
          <w:bottom w:val="none" w:sz="4" w:space="0" w:color="000000"/>
          <w:right w:val="single" w:sz="4" w:space="0" w:color="F6D08E" w:themeColor="accent6" w:themeTint="98"/>
        </w:tcBorders>
        <w:shd w:val="clear" w:color="FFFFFF" w:fill="auto"/>
      </w:tcPr>
    </w:tblStylePr>
    <w:tblStylePr w:type="lastCol">
      <w:rPr>
        <w:rFonts w:ascii="Arial" w:hAnsi="Arial"/>
        <w:i/>
        <w:color w:val="F6D08E" w:themeColor="accent6" w:themeTint="98" w:themeShade="95"/>
        <w:sz w:val="22"/>
      </w:rPr>
      <w:tblPr/>
      <w:tcPr>
        <w:tcBorders>
          <w:top w:val="none" w:sz="4" w:space="0" w:color="000000"/>
          <w:left w:val="single" w:sz="4" w:space="0" w:color="F6D08E" w:themeColor="accent6" w:themeTint="98"/>
          <w:bottom w:val="none" w:sz="4" w:space="0" w:color="000000"/>
          <w:right w:val="none" w:sz="4" w:space="0" w:color="000000"/>
        </w:tcBorders>
        <w:shd w:val="clear" w:color="FFFFFF" w:fill="auto"/>
      </w:tcPr>
    </w:tblStylePr>
    <w:tblStylePr w:type="band1Vert">
      <w:tblPr/>
      <w:tcPr>
        <w:shd w:val="clear" w:color="FBEBCF" w:themeColor="accent6" w:themeTint="40" w:fill="FBEBCF" w:themeFill="accent6" w:themeFillTint="40"/>
      </w:tcPr>
    </w:tblStylePr>
    <w:tblStylePr w:type="band1Horz">
      <w:rPr>
        <w:rFonts w:ascii="Arial" w:hAnsi="Arial"/>
        <w:color w:val="F6D08E" w:themeColor="accent6" w:themeTint="98" w:themeShade="95"/>
        <w:sz w:val="22"/>
      </w:rPr>
      <w:tblPr/>
      <w:tcPr>
        <w:shd w:val="clear" w:color="FBEBCF" w:themeColor="accent6" w:themeTint="40" w:fill="FBEBCF" w:themeFill="accent6" w:themeFillTint="40"/>
      </w:tcPr>
    </w:tblStylePr>
    <w:tblStylePr w:type="band2Horz">
      <w:rPr>
        <w:rFonts w:ascii="Arial" w:hAnsi="Arial"/>
        <w:color w:val="F6D08E" w:themeColor="accent6" w:themeTint="98" w:themeShade="95"/>
        <w:sz w:val="22"/>
      </w:rPr>
    </w:tblStylePr>
  </w:style>
  <w:style w:type="paragraph" w:styleId="NormalWeb">
    <w:name w:val="Normal (Web)"/>
    <w:basedOn w:val="Normal"/>
    <w:link w:val="NormalWebChar"/>
    <w:uiPriority w:val="99"/>
    <w:unhideWhenUsed/>
    <w:rsid w:val="00531361"/>
    <w:pPr>
      <w:spacing w:before="100" w:beforeAutospacing="1" w:after="100" w:afterAutospacing="1" w:line="240" w:lineRule="auto"/>
    </w:pPr>
    <w:rPr>
      <w:rFonts w:ascii="Times New Roman" w:hAnsi="Times New Roman"/>
      <w:sz w:val="24"/>
      <w:szCs w:val="24"/>
      <w:lang w:val="en-IE" w:eastAsia="en-IE"/>
    </w:rPr>
  </w:style>
  <w:style w:type="paragraph" w:customStyle="1" w:styleId="Quote2">
    <w:name w:val="Quote2"/>
    <w:basedOn w:val="NormalWeb"/>
    <w:link w:val="Quote2Char"/>
    <w:rsid w:val="00531361"/>
    <w:pPr>
      <w:spacing w:before="0" w:beforeAutospacing="0" w:after="160" w:afterAutospacing="0"/>
    </w:pPr>
    <w:rPr>
      <w:rFonts w:ascii="Work Sans" w:hAnsi="Work Sans"/>
      <w:i/>
      <w:iCs/>
      <w:color w:val="22404D"/>
      <w:shd w:val="clear" w:color="auto" w:fill="D9D2E9"/>
    </w:rPr>
  </w:style>
  <w:style w:type="character" w:customStyle="1" w:styleId="NormalWebChar">
    <w:name w:val="Normal (Web) Char"/>
    <w:link w:val="NormalWeb"/>
    <w:uiPriority w:val="99"/>
    <w:rsid w:val="00531361"/>
    <w:rPr>
      <w:rFonts w:ascii="Times New Roman" w:hAnsi="Times New Roman"/>
      <w:sz w:val="24"/>
      <w:szCs w:val="24"/>
      <w:lang w:eastAsia="en-IE"/>
    </w:rPr>
  </w:style>
  <w:style w:type="character" w:customStyle="1" w:styleId="Quote2Char">
    <w:name w:val="Quote2 Char"/>
    <w:link w:val="Quote2"/>
    <w:rsid w:val="00531361"/>
    <w:rPr>
      <w:rFonts w:ascii="Work Sans" w:hAnsi="Work Sans"/>
      <w:i/>
      <w:iCs/>
      <w:color w:val="22404D"/>
      <w:sz w:val="24"/>
      <w:szCs w:val="24"/>
      <w:lang w:eastAsia="en-IE"/>
    </w:rPr>
  </w:style>
  <w:style w:type="table" w:customStyle="1" w:styleId="WorkPackage60">
    <w:name w:val="WorkPackage6"/>
    <w:basedOn w:val="TableNormal"/>
    <w:uiPriority w:val="99"/>
    <w:rsid w:val="00531361"/>
    <w:rPr>
      <w:lang w:eastAsia="en-GB"/>
    </w:rPr>
    <w:tblPr>
      <w:tblStyleRowBandSize w:val="1"/>
    </w:tblPr>
    <w:tcPr>
      <w:vAlign w:val="center"/>
    </w:tcPr>
    <w:tblStylePr w:type="firstRow">
      <w:rPr>
        <w:color w:val="FFFFFF"/>
      </w:rPr>
      <w:tblPr/>
      <w:tcPr>
        <w:shd w:val="clear" w:color="auto" w:fill="28708B"/>
      </w:tcPr>
    </w:tblStylePr>
    <w:tblStylePr w:type="band2Horz">
      <w:tblPr/>
      <w:tcPr>
        <w:shd w:val="clear" w:color="auto" w:fill="C2EDF0"/>
      </w:tcPr>
    </w:tblStylePr>
  </w:style>
  <w:style w:type="character" w:styleId="FollowedHyperlink">
    <w:name w:val="FollowedHyperlink"/>
    <w:uiPriority w:val="99"/>
    <w:semiHidden/>
    <w:unhideWhenUsed/>
    <w:rsid w:val="00531361"/>
    <w:rPr>
      <w:color w:val="ACD68E"/>
      <w:u w:val="single"/>
    </w:rPr>
  </w:style>
  <w:style w:type="paragraph" w:customStyle="1" w:styleId="AEQUALISNormal">
    <w:name w:val="AEQUALIS Normal"/>
    <w:basedOn w:val="Normal"/>
    <w:link w:val="AEQUALISNormalChar"/>
    <w:rsid w:val="00531361"/>
    <w:pPr>
      <w:spacing w:before="40" w:after="40" w:line="240" w:lineRule="auto"/>
      <w:jc w:val="both"/>
    </w:pPr>
    <w:rPr>
      <w:rFonts w:ascii="Fira Sans Extra Condensed" w:eastAsia="Noto Sans JP" w:hAnsi="Fira Sans Extra Condensed"/>
      <w:bCs/>
      <w:sz w:val="22"/>
      <w:szCs w:val="16"/>
    </w:rPr>
  </w:style>
  <w:style w:type="character" w:customStyle="1" w:styleId="AEQUALISNormalChar">
    <w:name w:val="AEQUALIS Normal Char"/>
    <w:basedOn w:val="DefaultParagraphFont"/>
    <w:link w:val="AEQUALISNormal"/>
    <w:rsid w:val="00531361"/>
    <w:rPr>
      <w:rFonts w:ascii="Fira Sans Extra Condensed" w:eastAsia="Noto Sans JP" w:hAnsi="Fira Sans Extra Condensed"/>
      <w:bCs/>
      <w:sz w:val="22"/>
      <w:szCs w:val="16"/>
      <w:lang w:val="en-GB"/>
    </w:rPr>
  </w:style>
  <w:style w:type="paragraph" w:customStyle="1" w:styleId="SectionsofUnits">
    <w:name w:val="Sections of Units"/>
    <w:basedOn w:val="Normal"/>
    <w:rsid w:val="00531361"/>
    <w:pPr>
      <w:keepNext/>
      <w:keepLines/>
      <w:numPr>
        <w:numId w:val="23"/>
      </w:numPr>
      <w:spacing w:before="320" w:after="40" w:line="360" w:lineRule="auto"/>
      <w:outlineLvl w:val="0"/>
    </w:pPr>
    <w:rPr>
      <w:rFonts w:ascii="Fira Sans Extra Condensed" w:eastAsia="Noto Sans JP" w:hAnsi="Fira Sans Extra Condensed" w:cs="Hind Madurai"/>
      <w:b/>
      <w:bCs/>
      <w:color w:val="ECC500"/>
      <w:spacing w:val="4"/>
      <w:sz w:val="36"/>
      <w:szCs w:val="44"/>
    </w:rPr>
  </w:style>
  <w:style w:type="paragraph" w:styleId="Revision">
    <w:name w:val="Revision"/>
    <w:hidden/>
    <w:uiPriority w:val="99"/>
    <w:semiHidden/>
    <w:rsid w:val="00531361"/>
    <w:pPr>
      <w:spacing w:after="0" w:line="240" w:lineRule="auto"/>
    </w:pPr>
    <w:rPr>
      <w:sz w:val="20"/>
      <w:lang w:eastAsia="en-GB"/>
    </w:rPr>
  </w:style>
  <w:style w:type="character" w:customStyle="1" w:styleId="ng-star-inserted1">
    <w:name w:val="ng-star-inserted1"/>
    <w:basedOn w:val="DefaultParagraphFont"/>
    <w:rsid w:val="00531361"/>
  </w:style>
  <w:style w:type="character" w:customStyle="1" w:styleId="apple-converted-space">
    <w:name w:val="apple-converted-space"/>
    <w:basedOn w:val="DefaultParagraphFont"/>
    <w:rsid w:val="00531361"/>
  </w:style>
  <w:style w:type="character" w:styleId="HTMLCode">
    <w:name w:val="HTML Code"/>
    <w:basedOn w:val="DefaultParagraphFont"/>
    <w:uiPriority w:val="99"/>
    <w:semiHidden/>
    <w:unhideWhenUsed/>
    <w:rsid w:val="00531361"/>
    <w:rPr>
      <w:rFonts w:ascii="Courier New" w:eastAsia="Times New Roman" w:hAnsi="Courier New" w:cs="Courier New"/>
      <w:sz w:val="20"/>
      <w:szCs w:val="20"/>
    </w:rPr>
  </w:style>
  <w:style w:type="character" w:customStyle="1" w:styleId="font-semibold">
    <w:name w:val="font-semibold"/>
    <w:basedOn w:val="DefaultParagraphFont"/>
    <w:rsid w:val="00531361"/>
  </w:style>
  <w:style w:type="paragraph" w:customStyle="1" w:styleId="py-1">
    <w:name w:val="py-1"/>
    <w:basedOn w:val="Normal"/>
    <w:rsid w:val="00531361"/>
    <w:pPr>
      <w:spacing w:before="100" w:beforeAutospacing="1" w:after="100" w:afterAutospacing="1" w:line="240" w:lineRule="auto"/>
    </w:pPr>
    <w:rPr>
      <w:rFonts w:ascii="Times New Roman" w:eastAsia="Times New Roman" w:hAnsi="Times New Roman" w:cs="Times New Roman"/>
      <w:sz w:val="24"/>
      <w:szCs w:val="24"/>
      <w:lang w:val="en-IE" w:eastAsia="en-GB"/>
    </w:rPr>
  </w:style>
  <w:style w:type="character" w:customStyle="1" w:styleId="whitespace-normal">
    <w:name w:val="whitespace-normal"/>
    <w:basedOn w:val="DefaultParagraphFont"/>
    <w:rsid w:val="005313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zscaler.com/blogs/security-research/7-predictions-2026-threat-landscape-navigating-year-ahead" TargetMode="External"/><Relationship Id="rId117" Type="http://schemas.openxmlformats.org/officeDocument/2006/relationships/header" Target="header2.xml"/><Relationship Id="rId21" Type="http://schemas.openxmlformats.org/officeDocument/2006/relationships/hyperlink" Target="https://pollution.sustainability-directory.com/term/confidentiality-integrity-availability/" TargetMode="External"/><Relationship Id="rId42" Type="http://schemas.openxmlformats.org/officeDocument/2006/relationships/hyperlink" Target="https://www.enisa.europa.eu/publications/enisa-threat-landscape-2025" TargetMode="External"/><Relationship Id="rId47" Type="http://schemas.openxmlformats.org/officeDocument/2006/relationships/image" Target="media/image9.jpg"/><Relationship Id="rId63" Type="http://schemas.openxmlformats.org/officeDocument/2006/relationships/image" Target="media/image15.png"/><Relationship Id="rId68" Type="http://schemas.openxmlformats.org/officeDocument/2006/relationships/hyperlink" Target="https://www.cisa.gov/resources-tools/resources/ics-recommended-practices" TargetMode="External"/><Relationship Id="rId84" Type="http://schemas.openxmlformats.org/officeDocument/2006/relationships/hyperlink" Target="https://www.efrag.org/lab6" TargetMode="External"/><Relationship Id="rId89" Type="http://schemas.openxmlformats.org/officeDocument/2006/relationships/hyperlink" Target="https://www.enisa.europa.eu/publications/baseline-security-recommendations-for-iot" TargetMode="External"/><Relationship Id="rId112" Type="http://schemas.openxmlformats.org/officeDocument/2006/relationships/hyperlink" Target="https://nvlpubs.nist.gov/nistpubs/CSWP/NIST.CSWP.29.pdf" TargetMode="External"/><Relationship Id="rId16" Type="http://schemas.microsoft.com/office/2016/09/relationships/commentsIds" Target="commentsIds.xml"/><Relationship Id="rId107" Type="http://schemas.openxmlformats.org/officeDocument/2006/relationships/hyperlink" Target="https://cheatsheetseries.owasp.org/cheatsheets/Logging_Cheat_Sheet.html" TargetMode="External"/><Relationship Id="rId11" Type="http://schemas.openxmlformats.org/officeDocument/2006/relationships/endnotes" Target="endnotes.xml"/><Relationship Id="rId32" Type="http://schemas.openxmlformats.org/officeDocument/2006/relationships/image" Target="media/image5.png"/><Relationship Id="rId37" Type="http://schemas.openxmlformats.org/officeDocument/2006/relationships/image" Target="media/image6.png"/><Relationship Id="rId53" Type="http://schemas.openxmlformats.org/officeDocument/2006/relationships/hyperlink" Target="https://www.cisa.gov/resources-tools/resources/ics-recommended-practices" TargetMode="External"/><Relationship Id="rId58" Type="http://schemas.openxmlformats.org/officeDocument/2006/relationships/hyperlink" Target="https://www.enisa.europa.eu/publications/enisa-threat-landscape-2025" TargetMode="External"/><Relationship Id="rId74" Type="http://schemas.openxmlformats.org/officeDocument/2006/relationships/image" Target="media/image18.png"/><Relationship Id="rId79" Type="http://schemas.openxmlformats.org/officeDocument/2006/relationships/image" Target="media/image19.png"/><Relationship Id="rId102" Type="http://schemas.openxmlformats.org/officeDocument/2006/relationships/hyperlink" Target="https://www.edpb.europa.eu/our-work-tools/general-guidance/guidelines-recommendations-best-practices_en" TargetMode="External"/><Relationship Id="rId123" Type="http://schemas.openxmlformats.org/officeDocument/2006/relationships/footer" Target="footer4.xml"/><Relationship Id="rId5" Type="http://schemas.openxmlformats.org/officeDocument/2006/relationships/customXml" Target="../customXml/item5.xml"/><Relationship Id="rId90" Type="http://schemas.openxmlformats.org/officeDocument/2006/relationships/hyperlink" Target="https://nvlpubs.nist.gov/nistpubs/SpecialPublications/NIST.SP.800-82r3.pdf" TargetMode="External"/><Relationship Id="rId95" Type="http://schemas.openxmlformats.org/officeDocument/2006/relationships/hyperlink" Target="https://certification.enisa.europa.eu/certification-library/eucc-certification-scheme_en?utm_source=chatgpt.com" TargetMode="External"/><Relationship Id="rId22" Type="http://schemas.openxmlformats.org/officeDocument/2006/relationships/hyperlink" Target="https://pollution.sustainability-directory.com/term/confidentiality-integrity-availability/" TargetMode="External"/><Relationship Id="rId27" Type="http://schemas.openxmlformats.org/officeDocument/2006/relationships/hyperlink" Target="https://esg.sustainability-directory.com/area/cyber-threat-landscape/esg.sustainability-directory" TargetMode="External"/><Relationship Id="rId43" Type="http://schemas.openxmlformats.org/officeDocument/2006/relationships/hyperlink" Target="https://www.enisa.europa.eu/" TargetMode="External"/><Relationship Id="rId48" Type="http://schemas.openxmlformats.org/officeDocument/2006/relationships/image" Target="media/image10.png"/><Relationship Id="rId64" Type="http://schemas.openxmlformats.org/officeDocument/2006/relationships/image" Target="media/image16.png"/><Relationship Id="rId69" Type="http://schemas.openxmlformats.org/officeDocument/2006/relationships/hyperlink" Target="https://attack.mitre.org/techniques/ics/" TargetMode="External"/><Relationship Id="rId113" Type="http://schemas.openxmlformats.org/officeDocument/2006/relationships/hyperlink" Target="https://commission.europa.eu/law/law-topic/data-protection/legal-framework-eu-data-protection_en" TargetMode="External"/><Relationship Id="rId118" Type="http://schemas.openxmlformats.org/officeDocument/2006/relationships/footer" Target="footer1.xml"/><Relationship Id="rId80" Type="http://schemas.openxmlformats.org/officeDocument/2006/relationships/hyperlink" Target="https://cybersecondline.io/" TargetMode="External"/><Relationship Id="rId85" Type="http://schemas.openxmlformats.org/officeDocument/2006/relationships/hyperlink" Target="https://www.coso.org/Documents/COSO-ICSR-Executive-Summary.pdf" TargetMode="External"/><Relationship Id="rId12" Type="http://schemas.openxmlformats.org/officeDocument/2006/relationships/image" Target="media/image1.png"/><Relationship Id="rId17" Type="http://schemas.microsoft.com/office/2018/08/relationships/commentsExtensible" Target="commentsExtensible.xml"/><Relationship Id="rId33" Type="http://schemas.openxmlformats.org/officeDocument/2006/relationships/hyperlink" Target="https://attack.mitre.org" TargetMode="External"/><Relationship Id="rId38" Type="http://schemas.microsoft.com/office/2007/relationships/hdphoto" Target="media/hdphoto1.wdp"/><Relationship Id="rId59" Type="http://schemas.openxmlformats.org/officeDocument/2006/relationships/hyperlink" Target="https://attack.mitre.org/techniques/ics/" TargetMode="External"/><Relationship Id="rId103" Type="http://schemas.openxmlformats.org/officeDocument/2006/relationships/hyperlink" Target="https://commission.europa.eu/law/law-topic/data-protection/legal-framework-eu-data-protection_en" TargetMode="External"/><Relationship Id="rId108" Type="http://schemas.openxmlformats.org/officeDocument/2006/relationships/hyperlink" Target="https://www.enisa.europa.eu/topics/digital-identity-and-data-protection/cryptography" TargetMode="External"/><Relationship Id="rId124" Type="http://schemas.openxmlformats.org/officeDocument/2006/relationships/fontTable" Target="fontTable.xml"/><Relationship Id="rId54" Type="http://schemas.openxmlformats.org/officeDocument/2006/relationships/image" Target="media/image12.png"/><Relationship Id="rId70" Type="http://schemas.openxmlformats.org/officeDocument/2006/relationships/hyperlink" Target="https://www.isa.org/standards-and-publications/isa-standards/isa-iec-62443-series-of-standards" TargetMode="External"/><Relationship Id="rId75" Type="http://schemas.openxmlformats.org/officeDocument/2006/relationships/hyperlink" Target="https://finance.ec.europa.eu/capital-markets-union-and-financial-markets/company-reporting-and-auditing/company-reporting/corporate-sustainability-reporting_en" TargetMode="External"/><Relationship Id="rId91" Type="http://schemas.openxmlformats.org/officeDocument/2006/relationships/image" Target="media/image23.png"/><Relationship Id="rId96" Type="http://schemas.openxmlformats.org/officeDocument/2006/relationships/hyperlink" Target="https://cheatsheetseries.owasp.org/cheatsheets/Cryptographic_Storage_Cheat_Sheet.html" TargetMode="Externa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3.png"/><Relationship Id="rId28" Type="http://schemas.openxmlformats.org/officeDocument/2006/relationships/hyperlink" Target="https://sustainability.tech/understanding-the-mitre-attck-framework-for-threat-informed-defence/" TargetMode="External"/><Relationship Id="rId49" Type="http://schemas.openxmlformats.org/officeDocument/2006/relationships/image" Target="media/image11.png"/><Relationship Id="rId114" Type="http://schemas.openxmlformats.org/officeDocument/2006/relationships/hyperlink" Target="https://attack.mitre.org/matrices/enterprise/" TargetMode="External"/><Relationship Id="rId119" Type="http://schemas.openxmlformats.org/officeDocument/2006/relationships/footer" Target="footer2.xml"/><Relationship Id="rId44" Type="http://schemas.openxmlformats.org/officeDocument/2006/relationships/hyperlink" Target="https://www.enisa.europa.eu/topics/risk-management" TargetMode="External"/><Relationship Id="rId60" Type="http://schemas.openxmlformats.org/officeDocument/2006/relationships/hyperlink" Target="https://www.cisa.gov/resources-tools/resources/ics-recommended-practices" TargetMode="External"/><Relationship Id="rId65" Type="http://schemas.openxmlformats.org/officeDocument/2006/relationships/hyperlink" Target="https://www.cencenelec.eu/media/CEN-CENELEC/AreasOfWork/CEN-CENELEC_Topics/Smart%20Grids%20and%20Meters/Smart%20Meters/cen-clc-etsi-tr50572_2011.pdf" TargetMode="External"/><Relationship Id="rId81" Type="http://schemas.openxmlformats.org/officeDocument/2006/relationships/image" Target="media/image20.png"/><Relationship Id="rId86" Type="http://schemas.openxmlformats.org/officeDocument/2006/relationships/image" Target="media/image21.png"/><Relationship Id="rId13" Type="http://schemas.openxmlformats.org/officeDocument/2006/relationships/hyperlink" Target="https://www.vectorstock.com/royalty-free-vector/cia-triad-cybersecurity-infographic-vector-61361786" TargetMode="External"/><Relationship Id="rId18" Type="http://schemas.openxmlformats.org/officeDocument/2006/relationships/image" Target="media/image2.png"/><Relationship Id="rId39" Type="http://schemas.openxmlformats.org/officeDocument/2006/relationships/image" Target="media/image7.png"/><Relationship Id="rId109" Type="http://schemas.openxmlformats.org/officeDocument/2006/relationships/hyperlink" Target="https://www.enisa.europa.eu/sites/default/files/2026-01/ENISA%20Threat%20Landscape%202025_v1.2.pdf" TargetMode="External"/><Relationship Id="rId34" Type="http://schemas.openxmlformats.org/officeDocument/2006/relationships/hyperlink" Target="https://owasp.org/Top10/2025/" TargetMode="External"/><Relationship Id="rId50" Type="http://schemas.microsoft.com/office/2007/relationships/hdphoto" Target="media/hdphoto4.wdp"/><Relationship Id="rId55" Type="http://schemas.openxmlformats.org/officeDocument/2006/relationships/image" Target="media/image13.png"/><Relationship Id="rId76" Type="http://schemas.openxmlformats.org/officeDocument/2006/relationships/hyperlink" Target="https://www.efrag.org/en/sustainability-reporting" TargetMode="External"/><Relationship Id="rId97" Type="http://schemas.openxmlformats.org/officeDocument/2006/relationships/image" Target="media/image25.png"/><Relationship Id="rId104" Type="http://schemas.openxmlformats.org/officeDocument/2006/relationships/image" Target="media/image27.png"/><Relationship Id="rId120" Type="http://schemas.openxmlformats.org/officeDocument/2006/relationships/header" Target="header3.xml"/><Relationship Id="rId125" Type="http://schemas.openxmlformats.org/officeDocument/2006/relationships/theme" Target="theme/theme1.xml"/><Relationship Id="rId7" Type="http://schemas.openxmlformats.org/officeDocument/2006/relationships/styles" Target="styles.xml"/><Relationship Id="rId71" Type="http://schemas.openxmlformats.org/officeDocument/2006/relationships/hyperlink" Target="https://csrc.nist.gov/pubs/ir/7628/r1/final" TargetMode="External"/><Relationship Id="rId92" Type="http://schemas.openxmlformats.org/officeDocument/2006/relationships/image" Target="media/image24.png"/><Relationship Id="rId2" Type="http://schemas.openxmlformats.org/officeDocument/2006/relationships/customXml" Target="../customXml/item2.xml"/><Relationship Id="rId29" Type="http://schemas.openxmlformats.org/officeDocument/2006/relationships/hyperlink" Target="https://sustainability.tech/understanding-the-mitre-attck-framework-for-threat-informed-defence/" TargetMode="External"/><Relationship Id="rId24" Type="http://schemas.openxmlformats.org/officeDocument/2006/relationships/hyperlink" Target="https://attack.mitre.org" TargetMode="External"/><Relationship Id="rId40" Type="http://schemas.microsoft.com/office/2007/relationships/hdphoto" Target="media/hdphoto2.wdp"/><Relationship Id="rId45" Type="http://schemas.openxmlformats.org/officeDocument/2006/relationships/image" Target="media/image8.png"/><Relationship Id="rId66" Type="http://schemas.openxmlformats.org/officeDocument/2006/relationships/hyperlink" Target="https://www.enisa.europa.eu/publications/smart-grid-threat-landscape-and-good-practice-guide" TargetMode="External"/><Relationship Id="rId87" Type="http://schemas.openxmlformats.org/officeDocument/2006/relationships/image" Target="media/image22.png"/><Relationship Id="rId110" Type="http://schemas.openxmlformats.org/officeDocument/2006/relationships/hyperlink" Target="https://energy.ec.europa.eu/topics/energy-security/critical-infrastructure-and-cybersecurity_en" TargetMode="External"/><Relationship Id="rId115" Type="http://schemas.openxmlformats.org/officeDocument/2006/relationships/hyperlink" Target="https://owasp.org/Top10" TargetMode="External"/><Relationship Id="rId61" Type="http://schemas.openxmlformats.org/officeDocument/2006/relationships/hyperlink" Target="https://wiki.owasp.org/index.php/OWASP_Internet_of_Things_Project" TargetMode="External"/><Relationship Id="rId82" Type="http://schemas.microsoft.com/office/2007/relationships/hdphoto" Target="media/hdphoto5.wdp"/><Relationship Id="rId19" Type="http://schemas.openxmlformats.org/officeDocument/2006/relationships/hyperlink" Target="https://www.enisa.europa.eu" TargetMode="External"/><Relationship Id="rId14" Type="http://schemas.openxmlformats.org/officeDocument/2006/relationships/comments" Target="comments.xml"/><Relationship Id="rId30" Type="http://schemas.openxmlformats.org/officeDocument/2006/relationships/image" Target="media/image4.png"/><Relationship Id="rId35" Type="http://schemas.openxmlformats.org/officeDocument/2006/relationships/hyperlink" Target="https://www.enisa.europa.eu/publications/enisa-threat-landscape-2025" TargetMode="External"/><Relationship Id="rId56" Type="http://schemas.openxmlformats.org/officeDocument/2006/relationships/hyperlink" Target="https://www.enisa.europa.eu/sites/default/files/publications/ENISA%20Report%20-%20Guidelines%20for%20Securing%20the%20Internet%20of%20Things.pdf" TargetMode="External"/><Relationship Id="rId77" Type="http://schemas.openxmlformats.org/officeDocument/2006/relationships/hyperlink" Target="https://www.enisa.europa.eu/publications/enisa-threat-landscape-finance-sector" TargetMode="External"/><Relationship Id="rId100" Type="http://schemas.openxmlformats.org/officeDocument/2006/relationships/hyperlink" Target="https://gdpr-info.eu/" TargetMode="External"/><Relationship Id="rId105" Type="http://schemas.openxmlformats.org/officeDocument/2006/relationships/image" Target="media/image28.png"/><Relationship Id="rId8" Type="http://schemas.openxmlformats.org/officeDocument/2006/relationships/settings" Target="settings.xml"/><Relationship Id="rId51" Type="http://schemas.openxmlformats.org/officeDocument/2006/relationships/hyperlink" Target="https://energy.ec.europa.eu/topics/energy-security/critical-infrastructure-and-cybersecurity_en" TargetMode="External"/><Relationship Id="rId72" Type="http://schemas.openxmlformats.org/officeDocument/2006/relationships/hyperlink" Target="https://csrc.nist.gov/pubs/ir/7628/r1/final" TargetMode="External"/><Relationship Id="rId93" Type="http://schemas.openxmlformats.org/officeDocument/2006/relationships/hyperlink" Target="https://csrc.nist.gov/Projects/Cryptographic-Standards-and-Guidelines" TargetMode="External"/><Relationship Id="rId98" Type="http://schemas.openxmlformats.org/officeDocument/2006/relationships/hyperlink" Target="https://matomo.org/" TargetMode="External"/><Relationship Id="rId121" Type="http://schemas.openxmlformats.org/officeDocument/2006/relationships/footer" Target="footer3.xml"/><Relationship Id="rId3" Type="http://schemas.openxmlformats.org/officeDocument/2006/relationships/customXml" Target="../customXml/item3.xml"/><Relationship Id="rId25" Type="http://schemas.openxmlformats.org/officeDocument/2006/relationships/hyperlink" Target="https://www.cisa.gov" TargetMode="External"/><Relationship Id="rId46" Type="http://schemas.microsoft.com/office/2007/relationships/hdphoto" Target="media/hdphoto3.wdp"/><Relationship Id="rId67" Type="http://schemas.openxmlformats.org/officeDocument/2006/relationships/hyperlink" Target="https://www.enisa.europa.eu/publications/smart-grid-threat-landscape-and-good-practice-guide" TargetMode="External"/><Relationship Id="rId116" Type="http://schemas.openxmlformats.org/officeDocument/2006/relationships/header" Target="header1.xml"/><Relationship Id="rId20" Type="http://schemas.openxmlformats.org/officeDocument/2006/relationships/hyperlink" Target="https://csrc.nist.gov" TargetMode="External"/><Relationship Id="rId41" Type="http://schemas.openxmlformats.org/officeDocument/2006/relationships/hyperlink" Target="https://csrc.nist.gov/projects/risk-management" TargetMode="External"/><Relationship Id="rId62" Type="http://schemas.openxmlformats.org/officeDocument/2006/relationships/image" Target="media/image14.png"/><Relationship Id="rId83" Type="http://schemas.openxmlformats.org/officeDocument/2006/relationships/hyperlink" Target="https://eur-lex.europa.eu/eli/dir/2022/2464/oj" TargetMode="External"/><Relationship Id="rId88" Type="http://schemas.openxmlformats.org/officeDocument/2006/relationships/hyperlink" Target="https://pages.nist.gov/800-63-4/" TargetMode="External"/><Relationship Id="rId111" Type="http://schemas.openxmlformats.org/officeDocument/2006/relationships/hyperlink" Target="https://eur-lex.europa.eu/eli/reg/2022/868/oj" TargetMode="External"/><Relationship Id="rId15" Type="http://schemas.microsoft.com/office/2011/relationships/commentsExtended" Target="commentsExtended.xml"/><Relationship Id="rId36" Type="http://schemas.openxmlformats.org/officeDocument/2006/relationships/hyperlink" Target="https://sustayontrack.com/articles/cybersecurity-as-a-core-esg-sustainability-component" TargetMode="External"/><Relationship Id="rId57" Type="http://schemas.openxmlformats.org/officeDocument/2006/relationships/hyperlink" Target="https://www.enisa.europa.eu/sites/default/files/publications/ENISA%20Report%20-%20Guidelines%20for%20Securing%20the%20Internet%20of%20Things.pdf" TargetMode="External"/><Relationship Id="rId106" Type="http://schemas.openxmlformats.org/officeDocument/2006/relationships/hyperlink" Target="https://nvlpubs.nist.gov/nistpubs/Legacy/SP/nistspecialpublication800-92.pdf" TargetMode="External"/><Relationship Id="rId10" Type="http://schemas.openxmlformats.org/officeDocument/2006/relationships/footnotes" Target="footnotes.xml"/><Relationship Id="rId31" Type="http://schemas.openxmlformats.org/officeDocument/2006/relationships/hyperlink" Target="https://www.infoblox.com/blog/security/mitre-attck-and-dns/" TargetMode="External"/><Relationship Id="rId52" Type="http://schemas.openxmlformats.org/officeDocument/2006/relationships/hyperlink" Target="https://attack.mitre.org/matrices/ics/" TargetMode="External"/><Relationship Id="rId73" Type="http://schemas.openxmlformats.org/officeDocument/2006/relationships/image" Target="media/image17.png"/><Relationship Id="rId78" Type="http://schemas.openxmlformats.org/officeDocument/2006/relationships/hyperlink" Target="https://www.cisa.gov/securebydesign" TargetMode="External"/><Relationship Id="rId94" Type="http://schemas.openxmlformats.org/officeDocument/2006/relationships/hyperlink" Target="https://www.enisa.europa.eu/topics/digital-identity-and-data-protection/cryptography" TargetMode="External"/><Relationship Id="rId99" Type="http://schemas.openxmlformats.org/officeDocument/2006/relationships/image" Target="media/image26.png"/><Relationship Id="rId101" Type="http://schemas.openxmlformats.org/officeDocument/2006/relationships/hyperlink" Target="https://www.enisa.europa.eu/topics/digital-identity-and-data-protection" TargetMode="External"/><Relationship Id="rId122"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webSettings" Target="webSettings.xml"/></Relationships>
</file>

<file path=word/_rels/footer2.xml.rels><?xml version="1.0" encoding="UTF-8" standalone="yes"?>
<Relationships xmlns="http://schemas.openxmlformats.org/package/2006/relationships"><Relationship Id="rId1" Type="http://schemas.openxmlformats.org/officeDocument/2006/relationships/image" Target="media/image31.png"/></Relationships>
</file>

<file path=word/_rels/footer3.xml.rels><?xml version="1.0" encoding="UTF-8" standalone="yes"?>
<Relationships xmlns="http://schemas.openxmlformats.org/package/2006/relationships"><Relationship Id="rId2" Type="http://schemas.openxmlformats.org/officeDocument/2006/relationships/image" Target="media/image70.jpg"/><Relationship Id="rId1" Type="http://schemas.openxmlformats.org/officeDocument/2006/relationships/image" Target="media/image34.jpg"/></Relationships>
</file>

<file path=word/_rels/header2.xml.rels><?xml version="1.0" encoding="UTF-8" standalone="yes"?>
<Relationships xmlns="http://schemas.openxmlformats.org/package/2006/relationships"><Relationship Id="rId3" Type="http://schemas.openxmlformats.org/officeDocument/2006/relationships/image" Target="media/image30.png"/><Relationship Id="rId2" Type="http://schemas.openxmlformats.org/officeDocument/2006/relationships/image" Target="media/image110.png"/><Relationship Id="rId1" Type="http://schemas.openxmlformats.org/officeDocument/2006/relationships/image" Target="media/image29.png"/><Relationship Id="rId4" Type="http://schemas.openxmlformats.org/officeDocument/2006/relationships/image" Target="media/image210.png"/></Relationships>
</file>

<file path=word/_rels/header3.xml.rels><?xml version="1.0" encoding="UTF-8" standalone="yes"?>
<Relationships xmlns="http://schemas.openxmlformats.org/package/2006/relationships"><Relationship Id="rId3" Type="http://schemas.openxmlformats.org/officeDocument/2006/relationships/image" Target="media/image33.png"/><Relationship Id="rId2" Type="http://schemas.openxmlformats.org/officeDocument/2006/relationships/image" Target="media/image3.jpg"/><Relationship Id="rId1" Type="http://schemas.openxmlformats.org/officeDocument/2006/relationships/image" Target="media/image32.jpg"/><Relationship Id="rId4" Type="http://schemas.openxmlformats.org/officeDocument/2006/relationships/image" Target="media/image40.png"/></Relationships>
</file>

<file path=word/_rels/header4.xml.rels><?xml version="1.0" encoding="UTF-8" standalone="yes"?>
<Relationships xmlns="http://schemas.openxmlformats.org/package/2006/relationships"><Relationship Id="rId2" Type="http://schemas.openxmlformats.org/officeDocument/2006/relationships/image" Target="media/image50.jpg"/><Relationship Id="rId1" Type="http://schemas.openxmlformats.org/officeDocument/2006/relationships/image" Target="media/image35.jpg"/></Relationships>
</file>

<file path=word/theme/theme1.xml><?xml version="1.0" encoding="utf-8"?>
<a:theme xmlns:a="http://schemas.openxmlformats.org/drawingml/2006/main" name="Tema di Office">
  <a:themeElements>
    <a:clrScheme name="Digital4Sustainability">
      <a:dk1>
        <a:srgbClr val="48516A"/>
      </a:dk1>
      <a:lt1>
        <a:sysClr val="window" lastClr="FFFFFF"/>
      </a:lt1>
      <a:dk2>
        <a:srgbClr val="282B35"/>
      </a:dk2>
      <a:lt2>
        <a:srgbClr val="F5F5F6"/>
      </a:lt2>
      <a:accent1>
        <a:srgbClr val="00AC4E"/>
      </a:accent1>
      <a:accent2>
        <a:srgbClr val="009889"/>
      </a:accent2>
      <a:accent3>
        <a:srgbClr val="283A97"/>
      </a:accent3>
      <a:accent4>
        <a:srgbClr val="92C83E"/>
      </a:accent4>
      <a:accent5>
        <a:srgbClr val="72B6B0"/>
      </a:accent5>
      <a:accent6>
        <a:srgbClr val="F0B142"/>
      </a:accent6>
      <a:hlink>
        <a:srgbClr val="F6C95A"/>
      </a:hlink>
      <a:folHlink>
        <a:srgbClr val="FDDEA8"/>
      </a:folHlink>
    </a:clrScheme>
    <a:fontScheme name="Digital4Sustainability">
      <a:majorFont>
        <a:latin typeface="Titillium Web Bold"/>
        <a:ea typeface="Arial"/>
        <a:cs typeface="Arial"/>
      </a:majorFont>
      <a:minorFont>
        <a:latin typeface="Poppins"/>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DD.MM.YYYY</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4EF4B4743EAAB44B80B9A276A1C76EAA" ma:contentTypeVersion="12" ma:contentTypeDescription="Creare un nuovo documento." ma:contentTypeScope="" ma:versionID="a697c9bb7970050447cfe18d070b5f8e">
  <xsd:schema xmlns:xsd="http://www.w3.org/2001/XMLSchema" xmlns:xs="http://www.w3.org/2001/XMLSchema" xmlns:p="http://schemas.microsoft.com/office/2006/metadata/properties" xmlns:ns2="c8fc93e6-bf05-48cb-aa36-2395bdf346bd" xmlns:ns3="639edf70-f852-4d8c-8346-d7686623ab9a" targetNamespace="http://schemas.microsoft.com/office/2006/metadata/properties" ma:root="true" ma:fieldsID="87efad457c22412fd69e2597f00b546f" ns2:_="" ns3:_="">
    <xsd:import namespace="c8fc93e6-bf05-48cb-aa36-2395bdf346bd"/>
    <xsd:import namespace="639edf70-f852-4d8c-8346-d7686623ab9a"/>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8fc93e6-bf05-48cb-aa36-2395bdf346b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Tag immagine" ma:readOnly="false" ma:fieldId="{5cf76f15-5ced-4ddc-b409-7134ff3c332f}" ma:taxonomyMulti="true" ma:sspId="876d40ee-9ca5-4070-a052-1fce19d79a67" ma:termSetId="09814cd3-568e-fe90-9814-8d621ff8fb84" ma:anchorId="fba54fb3-c3e1-fe81-a776-ca4b69148c4d" ma:open="true" ma:isKeyword="false">
      <xsd:complexType>
        <xsd:sequence>
          <xsd:element ref="pc:Terms" minOccurs="0" maxOccurs="1"/>
        </xsd:sequence>
      </xsd:complex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dexed="true" ma:internalName="MediaServiceLocation"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39edf70-f852-4d8c-8346-d7686623ab9a"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85df5887-5cd6-424e-8711-a779caaecf01}" ma:internalName="TaxCatchAll" ma:showField="CatchAllData" ma:web="639edf70-f852-4d8c-8346-d7686623ab9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c8fc93e6-bf05-48cb-aa36-2395bdf346bd">
      <Terms xmlns="http://schemas.microsoft.com/office/infopath/2007/PartnerControls"/>
    </lcf76f155ced4ddcb4097134ff3c332f>
    <TaxCatchAll xmlns="639edf70-f852-4d8c-8346-d7686623ab9a"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126EA40-B67A-44C4-A001-55EA18EC460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8fc93e6-bf05-48cb-aa36-2395bdf346bd"/>
    <ds:schemaRef ds:uri="639edf70-f852-4d8c-8346-d7686623ab9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88BF5D0-6FCA-4A4B-B69B-530B15533853}">
  <ds:schemaRefs>
    <ds:schemaRef ds:uri="http://schemas.microsoft.com/office/2006/metadata/properties"/>
    <ds:schemaRef ds:uri="http://schemas.microsoft.com/office/infopath/2007/PartnerControls"/>
    <ds:schemaRef ds:uri="c8fc93e6-bf05-48cb-aa36-2395bdf346bd"/>
    <ds:schemaRef ds:uri="639edf70-f852-4d8c-8346-d7686623ab9a"/>
  </ds:schemaRefs>
</ds:datastoreItem>
</file>

<file path=customXml/itemProps4.xml><?xml version="1.0" encoding="utf-8"?>
<ds:datastoreItem xmlns:ds="http://schemas.openxmlformats.org/officeDocument/2006/customXml" ds:itemID="{CD09E4F8-E880-45DD-B8B5-3669E58F7A30}">
  <ds:schemaRefs>
    <ds:schemaRef ds:uri="http://schemas.microsoft.com/sharepoint/v3/contenttype/forms"/>
  </ds:schemaRefs>
</ds:datastoreItem>
</file>

<file path=customXml/itemProps5.xml><?xml version="1.0" encoding="utf-8"?>
<ds:datastoreItem xmlns:ds="http://schemas.openxmlformats.org/officeDocument/2006/customXml" ds:itemID="{0A27D542-789D-4A45-BA2D-DA60D8AA8B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224</TotalTime>
  <Pages>83</Pages>
  <Words>24198</Words>
  <Characters>137932</Characters>
  <Application>Microsoft Office Word</Application>
  <DocSecurity>0</DocSecurity>
  <Lines>1149</Lines>
  <Paragraphs>323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Fionnuala Mahon</dc:creator>
  <cp:keywords/>
  <dc:description/>
  <cp:lastModifiedBy>Katarina Cicvarić</cp:lastModifiedBy>
  <cp:revision>15</cp:revision>
  <cp:lastPrinted>2026-04-16T09:02:00Z</cp:lastPrinted>
  <dcterms:created xsi:type="dcterms:W3CDTF">2026-04-20T19:22:00Z</dcterms:created>
  <dcterms:modified xsi:type="dcterms:W3CDTF">2026-04-29T06:44:00Z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0x0101004EF4B4743EAAB44B80B9A276A1C76EAA</vt:lpwstr>
  </property>
  <property fmtid="{D5CDD505-2E9C-101B-9397-08002B2CF9AE}" pid="3" name="GrammarlyDocumentId">
    <vt:lpwstr>2c9c00da01acd6d89239a128a941ad43efa167e35f4cfd104b93b0731d3eb80d</vt:lpwstr>
  </property>
</Properties>
</file>