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A9D555" w14:textId="33D877E6" w:rsidR="00CA10B8" w:rsidRPr="005C78E7" w:rsidRDefault="00F07EB8" w:rsidP="006C07AD">
      <w:pPr>
        <w:pStyle w:val="NoSpacing"/>
        <w:jc w:val="both"/>
        <w:rPr>
          <w:rFonts w:cstheme="minorHAnsi"/>
          <w:b/>
          <w:bCs/>
          <w:color w:val="00AC4E" w:themeColor="accent1"/>
          <w:sz w:val="22"/>
          <w:szCs w:val="22"/>
          <w:lang w:val="en-GB"/>
        </w:rPr>
      </w:pPr>
      <w:r w:rsidRPr="005C78E7">
        <w:rPr>
          <w:b/>
          <w:bCs/>
          <w:color w:val="00AC4E" w:themeColor="accent1"/>
          <w:sz w:val="24"/>
          <w:szCs w:val="24"/>
          <w:lang w:val="hr-HR"/>
        </w:rPr>
        <w:t>Resource</w:t>
      </w:r>
      <w:r w:rsidR="00CA10B8" w:rsidRPr="005C78E7">
        <w:rPr>
          <w:b/>
          <w:bCs/>
          <w:color w:val="00AC4E" w:themeColor="accent1"/>
          <w:sz w:val="24"/>
          <w:szCs w:val="24"/>
          <w:lang w:val="hr-HR"/>
        </w:rPr>
        <w:t>:</w:t>
      </w:r>
      <w:r w:rsidR="00CA10B8" w:rsidRPr="005C78E7">
        <w:rPr>
          <w:rFonts w:cstheme="minorHAnsi"/>
          <w:b/>
          <w:bCs/>
          <w:sz w:val="22"/>
          <w:szCs w:val="22"/>
          <w:lang w:val="en-GB"/>
        </w:rPr>
        <w:t xml:space="preserve"> </w:t>
      </w:r>
      <w:r w:rsidR="00C3786A" w:rsidRPr="00C3786A">
        <w:rPr>
          <w:rFonts w:cstheme="minorHAnsi"/>
          <w:b/>
          <w:bCs/>
          <w:color w:val="00AC4E" w:themeColor="accent1"/>
          <w:sz w:val="22"/>
          <w:szCs w:val="22"/>
          <w:lang w:val="en-GB"/>
        </w:rPr>
        <w:t xml:space="preserve">Use </w:t>
      </w:r>
      <w:r w:rsidR="006C07AD">
        <w:rPr>
          <w:rFonts w:cstheme="minorHAnsi"/>
          <w:b/>
          <w:bCs/>
          <w:color w:val="00AC4E" w:themeColor="accent1"/>
          <w:sz w:val="22"/>
          <w:szCs w:val="22"/>
          <w:lang w:val="en-GB"/>
        </w:rPr>
        <w:t xml:space="preserve">Case Study </w:t>
      </w:r>
      <w:r w:rsidR="00C3786A">
        <w:rPr>
          <w:rFonts w:cstheme="minorHAnsi"/>
          <w:b/>
          <w:bCs/>
          <w:color w:val="00AC4E" w:themeColor="accent1"/>
          <w:sz w:val="22"/>
          <w:szCs w:val="22"/>
          <w:lang w:val="en-GB"/>
        </w:rPr>
        <w:t xml:space="preserve"> for PBL activities </w:t>
      </w:r>
      <w:r w:rsidR="00CA10B8" w:rsidRPr="005C78E7">
        <w:rPr>
          <w:rFonts w:cstheme="minorHAnsi"/>
          <w:b/>
          <w:bCs/>
          <w:color w:val="00AC4E" w:themeColor="accent1"/>
          <w:sz w:val="22"/>
          <w:szCs w:val="22"/>
          <w:lang w:val="en-GB"/>
        </w:rPr>
        <w:t>(</w:t>
      </w:r>
      <w:r w:rsidR="006C07AD">
        <w:rPr>
          <w:rFonts w:cstheme="minorHAnsi"/>
          <w:b/>
          <w:bCs/>
          <w:color w:val="00AC4E" w:themeColor="accent1"/>
          <w:sz w:val="22"/>
          <w:szCs w:val="22"/>
          <w:lang w:val="en-GB"/>
        </w:rPr>
        <w:t>CSS</w:t>
      </w:r>
      <w:r w:rsidR="00CA10B8" w:rsidRPr="005C78E7">
        <w:rPr>
          <w:rFonts w:cstheme="minorHAnsi"/>
          <w:b/>
          <w:bCs/>
          <w:color w:val="00AC4E" w:themeColor="accent1"/>
          <w:sz w:val="22"/>
          <w:szCs w:val="22"/>
          <w:lang w:val="en-GB"/>
        </w:rPr>
        <w:t>_D3_M</w:t>
      </w:r>
      <w:r w:rsidR="006F7EDE">
        <w:rPr>
          <w:rFonts w:cstheme="minorHAnsi"/>
          <w:b/>
          <w:bCs/>
          <w:color w:val="00AC4E" w:themeColor="accent1"/>
          <w:sz w:val="22"/>
          <w:szCs w:val="22"/>
          <w:lang w:val="en-GB"/>
        </w:rPr>
        <w:t>3</w:t>
      </w:r>
      <w:r w:rsidR="00CA10B8" w:rsidRPr="005C78E7">
        <w:rPr>
          <w:rFonts w:cstheme="minorHAnsi"/>
          <w:b/>
          <w:bCs/>
          <w:color w:val="00AC4E" w:themeColor="accent1"/>
          <w:sz w:val="22"/>
          <w:szCs w:val="22"/>
          <w:lang w:val="en-GB"/>
        </w:rPr>
        <w:t>_</w:t>
      </w:r>
      <w:r w:rsidR="005C78E7" w:rsidRPr="005C78E7">
        <w:rPr>
          <w:rFonts w:cstheme="minorHAnsi"/>
          <w:b/>
          <w:bCs/>
          <w:color w:val="00AC4E" w:themeColor="accent1"/>
          <w:sz w:val="22"/>
          <w:szCs w:val="22"/>
          <w:lang w:val="en-GB"/>
        </w:rPr>
        <w:t>R</w:t>
      </w:r>
      <w:r w:rsidR="006F7EDE">
        <w:rPr>
          <w:rFonts w:cstheme="minorHAnsi"/>
          <w:b/>
          <w:bCs/>
          <w:color w:val="00AC4E" w:themeColor="accent1"/>
          <w:sz w:val="22"/>
          <w:szCs w:val="22"/>
          <w:lang w:val="en-GB"/>
        </w:rPr>
        <w:t>8</w:t>
      </w:r>
      <w:r w:rsidR="005C78E7" w:rsidRPr="005C78E7">
        <w:rPr>
          <w:rFonts w:cstheme="minorHAnsi"/>
          <w:b/>
          <w:bCs/>
          <w:color w:val="00AC4E" w:themeColor="accent1"/>
          <w:sz w:val="22"/>
          <w:szCs w:val="22"/>
          <w:lang w:val="en-GB"/>
        </w:rPr>
        <w:t>)</w:t>
      </w:r>
    </w:p>
    <w:p w14:paraId="30C067B1" w14:textId="77777777" w:rsidR="00CA10B8" w:rsidRPr="00CA10B8" w:rsidRDefault="00CA10B8" w:rsidP="006C07AD">
      <w:pPr>
        <w:pStyle w:val="NoSpacing"/>
        <w:jc w:val="both"/>
        <w:rPr>
          <w:rFonts w:cstheme="minorHAnsi"/>
          <w:sz w:val="20"/>
          <w:szCs w:val="20"/>
          <w:lang w:val="en-GB"/>
        </w:rPr>
      </w:pPr>
    </w:p>
    <w:p w14:paraId="5437CEEE" w14:textId="77777777" w:rsidR="006F7EDE" w:rsidRPr="006F7EDE" w:rsidRDefault="006F7EDE" w:rsidP="006F7EDE">
      <w:pPr>
        <w:numPr>
          <w:ilvl w:val="0"/>
          <w:numId w:val="35"/>
        </w:numPr>
        <w:spacing w:line="240" w:lineRule="auto"/>
        <w:jc w:val="both"/>
        <w:rPr>
          <w:b/>
          <w:bCs/>
          <w:sz w:val="22"/>
          <w:szCs w:val="22"/>
          <w:lang w:val="en-US"/>
        </w:rPr>
      </w:pPr>
      <w:proofErr w:type="spellStart"/>
      <w:r w:rsidRPr="006F7EDE">
        <w:rPr>
          <w:b/>
          <w:bCs/>
          <w:sz w:val="22"/>
          <w:szCs w:val="22"/>
          <w:lang w:val="en-US"/>
        </w:rPr>
        <w:t>AquaTerra</w:t>
      </w:r>
      <w:proofErr w:type="spellEnd"/>
      <w:r w:rsidRPr="006F7EDE">
        <w:rPr>
          <w:b/>
          <w:bCs/>
          <w:sz w:val="22"/>
          <w:szCs w:val="22"/>
          <w:lang w:val="en-US"/>
        </w:rPr>
        <w:t xml:space="preserve"> Utilities – Sustainable Cybersecurity Case Study</w:t>
      </w:r>
    </w:p>
    <w:p w14:paraId="7C0A604A" w14:textId="77777777" w:rsidR="006F7EDE" w:rsidRPr="006F7EDE" w:rsidRDefault="006F7EDE" w:rsidP="006F7EDE">
      <w:pPr>
        <w:spacing w:line="240" w:lineRule="auto"/>
        <w:jc w:val="both"/>
        <w:rPr>
          <w:b/>
          <w:bCs/>
          <w:sz w:val="22"/>
          <w:szCs w:val="22"/>
          <w:lang w:val="en-US"/>
        </w:rPr>
      </w:pPr>
    </w:p>
    <w:p w14:paraId="351D034D" w14:textId="77777777" w:rsidR="006F7EDE" w:rsidRPr="00FC679C" w:rsidRDefault="006F7EDE" w:rsidP="006F7EDE">
      <w:pPr>
        <w:spacing w:line="240" w:lineRule="auto"/>
        <w:jc w:val="both"/>
        <w:rPr>
          <w:i/>
          <w:iCs/>
          <w:sz w:val="22"/>
          <w:szCs w:val="22"/>
          <w:lang w:val="en-US"/>
        </w:rPr>
      </w:pPr>
      <w:r w:rsidRPr="00FC679C">
        <w:rPr>
          <w:i/>
          <w:iCs/>
          <w:sz w:val="22"/>
          <w:szCs w:val="22"/>
          <w:lang w:val="en-US"/>
        </w:rPr>
        <w:t xml:space="preserve">INSTRUCTION: This document describes the use-case context and three attack scenarios for the PBL. The document also includes the case chapters. </w:t>
      </w:r>
    </w:p>
    <w:p w14:paraId="351463BC" w14:textId="77777777" w:rsidR="006F7EDE" w:rsidRPr="00FC679C" w:rsidRDefault="006F7EDE" w:rsidP="006F7EDE">
      <w:pPr>
        <w:spacing w:line="240" w:lineRule="auto"/>
        <w:jc w:val="both"/>
        <w:rPr>
          <w:i/>
          <w:iCs/>
          <w:sz w:val="22"/>
          <w:szCs w:val="22"/>
          <w:lang w:val="en-US"/>
        </w:rPr>
      </w:pPr>
      <w:r w:rsidRPr="00FC679C">
        <w:rPr>
          <w:i/>
          <w:iCs/>
          <w:sz w:val="22"/>
          <w:szCs w:val="22"/>
          <w:lang w:val="en-US"/>
        </w:rPr>
        <w:t xml:space="preserve">Students will be asked to choose which attack scenario to develop (e.g., via a Doodle); once chosen, </w:t>
      </w:r>
      <w:r w:rsidRPr="00FC679C">
        <w:rPr>
          <w:i/>
          <w:iCs/>
          <w:sz w:val="22"/>
          <w:szCs w:val="22"/>
          <w:u w:val="single"/>
          <w:lang w:val="en-US"/>
        </w:rPr>
        <w:t>it will be the same for everyone</w:t>
      </w:r>
      <w:r w:rsidRPr="00FC679C">
        <w:rPr>
          <w:i/>
          <w:iCs/>
          <w:sz w:val="22"/>
          <w:szCs w:val="22"/>
          <w:lang w:val="en-US"/>
        </w:rPr>
        <w:t>.</w:t>
      </w:r>
    </w:p>
    <w:p w14:paraId="6A42F710" w14:textId="28F85EED" w:rsidR="006F7EDE" w:rsidRPr="00FC679C" w:rsidRDefault="00FC679C" w:rsidP="006F7EDE">
      <w:pPr>
        <w:spacing w:line="240" w:lineRule="auto"/>
        <w:jc w:val="both"/>
        <w:rPr>
          <w:i/>
          <w:iCs/>
          <w:sz w:val="22"/>
          <w:szCs w:val="22"/>
          <w:lang w:val="en-US"/>
        </w:rPr>
      </w:pPr>
      <w:r w:rsidRPr="00FC679C">
        <w:rPr>
          <w:i/>
          <w:iCs/>
          <w:sz w:val="22"/>
          <w:szCs w:val="22"/>
          <w:lang w:val="en-US"/>
        </w:rPr>
        <w:t xml:space="preserve">This file is also followed </w:t>
      </w:r>
      <w:r w:rsidR="003F2226" w:rsidRPr="00FC679C">
        <w:rPr>
          <w:i/>
          <w:iCs/>
          <w:sz w:val="22"/>
          <w:szCs w:val="22"/>
          <w:lang w:val="en-US"/>
        </w:rPr>
        <w:t>with</w:t>
      </w:r>
      <w:r w:rsidR="006F7EDE" w:rsidRPr="00FC679C">
        <w:rPr>
          <w:i/>
          <w:iCs/>
          <w:sz w:val="22"/>
          <w:szCs w:val="22"/>
          <w:lang w:val="en-US"/>
        </w:rPr>
        <w:t xml:space="preserve"> </w:t>
      </w:r>
      <w:r w:rsidRPr="00FC679C">
        <w:rPr>
          <w:i/>
          <w:iCs/>
          <w:sz w:val="22"/>
          <w:szCs w:val="22"/>
          <w:lang w:val="en-US"/>
        </w:rPr>
        <w:t>instructions for learners</w:t>
      </w:r>
      <w:r w:rsidR="003F2226">
        <w:rPr>
          <w:i/>
          <w:iCs/>
          <w:sz w:val="22"/>
          <w:szCs w:val="22"/>
          <w:lang w:val="en-US"/>
        </w:rPr>
        <w:t xml:space="preserve"> (CSS_D3_M3_R10</w:t>
      </w:r>
      <w:proofErr w:type="gramStart"/>
      <w:r w:rsidR="003F2226">
        <w:rPr>
          <w:i/>
          <w:iCs/>
          <w:sz w:val="22"/>
          <w:szCs w:val="22"/>
          <w:lang w:val="en-US"/>
        </w:rPr>
        <w:t xml:space="preserve">) </w:t>
      </w:r>
      <w:r w:rsidRPr="00FC679C">
        <w:rPr>
          <w:i/>
          <w:iCs/>
          <w:sz w:val="22"/>
          <w:szCs w:val="22"/>
          <w:lang w:val="en-US"/>
        </w:rPr>
        <w:t xml:space="preserve"> and</w:t>
      </w:r>
      <w:proofErr w:type="gramEnd"/>
      <w:r w:rsidRPr="00FC679C">
        <w:rPr>
          <w:i/>
          <w:iCs/>
          <w:sz w:val="22"/>
          <w:szCs w:val="22"/>
          <w:lang w:val="en-US"/>
        </w:rPr>
        <w:t xml:space="preserve"> assessment criteria </w:t>
      </w:r>
      <w:r w:rsidR="003F2226">
        <w:rPr>
          <w:i/>
          <w:iCs/>
          <w:sz w:val="22"/>
          <w:szCs w:val="22"/>
          <w:lang w:val="en-US"/>
        </w:rPr>
        <w:t xml:space="preserve">(CSS_D3_M3_R9) </w:t>
      </w:r>
      <w:r w:rsidRPr="00FC679C">
        <w:rPr>
          <w:i/>
          <w:iCs/>
          <w:sz w:val="22"/>
          <w:szCs w:val="22"/>
          <w:lang w:val="en-US"/>
        </w:rPr>
        <w:t xml:space="preserve">for trainers. </w:t>
      </w:r>
      <w:r w:rsidR="003F2226" w:rsidRPr="00FC679C">
        <w:rPr>
          <w:i/>
          <w:iCs/>
          <w:sz w:val="22"/>
          <w:szCs w:val="22"/>
          <w:lang w:val="en-US"/>
        </w:rPr>
        <w:t>The</w:t>
      </w:r>
      <w:r w:rsidR="006F7EDE" w:rsidRPr="00FC679C">
        <w:rPr>
          <w:i/>
          <w:iCs/>
          <w:sz w:val="22"/>
          <w:szCs w:val="22"/>
          <w:lang w:val="en-US"/>
        </w:rPr>
        <w:t xml:space="preserve"> folder there are also:</w:t>
      </w:r>
    </w:p>
    <w:p w14:paraId="77B4D722" w14:textId="792BEB29" w:rsidR="006F7EDE" w:rsidRPr="006F7EDE" w:rsidRDefault="006F7EDE" w:rsidP="006F7EDE">
      <w:pPr>
        <w:spacing w:line="240" w:lineRule="auto"/>
        <w:jc w:val="both"/>
        <w:rPr>
          <w:b/>
          <w:bCs/>
          <w:sz w:val="22"/>
          <w:szCs w:val="22"/>
          <w:lang w:val="en-US"/>
        </w:rPr>
      </w:pPr>
    </w:p>
    <w:p w14:paraId="6FAE23E4" w14:textId="77777777" w:rsidR="006F7EDE" w:rsidRPr="006F7EDE" w:rsidRDefault="006F7EDE" w:rsidP="006F7EDE">
      <w:pPr>
        <w:numPr>
          <w:ilvl w:val="0"/>
          <w:numId w:val="35"/>
        </w:numPr>
        <w:spacing w:line="240" w:lineRule="auto"/>
        <w:jc w:val="both"/>
        <w:rPr>
          <w:b/>
          <w:bCs/>
          <w:sz w:val="22"/>
          <w:szCs w:val="22"/>
          <w:lang w:val="en-US"/>
        </w:rPr>
      </w:pPr>
      <w:r w:rsidRPr="006F7EDE">
        <w:rPr>
          <w:b/>
          <w:bCs/>
          <w:sz w:val="22"/>
          <w:szCs w:val="22"/>
          <w:lang w:val="en-US"/>
        </w:rPr>
        <w:t>1. Scenario Briefing</w:t>
      </w:r>
    </w:p>
    <w:p w14:paraId="06A3DB71" w14:textId="77777777" w:rsidR="006F7EDE" w:rsidRPr="00FC679C" w:rsidRDefault="006F7EDE" w:rsidP="006F7EDE">
      <w:pPr>
        <w:spacing w:line="240" w:lineRule="auto"/>
        <w:jc w:val="both"/>
        <w:rPr>
          <w:sz w:val="22"/>
          <w:szCs w:val="22"/>
          <w:lang w:val="en-US"/>
        </w:rPr>
      </w:pPr>
      <w:proofErr w:type="spellStart"/>
      <w:r w:rsidRPr="00FC679C">
        <w:rPr>
          <w:sz w:val="22"/>
          <w:szCs w:val="22"/>
          <w:lang w:val="en-US"/>
        </w:rPr>
        <w:t>AquaTerra</w:t>
      </w:r>
      <w:proofErr w:type="spellEnd"/>
      <w:r w:rsidRPr="00FC679C">
        <w:rPr>
          <w:sz w:val="22"/>
          <w:szCs w:val="22"/>
          <w:lang w:val="en-US"/>
        </w:rPr>
        <w:t xml:space="preserve"> Utilities is a mid-sized regional water and wastewater utility cooperative serving approximately 1.2 million customers across three Nordic countries with around 1 100 employees. Operations are split across Site 1 in Oslo (Norway), where the headquarters and the main drinking-water treatment plant are located; Site 2 in Göteborg (Sweden), which hosts the wastewater treatment plant and a biogas recovery facility; and Site 3 in Aarhus (Denmark), which operates the pumping stations and the Advanced Metering Infrastructure (AMI) head-end for regional smart water meters.</w:t>
      </w:r>
    </w:p>
    <w:p w14:paraId="57262A08"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Sustainability is central to </w:t>
      </w:r>
      <w:proofErr w:type="spellStart"/>
      <w:r w:rsidRPr="00FC679C">
        <w:rPr>
          <w:sz w:val="22"/>
          <w:szCs w:val="22"/>
          <w:lang w:val="en-US"/>
        </w:rPr>
        <w:t>AquaTerra's</w:t>
      </w:r>
      <w:proofErr w:type="spellEnd"/>
      <w:r w:rsidRPr="00FC679C">
        <w:rPr>
          <w:sz w:val="22"/>
          <w:szCs w:val="22"/>
          <w:lang w:val="en-US"/>
        </w:rPr>
        <w:t xml:space="preserve"> operating model. The cooperative is an essential entity under NIS2 (Network and Information Security Directive 2) and must comply with the EU Drinking Water Directive 2020/2184, the Urban </w:t>
      </w:r>
      <w:proofErr w:type="gramStart"/>
      <w:r w:rsidRPr="00FC679C">
        <w:rPr>
          <w:sz w:val="22"/>
          <w:szCs w:val="22"/>
          <w:lang w:val="en-US"/>
        </w:rPr>
        <w:t>Waste Water</w:t>
      </w:r>
      <w:proofErr w:type="gramEnd"/>
      <w:r w:rsidRPr="00FC679C">
        <w:rPr>
          <w:sz w:val="22"/>
          <w:szCs w:val="22"/>
          <w:lang w:val="en-US"/>
        </w:rPr>
        <w:t xml:space="preserve"> Treatment Directive, ISO 14001, ISO 27001, GDPR and the Corporate Sustainability Reporting Directive (CSRD). Core sustainability KPIs cover non-revenue water losses, leakage and energy per cubic </w:t>
      </w:r>
      <w:proofErr w:type="spellStart"/>
      <w:r w:rsidRPr="00FC679C">
        <w:rPr>
          <w:sz w:val="22"/>
          <w:szCs w:val="22"/>
          <w:lang w:val="en-US"/>
        </w:rPr>
        <w:t>metre</w:t>
      </w:r>
      <w:proofErr w:type="spellEnd"/>
      <w:r w:rsidRPr="00FC679C">
        <w:rPr>
          <w:sz w:val="22"/>
          <w:szCs w:val="22"/>
          <w:lang w:val="en-US"/>
        </w:rPr>
        <w:t xml:space="preserve"> treated, biogas yield from sewage sludge, and nutrient recovery rates. A dedicated ESG reporting SaaS is used to aggregate these figures and produce annual ESRS E3 (Water and Marine Resources) and E1 (Climate) disclosures.</w:t>
      </w:r>
    </w:p>
    <w:p w14:paraId="6E2766A5" w14:textId="77777777" w:rsidR="006F7EDE" w:rsidRPr="00FC679C" w:rsidRDefault="006F7EDE" w:rsidP="006F7EDE">
      <w:pPr>
        <w:spacing w:line="240" w:lineRule="auto"/>
        <w:jc w:val="both"/>
        <w:rPr>
          <w:sz w:val="22"/>
          <w:szCs w:val="22"/>
          <w:lang w:val="en-US"/>
        </w:rPr>
      </w:pPr>
      <w:r w:rsidRPr="00FC679C">
        <w:rPr>
          <w:sz w:val="22"/>
          <w:szCs w:val="22"/>
          <w:lang w:val="en-US"/>
        </w:rPr>
        <w:t>At Site 1, a central SCADA (Supervisory Control and Data Acquisition) system supervises chemical dosing, ultraviolet disinfection, membrane filtration and reservoir levels. Process controllers use DNP3 (Distributed Network Protocol) and IEC 60870-5-104 over private MPLS links, while legacy pumping stations in Aarhus still rely on Modbus TCP without authentication. An OPC UA (Open Platform Communications Unified Architecture) tunnelling gateway in a dedicated DMZ connects OT historians to cloud-based analytics.</w:t>
      </w:r>
    </w:p>
    <w:p w14:paraId="7899BDCD" w14:textId="77777777" w:rsidR="006F7EDE" w:rsidRPr="00FC679C" w:rsidRDefault="006F7EDE" w:rsidP="006F7EDE">
      <w:pPr>
        <w:spacing w:line="240" w:lineRule="auto"/>
        <w:jc w:val="both"/>
        <w:rPr>
          <w:sz w:val="22"/>
          <w:szCs w:val="22"/>
          <w:lang w:val="en-US"/>
        </w:rPr>
      </w:pPr>
      <w:r w:rsidRPr="00FC679C">
        <w:rPr>
          <w:sz w:val="22"/>
          <w:szCs w:val="22"/>
          <w:lang w:val="en-US"/>
        </w:rPr>
        <w:lastRenderedPageBreak/>
        <w:t xml:space="preserve">A fleet of roughly 6 500 water-quality IoT sensors (pH, turbidity, free-chlorine residual, flow rate) uses </w:t>
      </w:r>
      <w:proofErr w:type="spellStart"/>
      <w:r w:rsidRPr="00FC679C">
        <w:rPr>
          <w:sz w:val="22"/>
          <w:szCs w:val="22"/>
          <w:lang w:val="en-US"/>
        </w:rPr>
        <w:t>LoRaWAN</w:t>
      </w:r>
      <w:proofErr w:type="spellEnd"/>
      <w:r w:rsidRPr="00FC679C">
        <w:rPr>
          <w:sz w:val="22"/>
          <w:szCs w:val="22"/>
          <w:lang w:val="en-US"/>
        </w:rPr>
        <w:t xml:space="preserve"> (Long-Range Wide-Area Network) as the uplink, aggregated by a central Network Server hosted by a third-party operator. Approximately 420 000 smart water meters transmit consumption data via Wireless M-Bus (169 MHz) and NB-IoT (Narrowband Internet of Things) to the AMI head-end, which in turn feeds the SAP IS-U (Industry Solution for Utilities) billing platform.</w:t>
      </w:r>
    </w:p>
    <w:p w14:paraId="3D135709"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The IT layer comprises Microsoft Active Directory, Microsoft 365, a customer self-service portal, a GIS (Geographic Information System) asset database, and an HR and shift-scheduling system. The AWS Frankfurt region hosts a data lake used for predictive maintenance and leak-detection machine-learning models. Personal data processing is substantial: customer name, address, account identifier, bank details, IBAN and half-hourly consumption profiles; employee shift rosters; and CCTV (Closed-Circuit Television) at unmanned pumping stations. The convergence of OT, IoT, IT and cloud </w:t>
      </w:r>
      <w:proofErr w:type="gramStart"/>
      <w:r w:rsidRPr="00FC679C">
        <w:rPr>
          <w:sz w:val="22"/>
          <w:szCs w:val="22"/>
          <w:lang w:val="en-US"/>
        </w:rPr>
        <w:t>creates</w:t>
      </w:r>
      <w:proofErr w:type="gramEnd"/>
      <w:r w:rsidRPr="00FC679C">
        <w:rPr>
          <w:sz w:val="22"/>
          <w:szCs w:val="22"/>
          <w:lang w:val="en-US"/>
        </w:rPr>
        <w:t xml:space="preserve"> a complex attack surface where cyber risk, public-health safety, environmental compliance and data protection all overlap.</w:t>
      </w:r>
    </w:p>
    <w:p w14:paraId="29FECDF6" w14:textId="77777777" w:rsidR="006F7EDE" w:rsidRPr="006F7EDE" w:rsidRDefault="006F7EDE" w:rsidP="006F7EDE">
      <w:pPr>
        <w:numPr>
          <w:ilvl w:val="0"/>
          <w:numId w:val="35"/>
        </w:numPr>
        <w:spacing w:line="240" w:lineRule="auto"/>
        <w:jc w:val="both"/>
        <w:rPr>
          <w:b/>
          <w:bCs/>
          <w:sz w:val="22"/>
          <w:szCs w:val="22"/>
          <w:lang w:val="en-US"/>
        </w:rPr>
      </w:pPr>
      <w:r w:rsidRPr="006F7EDE">
        <w:rPr>
          <w:b/>
          <w:bCs/>
          <w:sz w:val="22"/>
          <w:szCs w:val="22"/>
          <w:lang w:val="en-US"/>
        </w:rPr>
        <w:t>2. Network Architecture Overview</w:t>
      </w:r>
    </w:p>
    <w:p w14:paraId="2F301A1B" w14:textId="77777777" w:rsidR="006F7EDE" w:rsidRPr="00FC679C" w:rsidRDefault="006F7EDE" w:rsidP="006F7EDE">
      <w:pPr>
        <w:spacing w:line="240" w:lineRule="auto"/>
        <w:jc w:val="both"/>
        <w:rPr>
          <w:sz w:val="22"/>
          <w:szCs w:val="22"/>
          <w:lang w:val="en-US"/>
        </w:rPr>
      </w:pPr>
      <w:r w:rsidRPr="00FC679C">
        <w:rPr>
          <w:sz w:val="22"/>
          <w:szCs w:val="22"/>
          <w:lang w:val="en-US"/>
        </w:rPr>
        <w:t>Core Layers</w:t>
      </w:r>
    </w:p>
    <w:p w14:paraId="63663913" w14:textId="77777777" w:rsidR="006F7EDE" w:rsidRPr="00FC679C" w:rsidRDefault="006F7EDE" w:rsidP="006F7EDE">
      <w:pPr>
        <w:spacing w:line="240" w:lineRule="auto"/>
        <w:jc w:val="both"/>
        <w:rPr>
          <w:sz w:val="22"/>
          <w:szCs w:val="22"/>
          <w:lang w:val="en-US"/>
        </w:rPr>
      </w:pPr>
      <w:r w:rsidRPr="00FC679C">
        <w:rPr>
          <w:sz w:val="22"/>
          <w:szCs w:val="22"/>
          <w:lang w:val="en-US"/>
        </w:rPr>
        <w:t>OT/SCADA Layer (Sites 1, 2, 3):</w:t>
      </w:r>
    </w:p>
    <w:p w14:paraId="63A881BD" w14:textId="77777777" w:rsidR="006F7EDE" w:rsidRPr="00FC679C" w:rsidRDefault="006F7EDE" w:rsidP="006F7EDE">
      <w:pPr>
        <w:numPr>
          <w:ilvl w:val="0"/>
          <w:numId w:val="35"/>
        </w:numPr>
        <w:spacing w:line="240" w:lineRule="auto"/>
        <w:jc w:val="both"/>
        <w:rPr>
          <w:sz w:val="22"/>
          <w:szCs w:val="22"/>
          <w:lang w:val="en-US"/>
        </w:rPr>
      </w:pPr>
      <w:r w:rsidRPr="00FC679C">
        <w:rPr>
          <w:sz w:val="22"/>
          <w:szCs w:val="22"/>
          <w:lang w:val="en-US"/>
        </w:rPr>
        <w:t xml:space="preserve">SCADA HMI servers and engineering workstations (AVEVA System Platform) </w:t>
      </w:r>
    </w:p>
    <w:p w14:paraId="528628D2" w14:textId="77777777" w:rsidR="006F7EDE" w:rsidRPr="00FC679C" w:rsidRDefault="006F7EDE" w:rsidP="006F7EDE">
      <w:pPr>
        <w:numPr>
          <w:ilvl w:val="0"/>
          <w:numId w:val="35"/>
        </w:numPr>
        <w:spacing w:line="240" w:lineRule="auto"/>
        <w:jc w:val="both"/>
        <w:rPr>
          <w:sz w:val="22"/>
          <w:szCs w:val="22"/>
          <w:lang w:val="en-US"/>
        </w:rPr>
      </w:pPr>
      <w:r w:rsidRPr="00FC679C">
        <w:rPr>
          <w:sz w:val="22"/>
          <w:szCs w:val="22"/>
          <w:lang w:val="en-US"/>
        </w:rPr>
        <w:t xml:space="preserve">PLCs (Siemens SIMATIC S7, Schneider </w:t>
      </w:r>
      <w:proofErr w:type="spellStart"/>
      <w:r w:rsidRPr="00FC679C">
        <w:rPr>
          <w:sz w:val="22"/>
          <w:szCs w:val="22"/>
          <w:lang w:val="en-US"/>
        </w:rPr>
        <w:t>Modicon</w:t>
      </w:r>
      <w:proofErr w:type="spellEnd"/>
      <w:r w:rsidRPr="00FC679C">
        <w:rPr>
          <w:sz w:val="22"/>
          <w:szCs w:val="22"/>
          <w:lang w:val="en-US"/>
        </w:rPr>
        <w:t xml:space="preserve"> M340) for dosing, UV, aeration and pumps </w:t>
      </w:r>
    </w:p>
    <w:p w14:paraId="7FD8CF1C" w14:textId="77777777" w:rsidR="006F7EDE" w:rsidRPr="00FC679C" w:rsidRDefault="006F7EDE" w:rsidP="006F7EDE">
      <w:pPr>
        <w:numPr>
          <w:ilvl w:val="0"/>
          <w:numId w:val="35"/>
        </w:numPr>
        <w:spacing w:line="240" w:lineRule="auto"/>
        <w:jc w:val="both"/>
        <w:rPr>
          <w:sz w:val="22"/>
          <w:szCs w:val="22"/>
          <w:lang w:val="en-US"/>
        </w:rPr>
      </w:pPr>
      <w:r w:rsidRPr="00FC679C">
        <w:rPr>
          <w:sz w:val="22"/>
          <w:szCs w:val="22"/>
          <w:lang w:val="en-US"/>
        </w:rPr>
        <w:t xml:space="preserve">DNP3 and IEC 60870-5-104 over private MPLS; legacy Modbus TCP at Aarhus pumping stations </w:t>
      </w:r>
    </w:p>
    <w:p w14:paraId="3B8E68AC" w14:textId="77777777" w:rsidR="006F7EDE" w:rsidRPr="00FC679C" w:rsidRDefault="006F7EDE" w:rsidP="006F7EDE">
      <w:pPr>
        <w:numPr>
          <w:ilvl w:val="0"/>
          <w:numId w:val="35"/>
        </w:numPr>
        <w:spacing w:line="240" w:lineRule="auto"/>
        <w:jc w:val="both"/>
        <w:rPr>
          <w:sz w:val="22"/>
          <w:szCs w:val="22"/>
          <w:lang w:val="en-US"/>
        </w:rPr>
      </w:pPr>
      <w:r w:rsidRPr="00FC679C">
        <w:rPr>
          <w:sz w:val="22"/>
          <w:szCs w:val="22"/>
          <w:lang w:val="en-US"/>
        </w:rPr>
        <w:t xml:space="preserve">Biogas digester control system with custom SCADA tags feeding the EMS </w:t>
      </w:r>
    </w:p>
    <w:p w14:paraId="61525FEE" w14:textId="77777777" w:rsidR="006F7EDE" w:rsidRPr="00FC679C" w:rsidRDefault="006F7EDE" w:rsidP="006F7EDE">
      <w:pPr>
        <w:spacing w:line="240" w:lineRule="auto"/>
        <w:jc w:val="both"/>
        <w:rPr>
          <w:sz w:val="22"/>
          <w:szCs w:val="22"/>
          <w:lang w:val="en-US"/>
        </w:rPr>
      </w:pPr>
      <w:r w:rsidRPr="00FC679C">
        <w:rPr>
          <w:sz w:val="22"/>
          <w:szCs w:val="22"/>
          <w:lang w:val="en-US"/>
        </w:rPr>
        <w:t>IoT Edge Layer:</w:t>
      </w:r>
    </w:p>
    <w:p w14:paraId="3037184F" w14:textId="77777777" w:rsidR="006F7EDE" w:rsidRPr="00FC679C" w:rsidRDefault="006F7EDE" w:rsidP="006F7EDE">
      <w:pPr>
        <w:numPr>
          <w:ilvl w:val="0"/>
          <w:numId w:val="36"/>
        </w:numPr>
        <w:spacing w:line="240" w:lineRule="auto"/>
        <w:jc w:val="both"/>
        <w:rPr>
          <w:sz w:val="22"/>
          <w:szCs w:val="22"/>
          <w:lang w:val="en-US"/>
        </w:rPr>
      </w:pPr>
      <w:r w:rsidRPr="00FC679C">
        <w:rPr>
          <w:sz w:val="22"/>
          <w:szCs w:val="22"/>
          <w:lang w:val="en-US"/>
        </w:rPr>
        <w:t xml:space="preserve">~6 500 </w:t>
      </w:r>
      <w:proofErr w:type="spellStart"/>
      <w:r w:rsidRPr="00FC679C">
        <w:rPr>
          <w:sz w:val="22"/>
          <w:szCs w:val="22"/>
          <w:lang w:val="en-US"/>
        </w:rPr>
        <w:t>LoRaWAN</w:t>
      </w:r>
      <w:proofErr w:type="spellEnd"/>
      <w:r w:rsidRPr="00FC679C">
        <w:rPr>
          <w:sz w:val="22"/>
          <w:szCs w:val="22"/>
          <w:lang w:val="en-US"/>
        </w:rPr>
        <w:t xml:space="preserve"> water-quality sensors (pH, turbidity, residual chlorine, flow) </w:t>
      </w:r>
    </w:p>
    <w:p w14:paraId="4CAC6949" w14:textId="77777777" w:rsidR="006F7EDE" w:rsidRPr="00FC679C" w:rsidRDefault="006F7EDE" w:rsidP="006F7EDE">
      <w:pPr>
        <w:numPr>
          <w:ilvl w:val="0"/>
          <w:numId w:val="36"/>
        </w:numPr>
        <w:spacing w:line="240" w:lineRule="auto"/>
        <w:jc w:val="both"/>
        <w:rPr>
          <w:sz w:val="22"/>
          <w:szCs w:val="22"/>
          <w:lang w:val="en-US"/>
        </w:rPr>
      </w:pPr>
      <w:r w:rsidRPr="00FC679C">
        <w:rPr>
          <w:sz w:val="22"/>
          <w:szCs w:val="22"/>
          <w:lang w:val="en-US"/>
        </w:rPr>
        <w:t xml:space="preserve">~420 000 smart water meters using Wireless M-Bus 169 MHz and NB-IoT </w:t>
      </w:r>
    </w:p>
    <w:p w14:paraId="0D500684" w14:textId="77777777" w:rsidR="006F7EDE" w:rsidRPr="00FC679C" w:rsidRDefault="006F7EDE" w:rsidP="006F7EDE">
      <w:pPr>
        <w:numPr>
          <w:ilvl w:val="0"/>
          <w:numId w:val="36"/>
        </w:numPr>
        <w:spacing w:line="240" w:lineRule="auto"/>
        <w:jc w:val="both"/>
        <w:rPr>
          <w:sz w:val="22"/>
          <w:szCs w:val="22"/>
          <w:lang w:val="en-US"/>
        </w:rPr>
      </w:pPr>
      <w:proofErr w:type="spellStart"/>
      <w:r w:rsidRPr="00FC679C">
        <w:rPr>
          <w:sz w:val="22"/>
          <w:szCs w:val="22"/>
          <w:lang w:val="en-US"/>
        </w:rPr>
        <w:t>LoRaWAN</w:t>
      </w:r>
      <w:proofErr w:type="spellEnd"/>
      <w:r w:rsidRPr="00FC679C">
        <w:rPr>
          <w:sz w:val="22"/>
          <w:szCs w:val="22"/>
          <w:lang w:val="en-US"/>
        </w:rPr>
        <w:t xml:space="preserve"> Network Server (third-party operated) and AMI head-end concentrators </w:t>
      </w:r>
    </w:p>
    <w:p w14:paraId="5216A622" w14:textId="77777777" w:rsidR="006F7EDE" w:rsidRPr="00FC679C" w:rsidRDefault="006F7EDE" w:rsidP="006F7EDE">
      <w:pPr>
        <w:spacing w:line="240" w:lineRule="auto"/>
        <w:jc w:val="both"/>
        <w:rPr>
          <w:sz w:val="22"/>
          <w:szCs w:val="22"/>
          <w:lang w:val="en-US"/>
        </w:rPr>
      </w:pPr>
      <w:r w:rsidRPr="00FC679C">
        <w:rPr>
          <w:sz w:val="22"/>
          <w:szCs w:val="22"/>
          <w:lang w:val="en-US"/>
        </w:rPr>
        <w:t>IT Layer:</w:t>
      </w:r>
    </w:p>
    <w:p w14:paraId="49F03853" w14:textId="77777777" w:rsidR="006F7EDE" w:rsidRPr="00FC679C" w:rsidRDefault="006F7EDE" w:rsidP="006F7EDE">
      <w:pPr>
        <w:numPr>
          <w:ilvl w:val="0"/>
          <w:numId w:val="37"/>
        </w:numPr>
        <w:spacing w:line="240" w:lineRule="auto"/>
        <w:jc w:val="both"/>
        <w:rPr>
          <w:sz w:val="22"/>
          <w:szCs w:val="22"/>
          <w:lang w:val="en-US"/>
        </w:rPr>
      </w:pPr>
      <w:r w:rsidRPr="00FC679C">
        <w:rPr>
          <w:sz w:val="22"/>
          <w:szCs w:val="22"/>
          <w:lang w:val="en-US"/>
        </w:rPr>
        <w:t xml:space="preserve">Active Directory, Microsoft 365, endpoint EDR </w:t>
      </w:r>
    </w:p>
    <w:p w14:paraId="1FAD970E" w14:textId="77777777" w:rsidR="006F7EDE" w:rsidRPr="00FC679C" w:rsidRDefault="006F7EDE" w:rsidP="006F7EDE">
      <w:pPr>
        <w:numPr>
          <w:ilvl w:val="0"/>
          <w:numId w:val="37"/>
        </w:numPr>
        <w:spacing w:line="240" w:lineRule="auto"/>
        <w:jc w:val="both"/>
        <w:rPr>
          <w:sz w:val="22"/>
          <w:szCs w:val="22"/>
          <w:lang w:val="en-US"/>
        </w:rPr>
      </w:pPr>
      <w:r w:rsidRPr="00FC679C">
        <w:rPr>
          <w:sz w:val="22"/>
          <w:szCs w:val="22"/>
          <w:lang w:val="en-US"/>
        </w:rPr>
        <w:t xml:space="preserve">SAP IS-U billing, GIS (ESRI), HR and shift-scheduling system </w:t>
      </w:r>
    </w:p>
    <w:p w14:paraId="6188B1D3" w14:textId="77777777" w:rsidR="006F7EDE" w:rsidRPr="00FC679C" w:rsidRDefault="006F7EDE" w:rsidP="006F7EDE">
      <w:pPr>
        <w:numPr>
          <w:ilvl w:val="0"/>
          <w:numId w:val="37"/>
        </w:numPr>
        <w:spacing w:line="240" w:lineRule="auto"/>
        <w:jc w:val="both"/>
        <w:rPr>
          <w:sz w:val="22"/>
          <w:szCs w:val="22"/>
          <w:lang w:val="en-US"/>
        </w:rPr>
      </w:pPr>
      <w:r w:rsidRPr="00FC679C">
        <w:rPr>
          <w:sz w:val="22"/>
          <w:szCs w:val="22"/>
          <w:lang w:val="en-US"/>
        </w:rPr>
        <w:t xml:space="preserve">Customer self-service portal in the DMZ </w:t>
      </w:r>
    </w:p>
    <w:p w14:paraId="541ADF44" w14:textId="77777777" w:rsidR="006F7EDE" w:rsidRPr="00FC679C" w:rsidRDefault="006F7EDE" w:rsidP="006F7EDE">
      <w:pPr>
        <w:spacing w:line="240" w:lineRule="auto"/>
        <w:jc w:val="both"/>
        <w:rPr>
          <w:sz w:val="22"/>
          <w:szCs w:val="22"/>
          <w:lang w:val="en-US"/>
        </w:rPr>
      </w:pPr>
      <w:r w:rsidRPr="00FC679C">
        <w:rPr>
          <w:sz w:val="22"/>
          <w:szCs w:val="22"/>
          <w:lang w:val="en-US"/>
        </w:rPr>
        <w:lastRenderedPageBreak/>
        <w:t>Cloud &amp; SaaS Layer:</w:t>
      </w:r>
    </w:p>
    <w:p w14:paraId="25F417F6" w14:textId="77777777" w:rsidR="006F7EDE" w:rsidRPr="00FC679C" w:rsidRDefault="006F7EDE" w:rsidP="006F7EDE">
      <w:pPr>
        <w:numPr>
          <w:ilvl w:val="0"/>
          <w:numId w:val="38"/>
        </w:numPr>
        <w:spacing w:line="240" w:lineRule="auto"/>
        <w:jc w:val="both"/>
        <w:rPr>
          <w:sz w:val="22"/>
          <w:szCs w:val="22"/>
          <w:lang w:val="en-US"/>
        </w:rPr>
      </w:pPr>
      <w:r w:rsidRPr="00FC679C">
        <w:rPr>
          <w:sz w:val="22"/>
          <w:szCs w:val="22"/>
          <w:lang w:val="en-US"/>
        </w:rPr>
        <w:t xml:space="preserve">AWS Frankfurt data lake, historian export and ML predictive-maintenance models </w:t>
      </w:r>
    </w:p>
    <w:p w14:paraId="2047ED32" w14:textId="77777777" w:rsidR="006F7EDE" w:rsidRPr="00FC679C" w:rsidRDefault="006F7EDE" w:rsidP="006F7EDE">
      <w:pPr>
        <w:numPr>
          <w:ilvl w:val="0"/>
          <w:numId w:val="38"/>
        </w:numPr>
        <w:spacing w:line="240" w:lineRule="auto"/>
        <w:jc w:val="both"/>
        <w:rPr>
          <w:sz w:val="22"/>
          <w:szCs w:val="22"/>
          <w:lang w:val="en-US"/>
        </w:rPr>
      </w:pPr>
      <w:r w:rsidRPr="00FC679C">
        <w:rPr>
          <w:sz w:val="22"/>
          <w:szCs w:val="22"/>
          <w:lang w:val="en-US"/>
        </w:rPr>
        <w:t xml:space="preserve">ESG/CSRD reporting SaaS (EU-headquartered, with US-based sub-processor) </w:t>
      </w:r>
    </w:p>
    <w:p w14:paraId="02634CD1" w14:textId="77777777" w:rsidR="006F7EDE" w:rsidRPr="00FC679C" w:rsidRDefault="006F7EDE" w:rsidP="006F7EDE">
      <w:pPr>
        <w:numPr>
          <w:ilvl w:val="0"/>
          <w:numId w:val="38"/>
        </w:numPr>
        <w:spacing w:line="240" w:lineRule="auto"/>
        <w:jc w:val="both"/>
        <w:rPr>
          <w:sz w:val="22"/>
          <w:szCs w:val="22"/>
          <w:lang w:val="en-US"/>
        </w:rPr>
      </w:pPr>
      <w:r w:rsidRPr="00FC679C">
        <w:rPr>
          <w:sz w:val="22"/>
          <w:szCs w:val="22"/>
          <w:lang w:val="en-US"/>
        </w:rPr>
        <w:t xml:space="preserve">Managed Microsoft 365 tenant with Entra ID </w:t>
      </w:r>
    </w:p>
    <w:p w14:paraId="3686A380" w14:textId="77777777" w:rsidR="006F7EDE" w:rsidRPr="00FC679C" w:rsidRDefault="006F7EDE" w:rsidP="006F7EDE">
      <w:pPr>
        <w:spacing w:line="240" w:lineRule="auto"/>
        <w:jc w:val="both"/>
        <w:rPr>
          <w:sz w:val="22"/>
          <w:szCs w:val="22"/>
          <w:lang w:val="en-US"/>
        </w:rPr>
      </w:pPr>
      <w:r w:rsidRPr="00FC679C">
        <w:rPr>
          <w:sz w:val="22"/>
          <w:szCs w:val="22"/>
          <w:lang w:val="en-US"/>
        </w:rPr>
        <w:t>Integration &amp; DMZ Layer:</w:t>
      </w:r>
    </w:p>
    <w:p w14:paraId="663B3A78" w14:textId="77777777" w:rsidR="006F7EDE" w:rsidRPr="00FC679C" w:rsidRDefault="006F7EDE" w:rsidP="006F7EDE">
      <w:pPr>
        <w:numPr>
          <w:ilvl w:val="0"/>
          <w:numId w:val="39"/>
        </w:numPr>
        <w:spacing w:line="240" w:lineRule="auto"/>
        <w:jc w:val="both"/>
        <w:rPr>
          <w:sz w:val="22"/>
          <w:szCs w:val="22"/>
          <w:lang w:val="en-US"/>
        </w:rPr>
      </w:pPr>
      <w:r w:rsidRPr="00FC679C">
        <w:rPr>
          <w:sz w:val="22"/>
          <w:szCs w:val="22"/>
          <w:lang w:val="en-US"/>
        </w:rPr>
        <w:t xml:space="preserve">OPC UA tunnelling gateway between OT historian and cloud analytics </w:t>
      </w:r>
    </w:p>
    <w:p w14:paraId="093EFDB1" w14:textId="77777777" w:rsidR="006F7EDE" w:rsidRPr="00FC679C" w:rsidRDefault="006F7EDE" w:rsidP="006F7EDE">
      <w:pPr>
        <w:numPr>
          <w:ilvl w:val="0"/>
          <w:numId w:val="39"/>
        </w:numPr>
        <w:spacing w:line="240" w:lineRule="auto"/>
        <w:jc w:val="both"/>
        <w:rPr>
          <w:sz w:val="22"/>
          <w:szCs w:val="22"/>
          <w:lang w:val="en-US"/>
        </w:rPr>
      </w:pPr>
      <w:r w:rsidRPr="00FC679C">
        <w:rPr>
          <w:sz w:val="22"/>
          <w:szCs w:val="22"/>
          <w:lang w:val="en-US"/>
        </w:rPr>
        <w:t xml:space="preserve">Reverse proxy and API gateway for the customer portal and AMI-to-billing integration </w:t>
      </w:r>
    </w:p>
    <w:p w14:paraId="50971896" w14:textId="77777777" w:rsidR="006F7EDE" w:rsidRPr="00FC679C" w:rsidRDefault="006F7EDE" w:rsidP="006F7EDE">
      <w:pPr>
        <w:numPr>
          <w:ilvl w:val="0"/>
          <w:numId w:val="39"/>
        </w:numPr>
        <w:spacing w:line="240" w:lineRule="auto"/>
        <w:jc w:val="both"/>
        <w:rPr>
          <w:sz w:val="22"/>
          <w:szCs w:val="22"/>
          <w:lang w:val="en-US"/>
        </w:rPr>
      </w:pPr>
      <w:r w:rsidRPr="00FC679C">
        <w:rPr>
          <w:sz w:val="22"/>
          <w:szCs w:val="22"/>
          <w:lang w:val="en-US"/>
        </w:rPr>
        <w:t xml:space="preserve">Jump host for OEM remote-maintenance sessions into SCADA </w:t>
      </w:r>
    </w:p>
    <w:p w14:paraId="4F970F8D" w14:textId="77777777" w:rsidR="006F7EDE" w:rsidRPr="00FC679C" w:rsidRDefault="006F7EDE" w:rsidP="006F7EDE">
      <w:pPr>
        <w:numPr>
          <w:ilvl w:val="0"/>
          <w:numId w:val="39"/>
        </w:numPr>
        <w:spacing w:line="240" w:lineRule="auto"/>
        <w:jc w:val="both"/>
        <w:rPr>
          <w:sz w:val="22"/>
          <w:szCs w:val="22"/>
          <w:lang w:val="en-US"/>
        </w:rPr>
      </w:pPr>
      <w:r w:rsidRPr="00FC679C">
        <w:rPr>
          <w:sz w:val="22"/>
          <w:szCs w:val="22"/>
          <w:lang w:val="en-US"/>
        </w:rPr>
        <w:t xml:space="preserve">Managed File Transfer (MFT) server exchanging regulatory files with national authorities </w:t>
      </w:r>
    </w:p>
    <w:p w14:paraId="713C84FD" w14:textId="77777777" w:rsidR="006F7EDE" w:rsidRPr="00FC679C" w:rsidRDefault="006F7EDE" w:rsidP="006F7EDE">
      <w:pPr>
        <w:spacing w:line="240" w:lineRule="auto"/>
        <w:jc w:val="both"/>
        <w:rPr>
          <w:sz w:val="22"/>
          <w:szCs w:val="22"/>
          <w:lang w:val="en-US"/>
        </w:rPr>
      </w:pPr>
      <w:r w:rsidRPr="00FC679C">
        <w:rPr>
          <w:sz w:val="22"/>
          <w:szCs w:val="22"/>
          <w:lang w:val="en-US"/>
        </w:rPr>
        <w:t>Personal Data Processing Points</w:t>
      </w:r>
    </w:p>
    <w:p w14:paraId="39C6C5E9"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Smart water meter consumption profiles (half-hourly) </w:t>
      </w:r>
    </w:p>
    <w:p w14:paraId="19A359FB"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Customer billing and payment records in SAP IS-U </w:t>
      </w:r>
    </w:p>
    <w:p w14:paraId="2ABFBFF6"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Customer portal accounts, DSAR intake and complaint tickets </w:t>
      </w:r>
    </w:p>
    <w:p w14:paraId="193408AD"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HR and shift-scheduling data for on-call engineers </w:t>
      </w:r>
    </w:p>
    <w:p w14:paraId="7C3D932F"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Access logs, VPN logs and OEM remote-maintenance session metadata </w:t>
      </w:r>
    </w:p>
    <w:p w14:paraId="61447712" w14:textId="77777777" w:rsidR="006F7EDE" w:rsidRPr="00FC679C" w:rsidRDefault="006F7EDE" w:rsidP="006F7EDE">
      <w:pPr>
        <w:numPr>
          <w:ilvl w:val="0"/>
          <w:numId w:val="40"/>
        </w:numPr>
        <w:spacing w:line="240" w:lineRule="auto"/>
        <w:jc w:val="both"/>
        <w:rPr>
          <w:sz w:val="22"/>
          <w:szCs w:val="22"/>
          <w:lang w:val="en-US"/>
        </w:rPr>
      </w:pPr>
      <w:r w:rsidRPr="00FC679C">
        <w:rPr>
          <w:sz w:val="22"/>
          <w:szCs w:val="22"/>
          <w:lang w:val="en-US"/>
        </w:rPr>
        <w:t xml:space="preserve">CCTV footage at unmanned pumping stations and treatment sites </w:t>
      </w:r>
    </w:p>
    <w:p w14:paraId="1A98D744" w14:textId="77777777" w:rsidR="006F7EDE" w:rsidRPr="00FC679C" w:rsidRDefault="006F7EDE" w:rsidP="006F7EDE">
      <w:pPr>
        <w:spacing w:line="240" w:lineRule="auto"/>
        <w:jc w:val="both"/>
        <w:rPr>
          <w:sz w:val="22"/>
          <w:szCs w:val="22"/>
          <w:lang w:val="en-US"/>
        </w:rPr>
      </w:pPr>
      <w:r w:rsidRPr="00FC679C">
        <w:rPr>
          <w:sz w:val="22"/>
          <w:szCs w:val="22"/>
          <w:lang w:val="en-US"/>
        </w:rPr>
        <w:t>Trust Boundaries</w:t>
      </w:r>
    </w:p>
    <w:p w14:paraId="74870A7D" w14:textId="77777777" w:rsidR="006F7EDE" w:rsidRPr="00FC679C" w:rsidRDefault="006F7EDE" w:rsidP="006F7EDE">
      <w:pPr>
        <w:numPr>
          <w:ilvl w:val="0"/>
          <w:numId w:val="41"/>
        </w:numPr>
        <w:spacing w:line="240" w:lineRule="auto"/>
        <w:jc w:val="both"/>
        <w:rPr>
          <w:sz w:val="22"/>
          <w:szCs w:val="22"/>
          <w:lang w:val="en-US"/>
        </w:rPr>
      </w:pPr>
      <w:r w:rsidRPr="00FC679C">
        <w:rPr>
          <w:sz w:val="22"/>
          <w:szCs w:val="22"/>
          <w:lang w:val="en-US"/>
        </w:rPr>
        <w:t xml:space="preserve">IT </w:t>
      </w:r>
      <w:r w:rsidRPr="00FC679C">
        <w:rPr>
          <w:rFonts w:ascii="Times New Roman" w:hAnsi="Times New Roman" w:cs="Times New Roman"/>
          <w:sz w:val="22"/>
          <w:szCs w:val="22"/>
          <w:lang w:val="en-US"/>
        </w:rPr>
        <w:t>↔</w:t>
      </w:r>
      <w:r w:rsidRPr="00FC679C">
        <w:rPr>
          <w:sz w:val="22"/>
          <w:szCs w:val="22"/>
          <w:lang w:val="en-US"/>
        </w:rPr>
        <w:t xml:space="preserve"> OT (MPLS and jump host) </w:t>
      </w:r>
    </w:p>
    <w:p w14:paraId="7BAA65DA" w14:textId="77777777" w:rsidR="006F7EDE" w:rsidRPr="00FC679C" w:rsidRDefault="006F7EDE" w:rsidP="006F7EDE">
      <w:pPr>
        <w:numPr>
          <w:ilvl w:val="0"/>
          <w:numId w:val="41"/>
        </w:numPr>
        <w:spacing w:line="240" w:lineRule="auto"/>
        <w:jc w:val="both"/>
        <w:rPr>
          <w:sz w:val="22"/>
          <w:szCs w:val="22"/>
          <w:lang w:val="en-US"/>
        </w:rPr>
      </w:pPr>
      <w:proofErr w:type="gramStart"/>
      <w:r w:rsidRPr="00FC679C">
        <w:rPr>
          <w:sz w:val="22"/>
          <w:szCs w:val="22"/>
          <w:lang w:val="en-US"/>
        </w:rPr>
        <w:t>On-premises</w:t>
      </w:r>
      <w:proofErr w:type="gramEnd"/>
      <w:r w:rsidRPr="00FC679C">
        <w:rPr>
          <w:sz w:val="22"/>
          <w:szCs w:val="22"/>
          <w:lang w:val="en-US"/>
        </w:rPr>
        <w:t xml:space="preserve"> </w:t>
      </w:r>
      <w:r w:rsidRPr="00FC679C">
        <w:rPr>
          <w:rFonts w:ascii="Times New Roman" w:hAnsi="Times New Roman" w:cs="Times New Roman"/>
          <w:sz w:val="22"/>
          <w:szCs w:val="22"/>
          <w:lang w:val="en-US"/>
        </w:rPr>
        <w:t>↔</w:t>
      </w:r>
      <w:r w:rsidRPr="00FC679C">
        <w:rPr>
          <w:sz w:val="22"/>
          <w:szCs w:val="22"/>
          <w:lang w:val="en-US"/>
        </w:rPr>
        <w:t xml:space="preserve"> AWS Frankfurt data lake </w:t>
      </w:r>
    </w:p>
    <w:p w14:paraId="5312538E" w14:textId="77777777" w:rsidR="006F7EDE" w:rsidRPr="00FC679C" w:rsidRDefault="006F7EDE" w:rsidP="006F7EDE">
      <w:pPr>
        <w:numPr>
          <w:ilvl w:val="0"/>
          <w:numId w:val="41"/>
        </w:numPr>
        <w:spacing w:line="240" w:lineRule="auto"/>
        <w:jc w:val="both"/>
        <w:rPr>
          <w:sz w:val="22"/>
          <w:szCs w:val="22"/>
          <w:lang w:val="en-US"/>
        </w:rPr>
      </w:pPr>
      <w:proofErr w:type="spellStart"/>
      <w:r w:rsidRPr="00FC679C">
        <w:rPr>
          <w:sz w:val="22"/>
          <w:szCs w:val="22"/>
          <w:lang w:val="en-US"/>
        </w:rPr>
        <w:t>AquaTerra</w:t>
      </w:r>
      <w:proofErr w:type="spellEnd"/>
      <w:r w:rsidRPr="00FC679C">
        <w:rPr>
          <w:sz w:val="22"/>
          <w:szCs w:val="22"/>
          <w:lang w:val="en-US"/>
        </w:rPr>
        <w:t xml:space="preserve"> </w:t>
      </w:r>
      <w:r w:rsidRPr="00FC679C">
        <w:rPr>
          <w:rFonts w:ascii="Times New Roman" w:hAnsi="Times New Roman" w:cs="Times New Roman"/>
          <w:sz w:val="22"/>
          <w:szCs w:val="22"/>
          <w:lang w:val="en-US"/>
        </w:rPr>
        <w:t>↔</w:t>
      </w:r>
      <w:r w:rsidRPr="00FC679C">
        <w:rPr>
          <w:sz w:val="22"/>
          <w:szCs w:val="22"/>
          <w:lang w:val="en-US"/>
        </w:rPr>
        <w:t xml:space="preserve"> ESG/CSRD SaaS and its US sub-processor </w:t>
      </w:r>
    </w:p>
    <w:p w14:paraId="011C5611" w14:textId="77777777" w:rsidR="006F7EDE" w:rsidRPr="00FC679C" w:rsidRDefault="006F7EDE" w:rsidP="006F7EDE">
      <w:pPr>
        <w:numPr>
          <w:ilvl w:val="0"/>
          <w:numId w:val="41"/>
        </w:numPr>
        <w:spacing w:line="240" w:lineRule="auto"/>
        <w:jc w:val="both"/>
        <w:rPr>
          <w:sz w:val="22"/>
          <w:szCs w:val="22"/>
          <w:lang w:val="en-US"/>
        </w:rPr>
      </w:pPr>
      <w:proofErr w:type="spellStart"/>
      <w:r w:rsidRPr="00FC679C">
        <w:rPr>
          <w:sz w:val="22"/>
          <w:szCs w:val="22"/>
          <w:lang w:val="en-US"/>
        </w:rPr>
        <w:t>AquaTerra</w:t>
      </w:r>
      <w:proofErr w:type="spellEnd"/>
      <w:r w:rsidRPr="00FC679C">
        <w:rPr>
          <w:sz w:val="22"/>
          <w:szCs w:val="22"/>
          <w:lang w:val="en-US"/>
        </w:rPr>
        <w:t xml:space="preserve"> </w:t>
      </w:r>
      <w:r w:rsidRPr="00FC679C">
        <w:rPr>
          <w:rFonts w:ascii="Times New Roman" w:hAnsi="Times New Roman" w:cs="Times New Roman"/>
          <w:sz w:val="22"/>
          <w:szCs w:val="22"/>
          <w:lang w:val="en-US"/>
        </w:rPr>
        <w:t>↔</w:t>
      </w:r>
      <w:r w:rsidRPr="00FC679C">
        <w:rPr>
          <w:sz w:val="22"/>
          <w:szCs w:val="22"/>
          <w:lang w:val="en-US"/>
        </w:rPr>
        <w:t xml:space="preserve"> </w:t>
      </w:r>
      <w:proofErr w:type="spellStart"/>
      <w:r w:rsidRPr="00FC679C">
        <w:rPr>
          <w:sz w:val="22"/>
          <w:szCs w:val="22"/>
          <w:lang w:val="en-US"/>
        </w:rPr>
        <w:t>LoRaWAN</w:t>
      </w:r>
      <w:proofErr w:type="spellEnd"/>
      <w:r w:rsidRPr="00FC679C">
        <w:rPr>
          <w:sz w:val="22"/>
          <w:szCs w:val="22"/>
          <w:lang w:val="en-US"/>
        </w:rPr>
        <w:t xml:space="preserve"> Network Server (third-party operated) </w:t>
      </w:r>
    </w:p>
    <w:p w14:paraId="371E77BC" w14:textId="77777777" w:rsidR="006F7EDE" w:rsidRPr="00FC679C" w:rsidRDefault="006F7EDE" w:rsidP="006F7EDE">
      <w:pPr>
        <w:numPr>
          <w:ilvl w:val="0"/>
          <w:numId w:val="41"/>
        </w:numPr>
        <w:spacing w:line="240" w:lineRule="auto"/>
        <w:jc w:val="both"/>
        <w:rPr>
          <w:sz w:val="22"/>
          <w:szCs w:val="22"/>
          <w:lang w:val="en-US"/>
        </w:rPr>
      </w:pPr>
      <w:proofErr w:type="spellStart"/>
      <w:r w:rsidRPr="00FC679C">
        <w:rPr>
          <w:sz w:val="22"/>
          <w:szCs w:val="22"/>
          <w:lang w:val="en-US"/>
        </w:rPr>
        <w:t>AquaTerra</w:t>
      </w:r>
      <w:proofErr w:type="spellEnd"/>
      <w:r w:rsidRPr="00FC679C">
        <w:rPr>
          <w:sz w:val="22"/>
          <w:szCs w:val="22"/>
          <w:lang w:val="en-US"/>
        </w:rPr>
        <w:t xml:space="preserve"> </w:t>
      </w:r>
      <w:r w:rsidRPr="00FC679C">
        <w:rPr>
          <w:rFonts w:ascii="Times New Roman" w:hAnsi="Times New Roman" w:cs="Times New Roman"/>
          <w:sz w:val="22"/>
          <w:szCs w:val="22"/>
          <w:lang w:val="en-US"/>
        </w:rPr>
        <w:t>↔</w:t>
      </w:r>
      <w:r w:rsidRPr="00FC679C">
        <w:rPr>
          <w:sz w:val="22"/>
          <w:szCs w:val="22"/>
          <w:lang w:val="en-US"/>
        </w:rPr>
        <w:t xml:space="preserve"> SCADA OEM (remote-maintenance vendor) </w:t>
      </w:r>
    </w:p>
    <w:p w14:paraId="26E42B8F" w14:textId="77777777" w:rsidR="006F7EDE" w:rsidRPr="00FC679C" w:rsidRDefault="006F7EDE" w:rsidP="006F7EDE">
      <w:pPr>
        <w:numPr>
          <w:ilvl w:val="0"/>
          <w:numId w:val="41"/>
        </w:numPr>
        <w:spacing w:line="240" w:lineRule="auto"/>
        <w:jc w:val="both"/>
        <w:rPr>
          <w:sz w:val="22"/>
          <w:szCs w:val="22"/>
          <w:lang w:val="en-US"/>
        </w:rPr>
      </w:pPr>
      <w:r w:rsidRPr="00FC679C">
        <w:rPr>
          <w:sz w:val="22"/>
          <w:szCs w:val="22"/>
          <w:lang w:val="en-US"/>
        </w:rPr>
        <w:t xml:space="preserve">Internal </w:t>
      </w:r>
      <w:r w:rsidRPr="00FC679C">
        <w:rPr>
          <w:rFonts w:ascii="Times New Roman" w:hAnsi="Times New Roman" w:cs="Times New Roman"/>
          <w:sz w:val="22"/>
          <w:szCs w:val="22"/>
          <w:lang w:val="en-US"/>
        </w:rPr>
        <w:t>↔</w:t>
      </w:r>
      <w:r w:rsidRPr="00FC679C">
        <w:rPr>
          <w:sz w:val="22"/>
          <w:szCs w:val="22"/>
          <w:lang w:val="en-US"/>
        </w:rPr>
        <w:t xml:space="preserve"> Remote customer portal users </w:t>
      </w:r>
    </w:p>
    <w:p w14:paraId="1A67DE19" w14:textId="77777777" w:rsidR="006F7EDE" w:rsidRPr="00FC679C" w:rsidRDefault="006F7EDE" w:rsidP="006F7EDE">
      <w:pPr>
        <w:numPr>
          <w:ilvl w:val="0"/>
          <w:numId w:val="41"/>
        </w:numPr>
        <w:spacing w:line="240" w:lineRule="auto"/>
        <w:jc w:val="both"/>
        <w:rPr>
          <w:sz w:val="22"/>
          <w:szCs w:val="22"/>
          <w:lang w:val="en-US"/>
        </w:rPr>
      </w:pPr>
      <w:r w:rsidRPr="00FC679C">
        <w:rPr>
          <w:sz w:val="22"/>
          <w:szCs w:val="22"/>
          <w:lang w:val="en-US"/>
        </w:rPr>
        <w:t xml:space="preserve">Physical perimeter at unmanned sites </w:t>
      </w:r>
    </w:p>
    <w:p w14:paraId="1DC0340F" w14:textId="77777777" w:rsidR="006F7EDE" w:rsidRPr="00FC679C" w:rsidRDefault="006F7EDE" w:rsidP="006F7EDE">
      <w:pPr>
        <w:numPr>
          <w:ilvl w:val="0"/>
          <w:numId w:val="41"/>
        </w:numPr>
        <w:spacing w:line="240" w:lineRule="auto"/>
        <w:jc w:val="both"/>
        <w:rPr>
          <w:sz w:val="22"/>
          <w:szCs w:val="22"/>
          <w:lang w:val="en-US"/>
        </w:rPr>
      </w:pPr>
      <w:r w:rsidRPr="00FC679C">
        <w:rPr>
          <w:sz w:val="22"/>
          <w:szCs w:val="22"/>
          <w:lang w:val="en-US"/>
        </w:rPr>
        <w:t xml:space="preserve">EU/EEA </w:t>
      </w:r>
      <w:r w:rsidRPr="00FC679C">
        <w:rPr>
          <w:rFonts w:ascii="Times New Roman" w:hAnsi="Times New Roman" w:cs="Times New Roman"/>
          <w:sz w:val="22"/>
          <w:szCs w:val="22"/>
          <w:lang w:val="en-US"/>
        </w:rPr>
        <w:t>↔</w:t>
      </w:r>
      <w:r w:rsidRPr="00FC679C">
        <w:rPr>
          <w:sz w:val="22"/>
          <w:szCs w:val="22"/>
          <w:lang w:val="en-US"/>
        </w:rPr>
        <w:t xml:space="preserve"> </w:t>
      </w:r>
      <w:proofErr w:type="gramStart"/>
      <w:r w:rsidRPr="00FC679C">
        <w:rPr>
          <w:sz w:val="22"/>
          <w:szCs w:val="22"/>
          <w:lang w:val="en-US"/>
        </w:rPr>
        <w:t>Non-EU</w:t>
      </w:r>
      <w:proofErr w:type="gramEnd"/>
      <w:r w:rsidRPr="00FC679C">
        <w:rPr>
          <w:sz w:val="22"/>
          <w:szCs w:val="22"/>
          <w:lang w:val="en-US"/>
        </w:rPr>
        <w:t xml:space="preserve"> data transfers (ESG sub-processor) </w:t>
      </w:r>
    </w:p>
    <w:p w14:paraId="7199E828" w14:textId="77777777" w:rsidR="006F7EDE" w:rsidRPr="006F7EDE" w:rsidRDefault="006F7EDE" w:rsidP="006F7EDE">
      <w:pPr>
        <w:spacing w:line="240" w:lineRule="auto"/>
        <w:jc w:val="both"/>
        <w:rPr>
          <w:b/>
          <w:bCs/>
          <w:sz w:val="22"/>
          <w:szCs w:val="22"/>
          <w:lang w:val="en-US"/>
        </w:rPr>
      </w:pPr>
    </w:p>
    <w:p w14:paraId="386C3606" w14:textId="1A196977" w:rsidR="006F7EDE" w:rsidRPr="006F7EDE" w:rsidRDefault="006F7EDE" w:rsidP="006F7EDE">
      <w:pPr>
        <w:spacing w:line="240" w:lineRule="auto"/>
        <w:jc w:val="both"/>
        <w:rPr>
          <w:b/>
          <w:bCs/>
          <w:sz w:val="22"/>
          <w:szCs w:val="22"/>
          <w:lang w:val="en-US"/>
        </w:rPr>
      </w:pPr>
      <w:r w:rsidRPr="006F7EDE">
        <w:rPr>
          <w:b/>
          <w:bCs/>
          <w:noProof/>
          <w:sz w:val="22"/>
          <w:szCs w:val="22"/>
          <w:lang w:val="en-US"/>
        </w:rPr>
        <w:lastRenderedPageBreak/>
        <w:drawing>
          <wp:inline distT="0" distB="0" distL="0" distR="0" wp14:anchorId="0C66CB47" wp14:editId="4FFDFE08">
            <wp:extent cx="5951220" cy="3970020"/>
            <wp:effectExtent l="0" t="0" r="0" b="0"/>
            <wp:docPr id="1876793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51220" cy="3970020"/>
                    </a:xfrm>
                    <a:prstGeom prst="rect">
                      <a:avLst/>
                    </a:prstGeom>
                    <a:noFill/>
                    <a:ln>
                      <a:noFill/>
                    </a:ln>
                  </pic:spPr>
                </pic:pic>
              </a:graphicData>
            </a:graphic>
          </wp:inline>
        </w:drawing>
      </w:r>
    </w:p>
    <w:p w14:paraId="2A6168CF" w14:textId="77777777" w:rsidR="006F7EDE" w:rsidRPr="006F7EDE" w:rsidRDefault="006F7EDE" w:rsidP="006F7EDE">
      <w:pPr>
        <w:numPr>
          <w:ilvl w:val="0"/>
          <w:numId w:val="35"/>
        </w:numPr>
        <w:spacing w:line="240" w:lineRule="auto"/>
        <w:jc w:val="both"/>
        <w:rPr>
          <w:b/>
          <w:bCs/>
          <w:sz w:val="22"/>
          <w:szCs w:val="22"/>
          <w:lang w:val="en-US"/>
        </w:rPr>
      </w:pPr>
    </w:p>
    <w:p w14:paraId="75FEA4DD" w14:textId="77777777" w:rsidR="006F7EDE" w:rsidRPr="006F7EDE" w:rsidRDefault="006F7EDE" w:rsidP="006F7EDE">
      <w:pPr>
        <w:spacing w:line="240" w:lineRule="auto"/>
        <w:jc w:val="both"/>
        <w:rPr>
          <w:b/>
          <w:bCs/>
          <w:sz w:val="22"/>
          <w:szCs w:val="22"/>
          <w:lang w:val="en-US"/>
        </w:rPr>
      </w:pPr>
      <w:r w:rsidRPr="006F7EDE">
        <w:rPr>
          <w:b/>
          <w:bCs/>
          <w:sz w:val="22"/>
          <w:szCs w:val="22"/>
          <w:lang w:val="en-US"/>
        </w:rPr>
        <w:br w:type="page"/>
      </w:r>
    </w:p>
    <w:p w14:paraId="4507A00E" w14:textId="77777777" w:rsidR="006F7EDE" w:rsidRPr="006F7EDE" w:rsidRDefault="006F7EDE" w:rsidP="006F7EDE">
      <w:pPr>
        <w:numPr>
          <w:ilvl w:val="0"/>
          <w:numId w:val="35"/>
        </w:numPr>
        <w:spacing w:line="240" w:lineRule="auto"/>
        <w:jc w:val="both"/>
        <w:rPr>
          <w:b/>
          <w:bCs/>
          <w:sz w:val="22"/>
          <w:szCs w:val="22"/>
          <w:lang w:val="en-US"/>
        </w:rPr>
      </w:pPr>
      <w:r w:rsidRPr="006F7EDE">
        <w:rPr>
          <w:b/>
          <w:bCs/>
          <w:sz w:val="22"/>
          <w:szCs w:val="22"/>
          <w:lang w:val="en-US"/>
        </w:rPr>
        <w:lastRenderedPageBreak/>
        <w:t xml:space="preserve">Attack Scenario 1 — Billing Phishing </w:t>
      </w:r>
      <w:r w:rsidRPr="006F7EDE">
        <w:rPr>
          <w:rFonts w:ascii="Times New Roman" w:hAnsi="Times New Roman" w:cs="Times New Roman"/>
          <w:b/>
          <w:bCs/>
          <w:sz w:val="22"/>
          <w:szCs w:val="22"/>
          <w:lang w:val="en-US"/>
        </w:rPr>
        <w:t>→</w:t>
      </w:r>
      <w:r w:rsidRPr="006F7EDE">
        <w:rPr>
          <w:b/>
          <w:bCs/>
          <w:sz w:val="22"/>
          <w:szCs w:val="22"/>
          <w:lang w:val="en-US"/>
        </w:rPr>
        <w:t xml:space="preserve"> M365 Token Theft </w:t>
      </w:r>
      <w:r w:rsidRPr="006F7EDE">
        <w:rPr>
          <w:rFonts w:ascii="Times New Roman" w:hAnsi="Times New Roman" w:cs="Times New Roman"/>
          <w:b/>
          <w:bCs/>
          <w:sz w:val="22"/>
          <w:szCs w:val="22"/>
          <w:lang w:val="en-US"/>
        </w:rPr>
        <w:t>→</w:t>
      </w:r>
      <w:r w:rsidRPr="006F7EDE">
        <w:rPr>
          <w:b/>
          <w:bCs/>
          <w:sz w:val="22"/>
          <w:szCs w:val="22"/>
          <w:lang w:val="en-US"/>
        </w:rPr>
        <w:t xml:space="preserve"> SAP IS-U Exfiltration </w:t>
      </w:r>
      <w:r w:rsidRPr="006F7EDE">
        <w:rPr>
          <w:rFonts w:ascii="Times New Roman" w:hAnsi="Times New Roman" w:cs="Times New Roman"/>
          <w:b/>
          <w:bCs/>
          <w:sz w:val="22"/>
          <w:szCs w:val="22"/>
          <w:lang w:val="en-US"/>
        </w:rPr>
        <w:t>→</w:t>
      </w:r>
      <w:r w:rsidRPr="006F7EDE">
        <w:rPr>
          <w:b/>
          <w:bCs/>
          <w:sz w:val="22"/>
          <w:szCs w:val="22"/>
          <w:lang w:val="en-US"/>
        </w:rPr>
        <w:t xml:space="preserve"> IT Ransomware</w:t>
      </w:r>
    </w:p>
    <w:p w14:paraId="509416F8"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An attacker launches a highly targeted spear-phishing campaign against the finance and billing team, impersonating a national water-regulator officer requesting reconciliation of tariff data. The lure is a Microsoft-branded sign-in page delivered via a malicious attachment with a QR-code redirect (T1566.001 – </w:t>
      </w:r>
      <w:proofErr w:type="spellStart"/>
      <w:r w:rsidRPr="00FC679C">
        <w:rPr>
          <w:sz w:val="22"/>
          <w:szCs w:val="22"/>
          <w:lang w:val="en-US"/>
        </w:rPr>
        <w:t>Spearphishing</w:t>
      </w:r>
      <w:proofErr w:type="spellEnd"/>
      <w:r w:rsidRPr="00FC679C">
        <w:rPr>
          <w:sz w:val="22"/>
          <w:szCs w:val="22"/>
          <w:lang w:val="en-US"/>
        </w:rPr>
        <w:t xml:space="preserve"> Attachment). The user authenticates through a reverse-proxy phishing kit that captures the session cookie (T1566.002 – </w:t>
      </w:r>
      <w:proofErr w:type="spellStart"/>
      <w:r w:rsidRPr="00FC679C">
        <w:rPr>
          <w:sz w:val="22"/>
          <w:szCs w:val="22"/>
          <w:lang w:val="en-US"/>
        </w:rPr>
        <w:t>Spearphishing</w:t>
      </w:r>
      <w:proofErr w:type="spellEnd"/>
      <w:r w:rsidRPr="00FC679C">
        <w:rPr>
          <w:sz w:val="22"/>
          <w:szCs w:val="22"/>
          <w:lang w:val="en-US"/>
        </w:rPr>
        <w:t xml:space="preserve"> Link) and bypasses multi-factor authentication by replaying the stolen token (T1550.004 – Web Session Cookie; T1078.004 – Valid Accounts: Cloud).</w:t>
      </w:r>
    </w:p>
    <w:p w14:paraId="5C4218C9"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The adversary uses the hijacked identity to enumerate Entra ID groups, SharePoint sites and OneDrive content (T1087.004, T1082) and discovers a service-account credential stored in a finance runbook (T1552.001 – Credentials in Files). That account is reused against the on-premises SAP IS-U billing system (T1078), and internal reconnaissance continues over SMB, </w:t>
      </w:r>
      <w:proofErr w:type="spellStart"/>
      <w:r w:rsidRPr="00FC679C">
        <w:rPr>
          <w:sz w:val="22"/>
          <w:szCs w:val="22"/>
          <w:lang w:val="en-US"/>
        </w:rPr>
        <w:t>WinRM</w:t>
      </w:r>
      <w:proofErr w:type="spellEnd"/>
      <w:r w:rsidRPr="00FC679C">
        <w:rPr>
          <w:sz w:val="22"/>
          <w:szCs w:val="22"/>
          <w:lang w:val="en-US"/>
        </w:rPr>
        <w:t xml:space="preserve"> and MSSQL (T1021.002, T1021.006). Lateral movement reaches the customer self-service portal database and the CRM.</w:t>
      </w:r>
    </w:p>
    <w:p w14:paraId="6EBDB80D"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Approximately 420 000 half-hourly consumption profiles together with customer names, addresses, IBANs and contact details are staged and exfiltrated through a legitimate-looking OneDrive-for-Business share linked to a free-tier tenant (T1005 – Data from Local System; T1567.002 – Exfiltration to Cloud Storage). Immediately after exfiltration, the attacker deploys commodity ransomware across file servers, SAP application servers, the GIS database and the HR system (T1486 – Data Encrypted for Impact), after tampering with backup job schedules (T1490 – Inhibit System Recovery) and clearing Windows event logs (T1070.001). A </w:t>
      </w:r>
      <w:proofErr w:type="gramStart"/>
      <w:r w:rsidRPr="00FC679C">
        <w:rPr>
          <w:sz w:val="22"/>
          <w:szCs w:val="22"/>
          <w:lang w:val="en-US"/>
        </w:rPr>
        <w:t>double-extortion</w:t>
      </w:r>
      <w:proofErr w:type="gramEnd"/>
      <w:r w:rsidRPr="00FC679C">
        <w:rPr>
          <w:sz w:val="22"/>
          <w:szCs w:val="22"/>
          <w:lang w:val="en-US"/>
        </w:rPr>
        <w:t xml:space="preserve"> note demands payment to prevent publication of the billing data.</w:t>
      </w:r>
    </w:p>
    <w:p w14:paraId="7F4AAD2D"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Likelihood is high: public-sector and utility billing teams are well-understood phishing targets, session-cookie theft now bypasses most push-MFA, and consumption data is directly </w:t>
      </w:r>
      <w:proofErr w:type="spellStart"/>
      <w:r w:rsidRPr="00FC679C">
        <w:rPr>
          <w:sz w:val="22"/>
          <w:szCs w:val="22"/>
          <w:lang w:val="en-US"/>
        </w:rPr>
        <w:t>monetisable</w:t>
      </w:r>
      <w:proofErr w:type="spellEnd"/>
      <w:r w:rsidRPr="00FC679C">
        <w:rPr>
          <w:sz w:val="22"/>
          <w:szCs w:val="22"/>
          <w:lang w:val="en-US"/>
        </w:rPr>
        <w:t>. The dominant drivers are the human factor (Verizon DBIR), weak conditional-access policies, and credentials stored in documentation.</w:t>
      </w:r>
    </w:p>
    <w:p w14:paraId="6EE28B42" w14:textId="1C08231A" w:rsidR="006F7EDE" w:rsidRPr="006F7EDE" w:rsidRDefault="006F7EDE" w:rsidP="006F7EDE">
      <w:pPr>
        <w:spacing w:line="240" w:lineRule="auto"/>
        <w:jc w:val="both"/>
        <w:rPr>
          <w:b/>
          <w:bCs/>
          <w:sz w:val="22"/>
          <w:szCs w:val="22"/>
          <w:lang w:val="en-US"/>
        </w:rPr>
      </w:pPr>
      <w:r w:rsidRPr="006F7EDE">
        <w:rPr>
          <w:b/>
          <w:bCs/>
          <w:noProof/>
          <w:sz w:val="22"/>
          <w:szCs w:val="22"/>
          <w:lang w:val="en-US"/>
        </w:rPr>
        <w:lastRenderedPageBreak/>
        <w:drawing>
          <wp:inline distT="0" distB="0" distL="0" distR="0" wp14:anchorId="5E9108EE" wp14:editId="4150B35E">
            <wp:extent cx="5478780" cy="3093720"/>
            <wp:effectExtent l="0" t="0" r="7620" b="0"/>
            <wp:docPr id="3561541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78780" cy="3093720"/>
                    </a:xfrm>
                    <a:prstGeom prst="rect">
                      <a:avLst/>
                    </a:prstGeom>
                    <a:noFill/>
                    <a:ln>
                      <a:noFill/>
                    </a:ln>
                  </pic:spPr>
                </pic:pic>
              </a:graphicData>
            </a:graphic>
          </wp:inline>
        </w:drawing>
      </w:r>
    </w:p>
    <w:p w14:paraId="0405632F" w14:textId="77777777" w:rsidR="006F7EDE" w:rsidRPr="006F7EDE" w:rsidRDefault="006F7EDE" w:rsidP="006F7EDE">
      <w:pPr>
        <w:numPr>
          <w:ilvl w:val="0"/>
          <w:numId w:val="35"/>
        </w:numPr>
        <w:spacing w:line="240" w:lineRule="auto"/>
        <w:jc w:val="both"/>
        <w:rPr>
          <w:b/>
          <w:bCs/>
          <w:sz w:val="22"/>
          <w:szCs w:val="22"/>
          <w:lang w:val="en-US"/>
        </w:rPr>
      </w:pPr>
    </w:p>
    <w:p w14:paraId="5DBAAD75" w14:textId="77777777" w:rsidR="006F7EDE" w:rsidRPr="006F7EDE" w:rsidRDefault="006F7EDE" w:rsidP="006F7EDE">
      <w:pPr>
        <w:spacing w:line="240" w:lineRule="auto"/>
        <w:jc w:val="both"/>
        <w:rPr>
          <w:b/>
          <w:bCs/>
          <w:sz w:val="22"/>
          <w:szCs w:val="22"/>
          <w:lang w:val="en-US"/>
        </w:rPr>
      </w:pPr>
      <w:r w:rsidRPr="006F7EDE">
        <w:rPr>
          <w:b/>
          <w:bCs/>
          <w:sz w:val="22"/>
          <w:szCs w:val="22"/>
          <w:lang w:val="en-US"/>
        </w:rPr>
        <w:br w:type="page"/>
      </w:r>
    </w:p>
    <w:p w14:paraId="5D9D41DC" w14:textId="77777777" w:rsidR="006F7EDE" w:rsidRPr="006F7EDE" w:rsidRDefault="006F7EDE" w:rsidP="006F7EDE">
      <w:pPr>
        <w:numPr>
          <w:ilvl w:val="0"/>
          <w:numId w:val="35"/>
        </w:numPr>
        <w:spacing w:line="240" w:lineRule="auto"/>
        <w:jc w:val="both"/>
        <w:rPr>
          <w:b/>
          <w:bCs/>
          <w:sz w:val="22"/>
          <w:szCs w:val="22"/>
          <w:lang w:val="en-US"/>
        </w:rPr>
      </w:pPr>
      <w:r w:rsidRPr="006F7EDE">
        <w:rPr>
          <w:b/>
          <w:bCs/>
          <w:sz w:val="22"/>
          <w:szCs w:val="22"/>
          <w:lang w:val="en-US"/>
        </w:rPr>
        <w:lastRenderedPageBreak/>
        <w:t xml:space="preserve">Attack Scenario 2 — </w:t>
      </w:r>
      <w:proofErr w:type="spellStart"/>
      <w:r w:rsidRPr="006F7EDE">
        <w:rPr>
          <w:b/>
          <w:bCs/>
          <w:sz w:val="22"/>
          <w:szCs w:val="22"/>
          <w:lang w:val="en-US"/>
        </w:rPr>
        <w:t>LoRaWAN</w:t>
      </w:r>
      <w:proofErr w:type="spellEnd"/>
      <w:r w:rsidRPr="006F7EDE">
        <w:rPr>
          <w:b/>
          <w:bCs/>
          <w:sz w:val="22"/>
          <w:szCs w:val="22"/>
          <w:lang w:val="en-US"/>
        </w:rPr>
        <w:t xml:space="preserve"> Supply-Chain Compromise </w:t>
      </w:r>
      <w:r w:rsidRPr="006F7EDE">
        <w:rPr>
          <w:rFonts w:ascii="Times New Roman" w:hAnsi="Times New Roman" w:cs="Times New Roman"/>
          <w:b/>
          <w:bCs/>
          <w:sz w:val="22"/>
          <w:szCs w:val="22"/>
          <w:lang w:val="en-US"/>
        </w:rPr>
        <w:t>→</w:t>
      </w:r>
      <w:r w:rsidRPr="006F7EDE">
        <w:rPr>
          <w:b/>
          <w:bCs/>
          <w:sz w:val="22"/>
          <w:szCs w:val="22"/>
          <w:lang w:val="en-US"/>
        </w:rPr>
        <w:t xml:space="preserve"> Water-Quality Sensor Spoofing </w:t>
      </w:r>
      <w:r w:rsidRPr="006F7EDE">
        <w:rPr>
          <w:rFonts w:ascii="Times New Roman" w:hAnsi="Times New Roman" w:cs="Times New Roman"/>
          <w:b/>
          <w:bCs/>
          <w:sz w:val="22"/>
          <w:szCs w:val="22"/>
          <w:lang w:val="en-US"/>
        </w:rPr>
        <w:t>→</w:t>
      </w:r>
      <w:r w:rsidRPr="006F7EDE">
        <w:rPr>
          <w:b/>
          <w:bCs/>
          <w:sz w:val="22"/>
          <w:szCs w:val="22"/>
          <w:lang w:val="en-US"/>
        </w:rPr>
        <w:t xml:space="preserve"> Chemical Mis-dosing</w:t>
      </w:r>
    </w:p>
    <w:p w14:paraId="74F48563"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The attacker compromises the third-party </w:t>
      </w:r>
      <w:proofErr w:type="spellStart"/>
      <w:r w:rsidRPr="00FC679C">
        <w:rPr>
          <w:sz w:val="22"/>
          <w:szCs w:val="22"/>
          <w:lang w:val="en-US"/>
        </w:rPr>
        <w:t>LoRaWAN</w:t>
      </w:r>
      <w:proofErr w:type="spellEnd"/>
      <w:r w:rsidRPr="00FC679C">
        <w:rPr>
          <w:sz w:val="22"/>
          <w:szCs w:val="22"/>
          <w:lang w:val="en-US"/>
        </w:rPr>
        <w:t xml:space="preserve"> Network Server operator by breaching a CI/CD pipeline used to publish firmware images for the concentrators and an update to the Network Server itself (T0862 – Supply Chain Compromise; T0817 – Drive-by Compromise on the vendor's developer portal). A </w:t>
      </w:r>
      <w:proofErr w:type="spellStart"/>
      <w:r w:rsidRPr="00FC679C">
        <w:rPr>
          <w:sz w:val="22"/>
          <w:szCs w:val="22"/>
          <w:lang w:val="en-US"/>
        </w:rPr>
        <w:t>trojanised</w:t>
      </w:r>
      <w:proofErr w:type="spellEnd"/>
      <w:r w:rsidRPr="00FC679C">
        <w:rPr>
          <w:sz w:val="22"/>
          <w:szCs w:val="22"/>
          <w:lang w:val="en-US"/>
        </w:rPr>
        <w:t xml:space="preserve"> release is signed with the vendor's legitimate code-signing key and distributed to </w:t>
      </w:r>
      <w:proofErr w:type="spellStart"/>
      <w:r w:rsidRPr="00FC679C">
        <w:rPr>
          <w:sz w:val="22"/>
          <w:szCs w:val="22"/>
          <w:lang w:val="en-US"/>
        </w:rPr>
        <w:t>AquaTerra's</w:t>
      </w:r>
      <w:proofErr w:type="spellEnd"/>
      <w:r w:rsidRPr="00FC679C">
        <w:rPr>
          <w:sz w:val="22"/>
          <w:szCs w:val="22"/>
          <w:lang w:val="en-US"/>
        </w:rPr>
        <w:t xml:space="preserve"> edge gateways and to the Network Server core, establishing covert command-and-control over MQTT (T0859 – Valid Accounts; T0885 – Commonly Used Port).</w:t>
      </w:r>
    </w:p>
    <w:p w14:paraId="63AE1974" w14:textId="77777777" w:rsidR="006F7EDE" w:rsidRPr="00FC679C" w:rsidRDefault="006F7EDE" w:rsidP="006F7EDE">
      <w:pPr>
        <w:spacing w:line="240" w:lineRule="auto"/>
        <w:jc w:val="both"/>
        <w:rPr>
          <w:sz w:val="22"/>
          <w:szCs w:val="22"/>
          <w:lang w:val="en-US"/>
        </w:rPr>
      </w:pPr>
      <w:r w:rsidRPr="00FC679C">
        <w:rPr>
          <w:sz w:val="22"/>
          <w:szCs w:val="22"/>
          <w:lang w:val="en-US"/>
        </w:rPr>
        <w:t>With root access on the Network Server, the adversary impersonates water-quality sensors and injects falsified pH, turbidity and residual-chlorine payloads into the uplink stream (T0856 – Spoof Reporting Message; T0855 – Unauthorized Command Message). The SCADA HMI at Site 1 trusts these readings and the automated dosing logic under-doses sodium hypochlorite while simultaneously over-dosing coagulant (T0836 – Modify Parameter; T0831 – Manipulation of Control). Cross-checks against laboratory samples are delayed because the attacker has also suppressed alarms by blocking specific uplink frames (T0814 – Denial of Service; T0839 – Module Firmware).</w:t>
      </w:r>
    </w:p>
    <w:p w14:paraId="291365F6" w14:textId="77777777" w:rsidR="006F7EDE" w:rsidRPr="00FC679C" w:rsidRDefault="006F7EDE" w:rsidP="006F7EDE">
      <w:pPr>
        <w:spacing w:line="240" w:lineRule="auto"/>
        <w:jc w:val="both"/>
        <w:rPr>
          <w:sz w:val="22"/>
          <w:szCs w:val="22"/>
          <w:lang w:val="en-US"/>
        </w:rPr>
      </w:pPr>
      <w:r w:rsidRPr="00FC679C">
        <w:rPr>
          <w:sz w:val="22"/>
          <w:szCs w:val="22"/>
          <w:lang w:val="en-US"/>
        </w:rPr>
        <w:t>Concurrently, the attacker enumerates the AMI head-end and pivots towards the Aarhus pumping stations via the legacy Modbus TCP network, where unauthenticated function codes allow direct register writes against the pump PLCs (T0886 – Remote Services; T0836; T0855). The compound effect is a cyber-physical contamination incident: unsafe residual-chlorine levels in the distribution network, a boil-water advisory for an affected municipality, and an immediate notification obligation under the Drinking Water Directive, NIS2 Art. 23 and national public-health legislation.</w:t>
      </w:r>
    </w:p>
    <w:p w14:paraId="683B5AA4"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Likelihood is rated high–to–medium: </w:t>
      </w:r>
      <w:proofErr w:type="spellStart"/>
      <w:r w:rsidRPr="00FC679C">
        <w:rPr>
          <w:sz w:val="22"/>
          <w:szCs w:val="22"/>
          <w:lang w:val="en-US"/>
        </w:rPr>
        <w:t>LoRaWAN</w:t>
      </w:r>
      <w:proofErr w:type="spellEnd"/>
      <w:r w:rsidRPr="00FC679C">
        <w:rPr>
          <w:sz w:val="22"/>
          <w:szCs w:val="22"/>
          <w:lang w:val="en-US"/>
        </w:rPr>
        <w:t xml:space="preserve"> supply chains remain immature, code-signing keys are often exposed in build systems, and unauthenticated Modbus remains pervasive. The driving factors are implicit trust across IoT/OT tiers and the absence of integrity checks on sensor payloads.</w:t>
      </w:r>
    </w:p>
    <w:p w14:paraId="48114255" w14:textId="230B8B7A" w:rsidR="006F7EDE" w:rsidRPr="006F7EDE" w:rsidRDefault="006F7EDE" w:rsidP="006F7EDE">
      <w:pPr>
        <w:spacing w:line="240" w:lineRule="auto"/>
        <w:jc w:val="both"/>
        <w:rPr>
          <w:b/>
          <w:bCs/>
          <w:sz w:val="22"/>
          <w:szCs w:val="22"/>
          <w:lang w:val="en-US"/>
        </w:rPr>
      </w:pPr>
      <w:r w:rsidRPr="006F7EDE">
        <w:rPr>
          <w:b/>
          <w:bCs/>
          <w:noProof/>
          <w:sz w:val="22"/>
          <w:szCs w:val="22"/>
          <w:lang w:val="en-US"/>
        </w:rPr>
        <w:lastRenderedPageBreak/>
        <w:drawing>
          <wp:inline distT="0" distB="0" distL="0" distR="0" wp14:anchorId="7D107DC1" wp14:editId="08A1C6B5">
            <wp:extent cx="5478780" cy="3093720"/>
            <wp:effectExtent l="0" t="0" r="7620" b="0"/>
            <wp:docPr id="2545376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78780" cy="3093720"/>
                    </a:xfrm>
                    <a:prstGeom prst="rect">
                      <a:avLst/>
                    </a:prstGeom>
                    <a:noFill/>
                    <a:ln>
                      <a:noFill/>
                    </a:ln>
                  </pic:spPr>
                </pic:pic>
              </a:graphicData>
            </a:graphic>
          </wp:inline>
        </w:drawing>
      </w:r>
    </w:p>
    <w:p w14:paraId="592AA147" w14:textId="77777777" w:rsidR="006F7EDE" w:rsidRPr="006F7EDE" w:rsidRDefault="006F7EDE" w:rsidP="006F7EDE">
      <w:pPr>
        <w:numPr>
          <w:ilvl w:val="0"/>
          <w:numId w:val="35"/>
        </w:numPr>
        <w:spacing w:line="240" w:lineRule="auto"/>
        <w:jc w:val="both"/>
        <w:rPr>
          <w:b/>
          <w:bCs/>
          <w:sz w:val="22"/>
          <w:szCs w:val="22"/>
          <w:lang w:val="en-US"/>
        </w:rPr>
      </w:pPr>
    </w:p>
    <w:p w14:paraId="5379F7EF" w14:textId="77777777" w:rsidR="006F7EDE" w:rsidRPr="006F7EDE" w:rsidRDefault="006F7EDE" w:rsidP="006F7EDE">
      <w:pPr>
        <w:spacing w:line="240" w:lineRule="auto"/>
        <w:jc w:val="both"/>
        <w:rPr>
          <w:b/>
          <w:bCs/>
          <w:sz w:val="22"/>
          <w:szCs w:val="22"/>
          <w:lang w:val="en-US"/>
        </w:rPr>
      </w:pPr>
      <w:r w:rsidRPr="006F7EDE">
        <w:rPr>
          <w:b/>
          <w:bCs/>
          <w:sz w:val="22"/>
          <w:szCs w:val="22"/>
          <w:lang w:val="en-US"/>
        </w:rPr>
        <w:br w:type="page"/>
      </w:r>
    </w:p>
    <w:p w14:paraId="09296F2F" w14:textId="77777777" w:rsidR="006F7EDE" w:rsidRPr="006F7EDE" w:rsidRDefault="006F7EDE" w:rsidP="006F7EDE">
      <w:pPr>
        <w:numPr>
          <w:ilvl w:val="0"/>
          <w:numId w:val="35"/>
        </w:numPr>
        <w:spacing w:line="240" w:lineRule="auto"/>
        <w:jc w:val="both"/>
        <w:rPr>
          <w:b/>
          <w:bCs/>
          <w:sz w:val="22"/>
          <w:szCs w:val="22"/>
          <w:lang w:val="en-US"/>
        </w:rPr>
      </w:pPr>
      <w:r w:rsidRPr="006F7EDE">
        <w:rPr>
          <w:b/>
          <w:bCs/>
          <w:sz w:val="22"/>
          <w:szCs w:val="22"/>
          <w:lang w:val="en-US"/>
        </w:rPr>
        <w:lastRenderedPageBreak/>
        <w:t xml:space="preserve">Attack Scenario 3 — OEM Remote-Maintenance Foothold </w:t>
      </w:r>
      <w:r w:rsidRPr="006F7EDE">
        <w:rPr>
          <w:rFonts w:ascii="Times New Roman" w:hAnsi="Times New Roman" w:cs="Times New Roman"/>
          <w:b/>
          <w:bCs/>
          <w:sz w:val="22"/>
          <w:szCs w:val="22"/>
          <w:lang w:val="en-US"/>
        </w:rPr>
        <w:t>→</w:t>
      </w:r>
      <w:r w:rsidRPr="006F7EDE">
        <w:rPr>
          <w:b/>
          <w:bCs/>
          <w:sz w:val="22"/>
          <w:szCs w:val="22"/>
          <w:lang w:val="en-US"/>
        </w:rPr>
        <w:t xml:space="preserve"> Stealth Persistence </w:t>
      </w:r>
      <w:r w:rsidRPr="006F7EDE">
        <w:rPr>
          <w:rFonts w:ascii="Times New Roman" w:hAnsi="Times New Roman" w:cs="Times New Roman"/>
          <w:b/>
          <w:bCs/>
          <w:sz w:val="22"/>
          <w:szCs w:val="22"/>
          <w:lang w:val="en-US"/>
        </w:rPr>
        <w:t>→</w:t>
      </w:r>
      <w:r w:rsidRPr="006F7EDE">
        <w:rPr>
          <w:b/>
          <w:bCs/>
          <w:sz w:val="22"/>
          <w:szCs w:val="22"/>
          <w:lang w:val="en-US"/>
        </w:rPr>
        <w:t xml:space="preserve"> Historian Ransomware and Regulatory Collapse (used for PBL)</w:t>
      </w:r>
    </w:p>
    <w:p w14:paraId="159B0C02"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A SCADA OEM field engineer is infected by an infostealer after installing a cracked utility on a personal laptop that is later reused for a remote-maintenance session into </w:t>
      </w:r>
      <w:proofErr w:type="spellStart"/>
      <w:r w:rsidRPr="00FC679C">
        <w:rPr>
          <w:sz w:val="22"/>
          <w:szCs w:val="22"/>
          <w:lang w:val="en-US"/>
        </w:rPr>
        <w:t>AquaTerra</w:t>
      </w:r>
      <w:proofErr w:type="spellEnd"/>
      <w:r w:rsidRPr="00FC679C">
        <w:rPr>
          <w:sz w:val="22"/>
          <w:szCs w:val="22"/>
          <w:lang w:val="en-US"/>
        </w:rPr>
        <w:t xml:space="preserve"> (T1555 – Credentials from Password Stores; T1133 – External Remote Services). The stolen credentials, combined with a soft certificate exported from the jump host's keystore, grant the attacker access to the OT DMZ from a plausible geolocation and during an approved change window (T1078 – Valid Accounts).</w:t>
      </w:r>
    </w:p>
    <w:p w14:paraId="78286976" w14:textId="77777777" w:rsidR="006F7EDE" w:rsidRPr="00FC679C" w:rsidRDefault="006F7EDE" w:rsidP="006F7EDE">
      <w:pPr>
        <w:spacing w:line="240" w:lineRule="auto"/>
        <w:jc w:val="both"/>
        <w:rPr>
          <w:sz w:val="22"/>
          <w:szCs w:val="22"/>
          <w:lang w:val="en-US"/>
        </w:rPr>
      </w:pPr>
      <w:r w:rsidRPr="00FC679C">
        <w:rPr>
          <w:sz w:val="22"/>
          <w:szCs w:val="22"/>
          <w:lang w:val="en-US"/>
        </w:rPr>
        <w:t xml:space="preserve">For several weeks the adversary performs slow, low-and-slow reconnaissance (T1083 – File and Directory Discovery; T1018 – Remote System Discovery) while disabling endpoint logging on specific hosts (T1562.001 – Impair </w:t>
      </w:r>
      <w:proofErr w:type="spellStart"/>
      <w:r w:rsidRPr="00FC679C">
        <w:rPr>
          <w:sz w:val="22"/>
          <w:szCs w:val="22"/>
          <w:lang w:val="en-US"/>
        </w:rPr>
        <w:t>Defences</w:t>
      </w:r>
      <w:proofErr w:type="spellEnd"/>
      <w:r w:rsidRPr="00FC679C">
        <w:rPr>
          <w:sz w:val="22"/>
          <w:szCs w:val="22"/>
          <w:lang w:val="en-US"/>
        </w:rPr>
        <w:t xml:space="preserve">: Disable or Modify Tools) and clearing selective log entries (T1070.001 – Clear Windows Event Logs). </w:t>
      </w:r>
      <w:proofErr w:type="spellStart"/>
      <w:r w:rsidRPr="00FC679C">
        <w:rPr>
          <w:sz w:val="22"/>
          <w:szCs w:val="22"/>
          <w:lang w:val="en-US"/>
        </w:rPr>
        <w:t>Kerberoasting</w:t>
      </w:r>
      <w:proofErr w:type="spellEnd"/>
      <w:r w:rsidRPr="00FC679C">
        <w:rPr>
          <w:sz w:val="22"/>
          <w:szCs w:val="22"/>
          <w:lang w:val="en-US"/>
        </w:rPr>
        <w:t xml:space="preserve"> of service accounts yields privileged access to the Active Directory forest (T1558.003), and lateral movement continues with PowerShell and </w:t>
      </w:r>
      <w:proofErr w:type="spellStart"/>
      <w:r w:rsidRPr="00FC679C">
        <w:rPr>
          <w:sz w:val="22"/>
          <w:szCs w:val="22"/>
          <w:lang w:val="en-US"/>
        </w:rPr>
        <w:t>PsExec</w:t>
      </w:r>
      <w:proofErr w:type="spellEnd"/>
      <w:r w:rsidRPr="00FC679C">
        <w:rPr>
          <w:sz w:val="22"/>
          <w:szCs w:val="22"/>
          <w:lang w:val="en-US"/>
        </w:rPr>
        <w:t xml:space="preserve"> (T1059.001, T1021.002). The historian (AVEVA PI), ESG data staging area and the SAP IS-U landscape are mapped, and the backup infrastructure is silently </w:t>
      </w:r>
      <w:proofErr w:type="spellStart"/>
      <w:r w:rsidRPr="00FC679C">
        <w:rPr>
          <w:sz w:val="22"/>
          <w:szCs w:val="22"/>
          <w:lang w:val="en-US"/>
        </w:rPr>
        <w:t>neutralised</w:t>
      </w:r>
      <w:proofErr w:type="spellEnd"/>
      <w:r w:rsidRPr="00FC679C">
        <w:rPr>
          <w:sz w:val="22"/>
          <w:szCs w:val="22"/>
          <w:lang w:val="en-US"/>
        </w:rPr>
        <w:t xml:space="preserve"> — scheduled jobs are disabled and immutable snapshot policies are quietly relaxed (T1490 – Inhibit System Recovery).</w:t>
      </w:r>
    </w:p>
    <w:p w14:paraId="4162D1AC" w14:textId="77777777" w:rsidR="006F7EDE" w:rsidRPr="00FC679C" w:rsidRDefault="006F7EDE" w:rsidP="006F7EDE">
      <w:pPr>
        <w:spacing w:line="240" w:lineRule="auto"/>
        <w:jc w:val="both"/>
        <w:rPr>
          <w:sz w:val="22"/>
          <w:szCs w:val="22"/>
          <w:lang w:val="en-US"/>
        </w:rPr>
      </w:pPr>
      <w:r w:rsidRPr="00FC679C">
        <w:rPr>
          <w:sz w:val="22"/>
          <w:szCs w:val="22"/>
          <w:lang w:val="en-US"/>
        </w:rPr>
        <w:t>The adversary also exfiltrates staged personal data from HR and the customer portal (T1005; T1041 – Exfiltration Over C2 Channel) to prepare a secondary extortion lever. On a chosen night coinciding with a national holiday, ransomware is detonated simultaneously on IT, on the historian and on the ESG reporting landscape (T1486 – Data Encrypted for Impact). SCADA remains nominally operational, but the loss of the historian breaks CSRD ESRS E3 reporting continuity, leak-detection ML is blinded, and NIS2 Art. 23 significant-incident notification windows are triggered. Delayed breach notification under GDPR Arts. 33/34, combined with evidence that logging was disabled, creates a compounded regulatory-collapse scenario.</w:t>
      </w:r>
    </w:p>
    <w:p w14:paraId="07128C6E" w14:textId="77777777" w:rsidR="006F7EDE" w:rsidRPr="00FC679C" w:rsidRDefault="006F7EDE" w:rsidP="006F7EDE">
      <w:pPr>
        <w:spacing w:line="240" w:lineRule="auto"/>
        <w:jc w:val="both"/>
        <w:rPr>
          <w:sz w:val="22"/>
          <w:szCs w:val="22"/>
          <w:lang w:val="en-US"/>
        </w:rPr>
      </w:pPr>
      <w:r w:rsidRPr="00FC679C">
        <w:rPr>
          <w:sz w:val="22"/>
          <w:szCs w:val="22"/>
          <w:lang w:val="en-US"/>
        </w:rPr>
        <w:t>Likelihood is very high: compromised credentials and third-party remote-access paths remain the most common intrusion vectors in critical-infrastructure incidents, and dwell times measured in weeks are consistent with observed ransomware groups targeting utilities. The driving factors are trust in OEM maintenance paths, insufficient segmentation of the jump host, and fragile backup governance.</w:t>
      </w:r>
    </w:p>
    <w:p w14:paraId="6DA1FC60" w14:textId="5D520405" w:rsidR="006F7EDE" w:rsidRPr="006F7EDE" w:rsidRDefault="006F7EDE" w:rsidP="006F7EDE">
      <w:pPr>
        <w:spacing w:line="240" w:lineRule="auto"/>
        <w:jc w:val="both"/>
        <w:rPr>
          <w:b/>
          <w:bCs/>
          <w:sz w:val="22"/>
          <w:szCs w:val="22"/>
          <w:lang w:val="en-US"/>
        </w:rPr>
      </w:pPr>
      <w:r w:rsidRPr="006F7EDE">
        <w:rPr>
          <w:b/>
          <w:bCs/>
          <w:noProof/>
          <w:sz w:val="22"/>
          <w:szCs w:val="22"/>
          <w:lang w:val="en-US"/>
        </w:rPr>
        <w:lastRenderedPageBreak/>
        <w:drawing>
          <wp:inline distT="0" distB="0" distL="0" distR="0" wp14:anchorId="7CB55982" wp14:editId="54CAF18E">
            <wp:extent cx="5577840" cy="3139440"/>
            <wp:effectExtent l="0" t="0" r="3810" b="3810"/>
            <wp:docPr id="9831641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77840" cy="3139440"/>
                    </a:xfrm>
                    <a:prstGeom prst="rect">
                      <a:avLst/>
                    </a:prstGeom>
                    <a:noFill/>
                    <a:ln>
                      <a:noFill/>
                    </a:ln>
                  </pic:spPr>
                </pic:pic>
              </a:graphicData>
            </a:graphic>
          </wp:inline>
        </w:drawing>
      </w:r>
    </w:p>
    <w:p w14:paraId="4A19DEF5" w14:textId="55C1F1D1" w:rsidR="004267D3" w:rsidRPr="00E551B9" w:rsidRDefault="004267D3" w:rsidP="006F7EDE">
      <w:pPr>
        <w:spacing w:line="240" w:lineRule="auto"/>
        <w:jc w:val="both"/>
        <w:rPr>
          <w:b/>
          <w:bCs/>
          <w:sz w:val="22"/>
          <w:szCs w:val="22"/>
          <w:lang w:val="hr-HR"/>
        </w:rPr>
      </w:pPr>
    </w:p>
    <w:sectPr w:rsidR="004267D3" w:rsidRPr="00E551B9">
      <w:headerReference w:type="default" r:id="rId16"/>
      <w:footerReference w:type="default" r:id="rId17"/>
      <w:headerReference w:type="first" r:id="rId18"/>
      <w:footerReference w:type="first" r:id="rId19"/>
      <w:pgSz w:w="11906" w:h="16838"/>
      <w:pgMar w:top="1417" w:right="1134" w:bottom="1134" w:left="1134" w:header="454" w:footer="510" w:gutter="0"/>
      <w:pgNumType w:start="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1B01DC" w14:textId="77777777" w:rsidR="00003872" w:rsidRDefault="00003872">
      <w:pPr>
        <w:spacing w:after="0" w:line="240" w:lineRule="auto"/>
      </w:pPr>
      <w:r>
        <w:separator/>
      </w:r>
    </w:p>
  </w:endnote>
  <w:endnote w:type="continuationSeparator" w:id="0">
    <w:p w14:paraId="2C3EFD9D" w14:textId="77777777" w:rsidR="00003872" w:rsidRDefault="000038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oppins">
    <w:charset w:val="EE"/>
    <w:family w:val="auto"/>
    <w:pitch w:val="variable"/>
    <w:sig w:usb0="00008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tillium Web Bold">
    <w:altName w:val="Titillium Web"/>
    <w:panose1 w:val="00000000000000000000"/>
    <w:charset w:val="00"/>
    <w:family w:val="roman"/>
    <w:notTrueType/>
    <w:pitch w:val="default"/>
  </w:font>
  <w:font w:name="Work Sans SemiBold">
    <w:charset w:val="EE"/>
    <w:family w:val="auto"/>
    <w:pitch w:val="variable"/>
    <w:sig w:usb0="A00000FF" w:usb1="5000E07B" w:usb2="00000000" w:usb3="00000000" w:csb0="00000193" w:csb1="00000000"/>
  </w:font>
  <w:font w:name="Noto Sans">
    <w:charset w:val="00"/>
    <w:family w:val="swiss"/>
    <w:pitch w:val="variable"/>
    <w:sig w:usb0="E00082FF" w:usb1="400078FF" w:usb2="00000021" w:usb3="00000000" w:csb0="0000019F" w:csb1="00000000"/>
  </w:font>
  <w:font w:name="Poppins Medium">
    <w:charset w:val="EE"/>
    <w:family w:val="auto"/>
    <w:pitch w:val="variable"/>
    <w:sig w:usb0="00008007" w:usb1="00000000" w:usb2="00000000" w:usb3="00000000" w:csb0="00000093" w:csb1="00000000"/>
  </w:font>
  <w:font w:name="Poppins SemiBold">
    <w:charset w:val="EE"/>
    <w:family w:val="auto"/>
    <w:pitch w:val="variable"/>
    <w:sig w:usb0="00008007" w:usb1="00000000" w:usb2="00000000" w:usb3="00000000" w:csb0="00000093" w:csb1="00000000"/>
  </w:font>
  <w:font w:name="Work Sans">
    <w:charset w:val="EE"/>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C394D" w14:textId="1B096A4A" w:rsidR="00975FAA" w:rsidRPr="00E551B9" w:rsidRDefault="00000000">
    <w:pPr>
      <w:pStyle w:val="Header"/>
      <w:jc w:val="both"/>
      <w:rPr>
        <w:color w:val="A6A6A6"/>
      </w:rPr>
    </w:pPr>
    <w:r>
      <w:rPr>
        <w:noProof/>
      </w:rPr>
      <w:drawing>
        <wp:anchor distT="0" distB="0" distL="114300" distR="114300" simplePos="0" relativeHeight="251660288" behindDoc="1" locked="0" layoutInCell="1" allowOverlap="1" wp14:anchorId="2B9311B9" wp14:editId="441BAE70">
          <wp:simplePos x="0" y="0"/>
          <wp:positionH relativeFrom="column">
            <wp:posOffset>4244340</wp:posOffset>
          </wp:positionH>
          <wp:positionV relativeFrom="paragraph">
            <wp:posOffset>144780</wp:posOffset>
          </wp:positionV>
          <wp:extent cx="1615440" cy="358775"/>
          <wp:effectExtent l="0" t="0" r="0" b="0"/>
          <wp:wrapNone/>
          <wp:docPr id="3" name="Picture 1"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pic:nvPicPr>
                <pic:blipFill>
                  <a:blip r:embed="rId1"/>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PlaceholderText"/>
        <w:color w:val="A6A6A6"/>
      </w:rPr>
      <w:t>D4Sus</w:t>
    </w:r>
    <w:r w:rsidR="004267D3">
      <w:rPr>
        <w:rStyle w:val="PlaceholderText"/>
        <w:color w:val="A6A6A6"/>
      </w:rPr>
      <w:t>tainability_</w:t>
    </w:r>
    <w:r w:rsidR="000D7C04">
      <w:rPr>
        <w:rStyle w:val="PlaceholderText"/>
        <w:color w:val="A6A6A6"/>
      </w:rPr>
      <w:t>Resource: Sustainability Data Essentials</w:t>
    </w:r>
    <w:r w:rsidR="004267D3">
      <w:rPr>
        <w:rStyle w:val="PlaceholderText"/>
        <w:color w:val="A6A6A6"/>
      </w:rPr>
      <w:t xml:space="preserve"> </w:t>
    </w:r>
    <w:r>
      <w:rPr>
        <w:rStyle w:val="PlaceholderText"/>
        <w:color w:val="A6A6A6"/>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F8CDC3" w14:textId="77777777" w:rsidR="00975FAA" w:rsidRDefault="00975FAA">
    <w:pPr>
      <w:pStyle w:val="Footer"/>
    </w:pPr>
  </w:p>
  <w:p w14:paraId="74FA7D4A" w14:textId="77777777" w:rsidR="00975FAA" w:rsidRDefault="00975FAA">
    <w:pPr>
      <w:pStyle w:val="Footer"/>
    </w:pPr>
  </w:p>
  <w:p w14:paraId="48A57CB7" w14:textId="77777777" w:rsidR="00975FAA" w:rsidRDefault="00975FAA">
    <w:pPr>
      <w:pStyle w:val="Footer"/>
    </w:pPr>
  </w:p>
  <w:p w14:paraId="0FAE43A3" w14:textId="77777777" w:rsidR="00975FAA" w:rsidRDefault="00975FAA">
    <w:pPr>
      <w:pStyle w:val="Footer"/>
    </w:pPr>
  </w:p>
  <w:p w14:paraId="2B657ECF" w14:textId="77777777" w:rsidR="00975FAA" w:rsidRDefault="00000000">
    <w:pPr>
      <w:pStyle w:val="NoSpacing"/>
      <w:rPr>
        <w:caps/>
        <w:color w:val="808080"/>
        <w:sz w:val="20"/>
        <w:szCs w:val="20"/>
      </w:rPr>
    </w:pPr>
    <w:r>
      <w:rPr>
        <w:rStyle w:val="PlaceholderText"/>
      </w:rPr>
      <w:t>[Publish Date]</w:t>
    </w:r>
    <w:r>
      <w:rPr>
        <w:caps/>
        <w:color w:val="808080"/>
        <w:sz w:val="18"/>
        <w:szCs w:val="18"/>
      </w:rPr>
      <w:t xml:space="preserve"> | </w:t>
    </w:r>
    <w:r>
      <w:rPr>
        <w:caps/>
        <w:color w:val="808080"/>
        <w:sz w:val="20"/>
        <w:szCs w:val="20"/>
      </w:rPr>
      <w:t>mrfly</w:t>
    </w:r>
  </w:p>
  <w:p w14:paraId="6FBEA6AF" w14:textId="77777777" w:rsidR="00975FAA" w:rsidRDefault="00975FAA">
    <w:pPr>
      <w:pStyle w:val="Footer"/>
      <w:tabs>
        <w:tab w:val="clear" w:pos="4819"/>
        <w:tab w:val="clear" w:pos="9638"/>
        <w:tab w:val="left" w:pos="1440"/>
      </w:tabs>
    </w:pPr>
  </w:p>
  <w:p w14:paraId="000D7F77" w14:textId="77777777" w:rsidR="00975FAA" w:rsidRDefault="00000000">
    <w:pPr>
      <w:pStyle w:val="Footer"/>
      <w:tabs>
        <w:tab w:val="clear" w:pos="4819"/>
        <w:tab w:val="clear" w:pos="9638"/>
        <w:tab w:val="left" w:pos="144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1F0182" w14:textId="77777777" w:rsidR="00003872" w:rsidRDefault="00003872">
      <w:pPr>
        <w:spacing w:after="0" w:line="240" w:lineRule="auto"/>
      </w:pPr>
      <w:r>
        <w:separator/>
      </w:r>
    </w:p>
  </w:footnote>
  <w:footnote w:type="continuationSeparator" w:id="0">
    <w:p w14:paraId="3C84ECC7" w14:textId="77777777" w:rsidR="00003872" w:rsidRDefault="0000387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AD0B3" w14:textId="77777777" w:rsidR="00975FAA" w:rsidRDefault="00000000">
    <w:pPr>
      <w:pStyle w:val="Header"/>
      <w:jc w:val="right"/>
    </w:pPr>
    <w:r>
      <w:rPr>
        <w:noProof/>
        <w:color w:val="283A97" w:themeColor="accent3"/>
      </w:rPr>
      <w:drawing>
        <wp:anchor distT="0" distB="0" distL="114300" distR="114300" simplePos="0" relativeHeight="251662336" behindDoc="0" locked="0" layoutInCell="1" allowOverlap="1" wp14:anchorId="3772A19E" wp14:editId="43AEFFAB">
          <wp:simplePos x="0" y="0"/>
          <wp:positionH relativeFrom="margin">
            <wp:posOffset>4832985</wp:posOffset>
          </wp:positionH>
          <wp:positionV relativeFrom="paragraph">
            <wp:posOffset>-116840</wp:posOffset>
          </wp:positionV>
          <wp:extent cx="1583690" cy="847725"/>
          <wp:effectExtent l="0" t="0" r="0" b="9525"/>
          <wp:wrapNone/>
          <wp:docPr id="1" name="Graphic 133920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462215" name="Graphic 1619462215"/>
                  <pic:cNvPicPr>
                    <a:picLocks noChangeAspect="1"/>
                  </pic:cNvPicPr>
                </pic:nvPicPr>
                <pic:blipFill>
                  <a:blip r:embed="rId1">
                    <a:extLst>
                      <a:ext uri="{96DAC541-7B7A-43D3-8B79-37D633B846F1}">
                        <asvg:svgBlip xmlns:asvg="http://schemas.microsoft.com/office/drawing/2016/SVG/main" r:embed="rId2"/>
                      </a:ext>
                    </a:extLst>
                  </a:blip>
                  <a:srcRect l="384" r="384"/>
                  <a:stretch/>
                </pic:blipFill>
                <pic:spPr bwMode="auto">
                  <a:xfrm>
                    <a:off x="0" y="0"/>
                    <a:ext cx="1583690" cy="847725"/>
                  </a:xfrm>
                  <a:prstGeom prst="rect">
                    <a:avLst/>
                  </a:prstGeom>
                </pic:spPr>
              </pic:pic>
            </a:graphicData>
          </a:graphic>
          <wp14:sizeRelH relativeFrom="margin">
            <wp14:pctWidth>0</wp14:pctWidth>
          </wp14:sizeRelH>
          <wp14:sizeRelV relativeFrom="margin">
            <wp14:pctHeight>0</wp14:pctHeight>
          </wp14:sizeRelV>
        </wp:anchor>
      </w:drawing>
    </w:r>
  </w:p>
  <w:p w14:paraId="26453081" w14:textId="77777777" w:rsidR="00975FAA" w:rsidRDefault="00975FAA">
    <w:pPr>
      <w:pStyle w:val="Header"/>
      <w:jc w:val="right"/>
    </w:pPr>
  </w:p>
  <w:p w14:paraId="476297A9" w14:textId="77777777" w:rsidR="00975FAA" w:rsidRDefault="00975FAA">
    <w:pPr>
      <w:pStyle w:val="Header"/>
    </w:pPr>
  </w:p>
  <w:p w14:paraId="2C60FD38" w14:textId="77777777" w:rsidR="00975FAA" w:rsidRDefault="00975FAA">
    <w:pPr>
      <w:pStyle w:val="Header"/>
    </w:pPr>
  </w:p>
  <w:p w14:paraId="1FDF2A7B" w14:textId="77777777" w:rsidR="00975FAA" w:rsidRDefault="00975FAA">
    <w:pPr>
      <w:pStyle w:val="Header"/>
    </w:pPr>
  </w:p>
  <w:p w14:paraId="4F6D820E" w14:textId="77777777" w:rsidR="00975FAA" w:rsidRDefault="00975F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012C9" w14:textId="77777777" w:rsidR="00975FAA" w:rsidRDefault="00000000">
    <w:pPr>
      <w:pStyle w:val="Header"/>
    </w:pPr>
    <w:r>
      <w:rPr>
        <w:noProof/>
      </w:rPr>
      <w:drawing>
        <wp:anchor distT="0" distB="0" distL="114300" distR="114300" simplePos="0" relativeHeight="251656704" behindDoc="0" locked="0" layoutInCell="1" allowOverlap="1" wp14:anchorId="74FFDC6B" wp14:editId="16B7FDFE">
          <wp:simplePos x="0" y="0"/>
          <wp:positionH relativeFrom="margin">
            <wp:posOffset>4597400</wp:posOffset>
          </wp:positionH>
          <wp:positionV relativeFrom="paragraph">
            <wp:posOffset>50165</wp:posOffset>
          </wp:positionV>
          <wp:extent cx="2071370" cy="952500"/>
          <wp:effectExtent l="0" t="0" r="0" b="0"/>
          <wp:wrapNone/>
          <wp:docPr id="2" name="Graphic 1808248700"/>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1"/>
                  <a:srcRect t="28169" b="39315"/>
                  <a:stretch/>
                </pic:blipFill>
                <pic:spPr bwMode="auto">
                  <a:xfrm>
                    <a:off x="0" y="0"/>
                    <a:ext cx="2071370" cy="952500"/>
                  </a:xfrm>
                  <a:prstGeom prst="rect">
                    <a:avLst/>
                  </a:prstGeom>
                  <a:ln>
                    <a:noFill/>
                  </a:ln>
                </pic:spPr>
              </pic:pic>
            </a:graphicData>
          </a:graphic>
          <wp14:sizeRelH relativeFrom="margin">
            <wp14:pctWidth>0</wp14:pctWidth>
          </wp14:sizeRelH>
          <wp14:sizeRelV relativeFrom="margin">
            <wp14:pctHeight>0</wp14:pctHeight>
          </wp14:sizeRelV>
        </wp:anchor>
      </w:drawing>
    </w:r>
  </w:p>
  <w:p w14:paraId="598D5D9E" w14:textId="77777777" w:rsidR="00975FAA" w:rsidRDefault="00975FAA">
    <w:pPr>
      <w:pStyle w:val="Header"/>
    </w:pPr>
  </w:p>
  <w:p w14:paraId="1F4D63DF" w14:textId="77777777" w:rsidR="00975FAA" w:rsidRDefault="00975FAA">
    <w:pPr>
      <w:pStyle w:val="Header"/>
    </w:pPr>
  </w:p>
  <w:p w14:paraId="76FD23F2" w14:textId="77777777" w:rsidR="00975FAA" w:rsidRDefault="00975FAA">
    <w:pPr>
      <w:pStyle w:val="Header"/>
    </w:pPr>
  </w:p>
  <w:p w14:paraId="6858F51F" w14:textId="77777777" w:rsidR="00975FAA" w:rsidRDefault="00975FAA">
    <w:pPr>
      <w:pStyle w:val="Header"/>
    </w:pPr>
  </w:p>
  <w:p w14:paraId="37C089FE" w14:textId="77777777" w:rsidR="00975FAA" w:rsidRDefault="00975FAA">
    <w:pPr>
      <w:pStyle w:val="Header"/>
    </w:pPr>
  </w:p>
  <w:p w14:paraId="707AA60B" w14:textId="77777777" w:rsidR="00975FAA" w:rsidRDefault="00975FAA">
    <w:pPr>
      <w:pStyle w:val="Header"/>
    </w:pPr>
  </w:p>
  <w:p w14:paraId="2C40ECDB" w14:textId="77777777" w:rsidR="00975FAA" w:rsidRDefault="00975FAA">
    <w:pPr>
      <w:pStyle w:val="Header"/>
    </w:pPr>
  </w:p>
  <w:p w14:paraId="51CB66F3" w14:textId="77777777" w:rsidR="00975FAA" w:rsidRDefault="00975FAA">
    <w:pPr>
      <w:pStyle w:val="Header"/>
    </w:pPr>
  </w:p>
  <w:p w14:paraId="03394682" w14:textId="77777777" w:rsidR="00975FAA" w:rsidRDefault="00975FAA">
    <w:pPr>
      <w:pStyle w:val="Header"/>
    </w:pPr>
  </w:p>
  <w:p w14:paraId="47528E9E" w14:textId="77777777" w:rsidR="00975FAA" w:rsidRDefault="00975F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72408"/>
    <w:multiLevelType w:val="hybridMultilevel"/>
    <w:tmpl w:val="4C5616D8"/>
    <w:lvl w:ilvl="0" w:tplc="BA6C3CA0">
      <w:start w:val="1"/>
      <w:numFmt w:val="decimal"/>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0B614265"/>
    <w:multiLevelType w:val="multilevel"/>
    <w:tmpl w:val="C9429194"/>
    <w:lvl w:ilvl="0">
      <w:numFmt w:val="bullet"/>
      <w:lvlText w:val="-"/>
      <w:lvlJc w:val="left"/>
      <w:pPr>
        <w:ind w:left="720" w:hanging="360"/>
      </w:pPr>
      <w:rPr>
        <w:rFonts w:ascii="Poppins" w:eastAsiaTheme="minorEastAsia" w:hAnsi="Poppins" w:cs="Poppi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563142"/>
    <w:multiLevelType w:val="multilevel"/>
    <w:tmpl w:val="CD5AA0DC"/>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7BE7F04"/>
    <w:multiLevelType w:val="multilevel"/>
    <w:tmpl w:val="3C748278"/>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95A4C2D"/>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637FD0"/>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A5D959"/>
    <w:multiLevelType w:val="hybridMultilevel"/>
    <w:tmpl w:val="150A6AB0"/>
    <w:lvl w:ilvl="0" w:tplc="48E28E70">
      <w:start w:val="1"/>
      <w:numFmt w:val="bullet"/>
      <w:lvlText w:val=""/>
      <w:lvlJc w:val="left"/>
      <w:pPr>
        <w:ind w:left="720" w:hanging="360"/>
      </w:pPr>
      <w:rPr>
        <w:rFonts w:ascii="Symbol" w:hAnsi="Symbol" w:hint="default"/>
      </w:rPr>
    </w:lvl>
    <w:lvl w:ilvl="1" w:tplc="F202C80C">
      <w:start w:val="1"/>
      <w:numFmt w:val="bullet"/>
      <w:lvlText w:val="o"/>
      <w:lvlJc w:val="left"/>
      <w:pPr>
        <w:ind w:left="1440" w:hanging="360"/>
      </w:pPr>
      <w:rPr>
        <w:rFonts w:ascii="Courier New" w:hAnsi="Courier New" w:cs="Times New Roman" w:hint="default"/>
      </w:rPr>
    </w:lvl>
    <w:lvl w:ilvl="2" w:tplc="FF96B1B6">
      <w:start w:val="1"/>
      <w:numFmt w:val="bullet"/>
      <w:lvlText w:val=""/>
      <w:lvlJc w:val="left"/>
      <w:pPr>
        <w:ind w:left="2160" w:hanging="360"/>
      </w:pPr>
      <w:rPr>
        <w:rFonts w:ascii="Wingdings" w:hAnsi="Wingdings" w:hint="default"/>
      </w:rPr>
    </w:lvl>
    <w:lvl w:ilvl="3" w:tplc="06A42126">
      <w:start w:val="1"/>
      <w:numFmt w:val="bullet"/>
      <w:lvlText w:val=""/>
      <w:lvlJc w:val="left"/>
      <w:pPr>
        <w:ind w:left="2880" w:hanging="360"/>
      </w:pPr>
      <w:rPr>
        <w:rFonts w:ascii="Symbol" w:hAnsi="Symbol" w:hint="default"/>
      </w:rPr>
    </w:lvl>
    <w:lvl w:ilvl="4" w:tplc="03F64D76">
      <w:start w:val="1"/>
      <w:numFmt w:val="bullet"/>
      <w:lvlText w:val="o"/>
      <w:lvlJc w:val="left"/>
      <w:pPr>
        <w:ind w:left="3600" w:hanging="360"/>
      </w:pPr>
      <w:rPr>
        <w:rFonts w:ascii="Courier New" w:hAnsi="Courier New" w:cs="Times New Roman" w:hint="default"/>
      </w:rPr>
    </w:lvl>
    <w:lvl w:ilvl="5" w:tplc="F79842AA">
      <w:start w:val="1"/>
      <w:numFmt w:val="bullet"/>
      <w:lvlText w:val=""/>
      <w:lvlJc w:val="left"/>
      <w:pPr>
        <w:ind w:left="4320" w:hanging="360"/>
      </w:pPr>
      <w:rPr>
        <w:rFonts w:ascii="Wingdings" w:hAnsi="Wingdings" w:hint="default"/>
      </w:rPr>
    </w:lvl>
    <w:lvl w:ilvl="6" w:tplc="CC72F06C">
      <w:start w:val="1"/>
      <w:numFmt w:val="bullet"/>
      <w:lvlText w:val=""/>
      <w:lvlJc w:val="left"/>
      <w:pPr>
        <w:ind w:left="5040" w:hanging="360"/>
      </w:pPr>
      <w:rPr>
        <w:rFonts w:ascii="Symbol" w:hAnsi="Symbol" w:hint="default"/>
      </w:rPr>
    </w:lvl>
    <w:lvl w:ilvl="7" w:tplc="0C62526A">
      <w:start w:val="1"/>
      <w:numFmt w:val="bullet"/>
      <w:lvlText w:val="o"/>
      <w:lvlJc w:val="left"/>
      <w:pPr>
        <w:ind w:left="5760" w:hanging="360"/>
      </w:pPr>
      <w:rPr>
        <w:rFonts w:ascii="Courier New" w:hAnsi="Courier New" w:cs="Times New Roman" w:hint="default"/>
      </w:rPr>
    </w:lvl>
    <w:lvl w:ilvl="8" w:tplc="44142426">
      <w:start w:val="1"/>
      <w:numFmt w:val="bullet"/>
      <w:lvlText w:val=""/>
      <w:lvlJc w:val="left"/>
      <w:pPr>
        <w:ind w:left="6480" w:hanging="360"/>
      </w:pPr>
      <w:rPr>
        <w:rFonts w:ascii="Wingdings" w:hAnsi="Wingdings" w:hint="default"/>
      </w:rPr>
    </w:lvl>
  </w:abstractNum>
  <w:abstractNum w:abstractNumId="7" w15:restartNumberingAfterBreak="0">
    <w:nsid w:val="2544487E"/>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083FE5"/>
    <w:multiLevelType w:val="multilevel"/>
    <w:tmpl w:val="C88EA7DE"/>
    <w:lvl w:ilvl="0">
      <w:start w:val="5"/>
      <w:numFmt w:val="bullet"/>
      <w:lvlText w:val="-"/>
      <w:lvlJc w:val="left"/>
      <w:pPr>
        <w:ind w:left="720" w:hanging="360"/>
      </w:pPr>
      <w:rPr>
        <w:rFonts w:ascii="Poppins" w:eastAsiaTheme="minorEastAsia" w:hAnsi="Poppins" w:cs="Poppin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77D1DC3"/>
    <w:multiLevelType w:val="multilevel"/>
    <w:tmpl w:val="05E81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DE3169"/>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AC800A1"/>
    <w:multiLevelType w:val="multilevel"/>
    <w:tmpl w:val="9BFED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C1C7A89"/>
    <w:multiLevelType w:val="multilevel"/>
    <w:tmpl w:val="33A00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5624CB"/>
    <w:multiLevelType w:val="multilevel"/>
    <w:tmpl w:val="71683DA0"/>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C581E37"/>
    <w:multiLevelType w:val="hybridMultilevel"/>
    <w:tmpl w:val="E0629D02"/>
    <w:lvl w:ilvl="0" w:tplc="BEFEB31C">
      <w:start w:val="1"/>
      <w:numFmt w:val="bullet"/>
      <w:lvlText w:val=""/>
      <w:lvlJc w:val="left"/>
      <w:pPr>
        <w:ind w:left="720" w:hanging="360"/>
      </w:pPr>
      <w:rPr>
        <w:rFonts w:ascii="Symbol" w:hAnsi="Symbol" w:hint="default"/>
      </w:rPr>
    </w:lvl>
    <w:lvl w:ilvl="1" w:tplc="A97450E8">
      <w:start w:val="1"/>
      <w:numFmt w:val="bullet"/>
      <w:lvlText w:val="o"/>
      <w:lvlJc w:val="left"/>
      <w:pPr>
        <w:ind w:left="1440" w:hanging="360"/>
      </w:pPr>
      <w:rPr>
        <w:rFonts w:ascii="Courier New" w:hAnsi="Courier New" w:cs="Times New Roman" w:hint="default"/>
      </w:rPr>
    </w:lvl>
    <w:lvl w:ilvl="2" w:tplc="569C01FA">
      <w:start w:val="1"/>
      <w:numFmt w:val="bullet"/>
      <w:lvlText w:val=""/>
      <w:lvlJc w:val="left"/>
      <w:pPr>
        <w:ind w:left="2160" w:hanging="360"/>
      </w:pPr>
      <w:rPr>
        <w:rFonts w:ascii="Wingdings" w:hAnsi="Wingdings" w:hint="default"/>
      </w:rPr>
    </w:lvl>
    <w:lvl w:ilvl="3" w:tplc="34DA1E88">
      <w:start w:val="1"/>
      <w:numFmt w:val="bullet"/>
      <w:lvlText w:val=""/>
      <w:lvlJc w:val="left"/>
      <w:pPr>
        <w:ind w:left="2880" w:hanging="360"/>
      </w:pPr>
      <w:rPr>
        <w:rFonts w:ascii="Symbol" w:hAnsi="Symbol" w:hint="default"/>
      </w:rPr>
    </w:lvl>
    <w:lvl w:ilvl="4" w:tplc="A4B8C324">
      <w:start w:val="1"/>
      <w:numFmt w:val="bullet"/>
      <w:lvlText w:val="o"/>
      <w:lvlJc w:val="left"/>
      <w:pPr>
        <w:ind w:left="3600" w:hanging="360"/>
      </w:pPr>
      <w:rPr>
        <w:rFonts w:ascii="Courier New" w:hAnsi="Courier New" w:cs="Times New Roman" w:hint="default"/>
      </w:rPr>
    </w:lvl>
    <w:lvl w:ilvl="5" w:tplc="B3D6A192">
      <w:start w:val="1"/>
      <w:numFmt w:val="bullet"/>
      <w:lvlText w:val=""/>
      <w:lvlJc w:val="left"/>
      <w:pPr>
        <w:ind w:left="4320" w:hanging="360"/>
      </w:pPr>
      <w:rPr>
        <w:rFonts w:ascii="Wingdings" w:hAnsi="Wingdings" w:hint="default"/>
      </w:rPr>
    </w:lvl>
    <w:lvl w:ilvl="6" w:tplc="0FD248FE">
      <w:start w:val="1"/>
      <w:numFmt w:val="bullet"/>
      <w:lvlText w:val=""/>
      <w:lvlJc w:val="left"/>
      <w:pPr>
        <w:ind w:left="5040" w:hanging="360"/>
      </w:pPr>
      <w:rPr>
        <w:rFonts w:ascii="Symbol" w:hAnsi="Symbol" w:hint="default"/>
      </w:rPr>
    </w:lvl>
    <w:lvl w:ilvl="7" w:tplc="8A624DB4">
      <w:start w:val="1"/>
      <w:numFmt w:val="bullet"/>
      <w:lvlText w:val="o"/>
      <w:lvlJc w:val="left"/>
      <w:pPr>
        <w:ind w:left="5760" w:hanging="360"/>
      </w:pPr>
      <w:rPr>
        <w:rFonts w:ascii="Courier New" w:hAnsi="Courier New" w:cs="Times New Roman" w:hint="default"/>
      </w:rPr>
    </w:lvl>
    <w:lvl w:ilvl="8" w:tplc="72E652CC">
      <w:start w:val="1"/>
      <w:numFmt w:val="bullet"/>
      <w:lvlText w:val=""/>
      <w:lvlJc w:val="left"/>
      <w:pPr>
        <w:ind w:left="6480" w:hanging="360"/>
      </w:pPr>
      <w:rPr>
        <w:rFonts w:ascii="Wingdings" w:hAnsi="Wingdings" w:hint="default"/>
      </w:rPr>
    </w:lvl>
  </w:abstractNum>
  <w:abstractNum w:abstractNumId="15" w15:restartNumberingAfterBreak="0">
    <w:nsid w:val="320D4B74"/>
    <w:multiLevelType w:val="multilevel"/>
    <w:tmpl w:val="F10A8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5C7098"/>
    <w:multiLevelType w:val="multilevel"/>
    <w:tmpl w:val="7B7A9E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FC65114"/>
    <w:multiLevelType w:val="multilevel"/>
    <w:tmpl w:val="42BEFBDA"/>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5B469C9"/>
    <w:multiLevelType w:val="hybridMultilevel"/>
    <w:tmpl w:val="1AC44272"/>
    <w:lvl w:ilvl="0" w:tplc="6E96CF34">
      <w:start w:val="1"/>
      <w:numFmt w:val="bullet"/>
      <w:lvlText w:val=""/>
      <w:lvlJc w:val="left"/>
      <w:pPr>
        <w:ind w:left="720" w:hanging="360"/>
      </w:pPr>
      <w:rPr>
        <w:rFonts w:ascii="Symbol" w:hAnsi="Symbol" w:hint="default"/>
      </w:rPr>
    </w:lvl>
    <w:lvl w:ilvl="1" w:tplc="786AE838">
      <w:start w:val="1"/>
      <w:numFmt w:val="bullet"/>
      <w:lvlText w:val="o"/>
      <w:lvlJc w:val="left"/>
      <w:pPr>
        <w:ind w:left="1440" w:hanging="360"/>
      </w:pPr>
      <w:rPr>
        <w:rFonts w:ascii="Courier New" w:hAnsi="Courier New" w:cs="Times New Roman" w:hint="default"/>
      </w:rPr>
    </w:lvl>
    <w:lvl w:ilvl="2" w:tplc="5CCA4F20">
      <w:start w:val="1"/>
      <w:numFmt w:val="bullet"/>
      <w:lvlText w:val=""/>
      <w:lvlJc w:val="left"/>
      <w:pPr>
        <w:ind w:left="2160" w:hanging="360"/>
      </w:pPr>
      <w:rPr>
        <w:rFonts w:ascii="Wingdings" w:hAnsi="Wingdings" w:hint="default"/>
      </w:rPr>
    </w:lvl>
    <w:lvl w:ilvl="3" w:tplc="D6DC6240">
      <w:start w:val="1"/>
      <w:numFmt w:val="bullet"/>
      <w:lvlText w:val=""/>
      <w:lvlJc w:val="left"/>
      <w:pPr>
        <w:ind w:left="2880" w:hanging="360"/>
      </w:pPr>
      <w:rPr>
        <w:rFonts w:ascii="Symbol" w:hAnsi="Symbol" w:hint="default"/>
      </w:rPr>
    </w:lvl>
    <w:lvl w:ilvl="4" w:tplc="8A3C9670">
      <w:start w:val="1"/>
      <w:numFmt w:val="bullet"/>
      <w:lvlText w:val="o"/>
      <w:lvlJc w:val="left"/>
      <w:pPr>
        <w:ind w:left="3600" w:hanging="360"/>
      </w:pPr>
      <w:rPr>
        <w:rFonts w:ascii="Courier New" w:hAnsi="Courier New" w:cs="Times New Roman" w:hint="default"/>
      </w:rPr>
    </w:lvl>
    <w:lvl w:ilvl="5" w:tplc="AA32B142">
      <w:start w:val="1"/>
      <w:numFmt w:val="bullet"/>
      <w:lvlText w:val=""/>
      <w:lvlJc w:val="left"/>
      <w:pPr>
        <w:ind w:left="4320" w:hanging="360"/>
      </w:pPr>
      <w:rPr>
        <w:rFonts w:ascii="Wingdings" w:hAnsi="Wingdings" w:hint="default"/>
      </w:rPr>
    </w:lvl>
    <w:lvl w:ilvl="6" w:tplc="DE0E5A82">
      <w:start w:val="1"/>
      <w:numFmt w:val="bullet"/>
      <w:lvlText w:val=""/>
      <w:lvlJc w:val="left"/>
      <w:pPr>
        <w:ind w:left="5040" w:hanging="360"/>
      </w:pPr>
      <w:rPr>
        <w:rFonts w:ascii="Symbol" w:hAnsi="Symbol" w:hint="default"/>
      </w:rPr>
    </w:lvl>
    <w:lvl w:ilvl="7" w:tplc="954295C0">
      <w:start w:val="1"/>
      <w:numFmt w:val="bullet"/>
      <w:lvlText w:val="o"/>
      <w:lvlJc w:val="left"/>
      <w:pPr>
        <w:ind w:left="5760" w:hanging="360"/>
      </w:pPr>
      <w:rPr>
        <w:rFonts w:ascii="Courier New" w:hAnsi="Courier New" w:cs="Times New Roman" w:hint="default"/>
      </w:rPr>
    </w:lvl>
    <w:lvl w:ilvl="8" w:tplc="55646514">
      <w:start w:val="1"/>
      <w:numFmt w:val="bullet"/>
      <w:lvlText w:val=""/>
      <w:lvlJc w:val="left"/>
      <w:pPr>
        <w:ind w:left="6480" w:hanging="360"/>
      </w:pPr>
      <w:rPr>
        <w:rFonts w:ascii="Wingdings" w:hAnsi="Wingdings" w:hint="default"/>
      </w:rPr>
    </w:lvl>
  </w:abstractNum>
  <w:abstractNum w:abstractNumId="19" w15:restartNumberingAfterBreak="0">
    <w:nsid w:val="47181F4D"/>
    <w:multiLevelType w:val="multilevel"/>
    <w:tmpl w:val="7ACA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85059BA"/>
    <w:multiLevelType w:val="hybridMultilevel"/>
    <w:tmpl w:val="066E22A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1" w15:restartNumberingAfterBreak="0">
    <w:nsid w:val="48B137CC"/>
    <w:multiLevelType w:val="hybridMultilevel"/>
    <w:tmpl w:val="78BAD7A4"/>
    <w:lvl w:ilvl="0" w:tplc="6F848FCA">
      <w:start w:val="1"/>
      <w:numFmt w:val="bullet"/>
      <w:lvlText w:val=""/>
      <w:lvlJc w:val="left"/>
      <w:pPr>
        <w:ind w:left="720" w:hanging="360"/>
      </w:pPr>
      <w:rPr>
        <w:rFonts w:ascii="Symbol" w:hAnsi="Symbol" w:hint="default"/>
      </w:rPr>
    </w:lvl>
    <w:lvl w:ilvl="1" w:tplc="BE320CE8">
      <w:start w:val="1"/>
      <w:numFmt w:val="bullet"/>
      <w:lvlText w:val="o"/>
      <w:lvlJc w:val="left"/>
      <w:pPr>
        <w:ind w:left="1440" w:hanging="360"/>
      </w:pPr>
      <w:rPr>
        <w:rFonts w:ascii="Courier New" w:hAnsi="Courier New" w:cs="Times New Roman" w:hint="default"/>
      </w:rPr>
    </w:lvl>
    <w:lvl w:ilvl="2" w:tplc="A6D2472E">
      <w:start w:val="1"/>
      <w:numFmt w:val="bullet"/>
      <w:lvlText w:val=""/>
      <w:lvlJc w:val="left"/>
      <w:pPr>
        <w:ind w:left="2160" w:hanging="360"/>
      </w:pPr>
      <w:rPr>
        <w:rFonts w:ascii="Wingdings" w:hAnsi="Wingdings" w:hint="default"/>
      </w:rPr>
    </w:lvl>
    <w:lvl w:ilvl="3" w:tplc="08EC9834">
      <w:start w:val="1"/>
      <w:numFmt w:val="bullet"/>
      <w:lvlText w:val=""/>
      <w:lvlJc w:val="left"/>
      <w:pPr>
        <w:ind w:left="2880" w:hanging="360"/>
      </w:pPr>
      <w:rPr>
        <w:rFonts w:ascii="Symbol" w:hAnsi="Symbol" w:hint="default"/>
      </w:rPr>
    </w:lvl>
    <w:lvl w:ilvl="4" w:tplc="AA46D38A">
      <w:start w:val="1"/>
      <w:numFmt w:val="bullet"/>
      <w:lvlText w:val="o"/>
      <w:lvlJc w:val="left"/>
      <w:pPr>
        <w:ind w:left="3600" w:hanging="360"/>
      </w:pPr>
      <w:rPr>
        <w:rFonts w:ascii="Courier New" w:hAnsi="Courier New" w:cs="Times New Roman" w:hint="default"/>
      </w:rPr>
    </w:lvl>
    <w:lvl w:ilvl="5" w:tplc="F9C6B4F8">
      <w:start w:val="1"/>
      <w:numFmt w:val="bullet"/>
      <w:lvlText w:val=""/>
      <w:lvlJc w:val="left"/>
      <w:pPr>
        <w:ind w:left="4320" w:hanging="360"/>
      </w:pPr>
      <w:rPr>
        <w:rFonts w:ascii="Wingdings" w:hAnsi="Wingdings" w:hint="default"/>
      </w:rPr>
    </w:lvl>
    <w:lvl w:ilvl="6" w:tplc="1236EA28">
      <w:start w:val="1"/>
      <w:numFmt w:val="bullet"/>
      <w:lvlText w:val=""/>
      <w:lvlJc w:val="left"/>
      <w:pPr>
        <w:ind w:left="5040" w:hanging="360"/>
      </w:pPr>
      <w:rPr>
        <w:rFonts w:ascii="Symbol" w:hAnsi="Symbol" w:hint="default"/>
      </w:rPr>
    </w:lvl>
    <w:lvl w:ilvl="7" w:tplc="B5E2371E">
      <w:start w:val="1"/>
      <w:numFmt w:val="bullet"/>
      <w:lvlText w:val="o"/>
      <w:lvlJc w:val="left"/>
      <w:pPr>
        <w:ind w:left="5760" w:hanging="360"/>
      </w:pPr>
      <w:rPr>
        <w:rFonts w:ascii="Courier New" w:hAnsi="Courier New" w:cs="Times New Roman" w:hint="default"/>
      </w:rPr>
    </w:lvl>
    <w:lvl w:ilvl="8" w:tplc="CE96FB9C">
      <w:start w:val="1"/>
      <w:numFmt w:val="bullet"/>
      <w:lvlText w:val=""/>
      <w:lvlJc w:val="left"/>
      <w:pPr>
        <w:ind w:left="6480" w:hanging="360"/>
      </w:pPr>
      <w:rPr>
        <w:rFonts w:ascii="Wingdings" w:hAnsi="Wingdings" w:hint="default"/>
      </w:rPr>
    </w:lvl>
  </w:abstractNum>
  <w:abstractNum w:abstractNumId="22" w15:restartNumberingAfterBreak="0">
    <w:nsid w:val="494C202D"/>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247279"/>
    <w:multiLevelType w:val="hybridMultilevel"/>
    <w:tmpl w:val="BDA861F8"/>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4B2A4A35"/>
    <w:multiLevelType w:val="multilevel"/>
    <w:tmpl w:val="1ABADA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0CD7F66"/>
    <w:multiLevelType w:val="multilevel"/>
    <w:tmpl w:val="A0964CAC"/>
    <w:lvl w:ilvl="0">
      <w:start w:val="1"/>
      <w:numFmt w:val="decimal"/>
      <w:pStyle w:val="Heading1"/>
      <w:lvlText w:val="%1."/>
      <w:lvlJc w:val="left"/>
      <w:pPr>
        <w:ind w:left="720" w:hanging="360"/>
      </w:pPr>
      <w:rPr>
        <w:rFonts w:asciiTheme="majorHAnsi" w:hAnsiTheme="majorHAnsi" w:hint="default"/>
        <w:b w:val="0"/>
        <w:bCs w:val="0"/>
        <w:color w:val="00AC4E" w:themeColor="accent1"/>
        <w:position w:val="-2"/>
        <w:sz w:val="56"/>
        <w:szCs w:val="96"/>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pStyle w:val="Heading4"/>
      <w:isLgl/>
      <w:lvlText w:val="%1.%2.%3.%4"/>
      <w:lvlJc w:val="left"/>
      <w:pPr>
        <w:ind w:left="1440" w:hanging="1080"/>
      </w:pPr>
      <w:rPr>
        <w:rFonts w:hint="default"/>
      </w:rPr>
    </w:lvl>
    <w:lvl w:ilvl="4">
      <w:start w:val="1"/>
      <w:numFmt w:val="decimal"/>
      <w:pStyle w:val="Heading5"/>
      <w:isLgl/>
      <w:lvlText w:val="%1.%2.%3.%4.%5"/>
      <w:lvlJc w:val="left"/>
      <w:pPr>
        <w:ind w:left="1440" w:hanging="1080"/>
      </w:pPr>
      <w:rPr>
        <w:rFonts w:hint="default"/>
      </w:rPr>
    </w:lvl>
    <w:lvl w:ilvl="5">
      <w:start w:val="1"/>
      <w:numFmt w:val="decimal"/>
      <w:pStyle w:val="Heading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5B2B4AFB"/>
    <w:multiLevelType w:val="multilevel"/>
    <w:tmpl w:val="8A72BC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E8B5577"/>
    <w:multiLevelType w:val="hybridMultilevel"/>
    <w:tmpl w:val="D36A0132"/>
    <w:lvl w:ilvl="0" w:tplc="528ACDFA">
      <w:start w:val="1"/>
      <w:numFmt w:val="bullet"/>
      <w:lvlText w:val=""/>
      <w:lvlJc w:val="left"/>
      <w:pPr>
        <w:ind w:left="720" w:hanging="360"/>
      </w:pPr>
      <w:rPr>
        <w:rFonts w:ascii="Symbol" w:hAnsi="Symbol" w:hint="default"/>
      </w:rPr>
    </w:lvl>
    <w:lvl w:ilvl="1" w:tplc="65D072AC">
      <w:start w:val="1"/>
      <w:numFmt w:val="bullet"/>
      <w:lvlText w:val="o"/>
      <w:lvlJc w:val="left"/>
      <w:pPr>
        <w:ind w:left="1440" w:hanging="360"/>
      </w:pPr>
      <w:rPr>
        <w:rFonts w:ascii="Courier New" w:hAnsi="Courier New" w:cs="Times New Roman" w:hint="default"/>
      </w:rPr>
    </w:lvl>
    <w:lvl w:ilvl="2" w:tplc="AF84F7E8">
      <w:start w:val="1"/>
      <w:numFmt w:val="bullet"/>
      <w:lvlText w:val=""/>
      <w:lvlJc w:val="left"/>
      <w:pPr>
        <w:ind w:left="2160" w:hanging="360"/>
      </w:pPr>
      <w:rPr>
        <w:rFonts w:ascii="Wingdings" w:hAnsi="Wingdings" w:hint="default"/>
      </w:rPr>
    </w:lvl>
    <w:lvl w:ilvl="3" w:tplc="1F789150">
      <w:start w:val="1"/>
      <w:numFmt w:val="bullet"/>
      <w:lvlText w:val=""/>
      <w:lvlJc w:val="left"/>
      <w:pPr>
        <w:ind w:left="2880" w:hanging="360"/>
      </w:pPr>
      <w:rPr>
        <w:rFonts w:ascii="Symbol" w:hAnsi="Symbol" w:hint="default"/>
      </w:rPr>
    </w:lvl>
    <w:lvl w:ilvl="4" w:tplc="144040F0">
      <w:start w:val="1"/>
      <w:numFmt w:val="bullet"/>
      <w:lvlText w:val="o"/>
      <w:lvlJc w:val="left"/>
      <w:pPr>
        <w:ind w:left="3600" w:hanging="360"/>
      </w:pPr>
      <w:rPr>
        <w:rFonts w:ascii="Courier New" w:hAnsi="Courier New" w:cs="Times New Roman" w:hint="default"/>
      </w:rPr>
    </w:lvl>
    <w:lvl w:ilvl="5" w:tplc="9050D2C0">
      <w:start w:val="1"/>
      <w:numFmt w:val="bullet"/>
      <w:lvlText w:val=""/>
      <w:lvlJc w:val="left"/>
      <w:pPr>
        <w:ind w:left="4320" w:hanging="360"/>
      </w:pPr>
      <w:rPr>
        <w:rFonts w:ascii="Wingdings" w:hAnsi="Wingdings" w:hint="default"/>
      </w:rPr>
    </w:lvl>
    <w:lvl w:ilvl="6" w:tplc="97342DF6">
      <w:start w:val="1"/>
      <w:numFmt w:val="bullet"/>
      <w:lvlText w:val=""/>
      <w:lvlJc w:val="left"/>
      <w:pPr>
        <w:ind w:left="5040" w:hanging="360"/>
      </w:pPr>
      <w:rPr>
        <w:rFonts w:ascii="Symbol" w:hAnsi="Symbol" w:hint="default"/>
      </w:rPr>
    </w:lvl>
    <w:lvl w:ilvl="7" w:tplc="9ADA2D8E">
      <w:start w:val="1"/>
      <w:numFmt w:val="bullet"/>
      <w:lvlText w:val="o"/>
      <w:lvlJc w:val="left"/>
      <w:pPr>
        <w:ind w:left="5760" w:hanging="360"/>
      </w:pPr>
      <w:rPr>
        <w:rFonts w:ascii="Courier New" w:hAnsi="Courier New" w:cs="Times New Roman" w:hint="default"/>
      </w:rPr>
    </w:lvl>
    <w:lvl w:ilvl="8" w:tplc="0E2C05E6">
      <w:start w:val="1"/>
      <w:numFmt w:val="bullet"/>
      <w:lvlText w:val=""/>
      <w:lvlJc w:val="left"/>
      <w:pPr>
        <w:ind w:left="6480" w:hanging="360"/>
      </w:pPr>
      <w:rPr>
        <w:rFonts w:ascii="Wingdings" w:hAnsi="Wingdings" w:hint="default"/>
      </w:rPr>
    </w:lvl>
  </w:abstractNum>
  <w:abstractNum w:abstractNumId="28" w15:restartNumberingAfterBreak="0">
    <w:nsid w:val="611E1288"/>
    <w:multiLevelType w:val="multilevel"/>
    <w:tmpl w:val="3D8A533A"/>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22C092D"/>
    <w:multiLevelType w:val="multilevel"/>
    <w:tmpl w:val="6ED8AC2C"/>
    <w:lvl w:ilvl="0">
      <w:start w:val="1"/>
      <w:numFmt w:val="decimal"/>
      <w:lvlText w:val="%1."/>
      <w:lvlJc w:val="left"/>
      <w:pPr>
        <w:ind w:left="720" w:hanging="360"/>
      </w:pPr>
      <w:rPr>
        <w:rFonts w:asciiTheme="majorHAnsi" w:eastAsiaTheme="majorEastAsia" w:hAnsiTheme="majorHAnsi" w:cstheme="majorBidi" w:hint="default"/>
        <w:color w:val="00AC4E" w:themeColor="accent1"/>
        <w:sz w:val="3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77D7A15"/>
    <w:multiLevelType w:val="multilevel"/>
    <w:tmpl w:val="77346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7893055"/>
    <w:multiLevelType w:val="multilevel"/>
    <w:tmpl w:val="D2F002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96924A1"/>
    <w:multiLevelType w:val="multilevel"/>
    <w:tmpl w:val="C3925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9703B45"/>
    <w:multiLevelType w:val="hybridMultilevel"/>
    <w:tmpl w:val="549EC98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4" w15:restartNumberingAfterBreak="0">
    <w:nsid w:val="69956108"/>
    <w:multiLevelType w:val="hybridMultilevel"/>
    <w:tmpl w:val="F1FCDDD4"/>
    <w:lvl w:ilvl="0" w:tplc="BF6881FA">
      <w:start w:val="1"/>
      <w:numFmt w:val="bullet"/>
      <w:lvlText w:val=""/>
      <w:lvlJc w:val="left"/>
      <w:pPr>
        <w:ind w:left="720" w:hanging="360"/>
      </w:pPr>
      <w:rPr>
        <w:rFonts w:ascii="Symbol" w:hAnsi="Symbol" w:hint="default"/>
      </w:rPr>
    </w:lvl>
    <w:lvl w:ilvl="1" w:tplc="EE8C268A">
      <w:start w:val="1"/>
      <w:numFmt w:val="bullet"/>
      <w:lvlText w:val="o"/>
      <w:lvlJc w:val="left"/>
      <w:pPr>
        <w:ind w:left="1440" w:hanging="360"/>
      </w:pPr>
      <w:rPr>
        <w:rFonts w:ascii="Courier New" w:hAnsi="Courier New" w:cs="Times New Roman" w:hint="default"/>
      </w:rPr>
    </w:lvl>
    <w:lvl w:ilvl="2" w:tplc="DC4A7F10">
      <w:start w:val="1"/>
      <w:numFmt w:val="bullet"/>
      <w:lvlText w:val=""/>
      <w:lvlJc w:val="left"/>
      <w:pPr>
        <w:ind w:left="2160" w:hanging="360"/>
      </w:pPr>
      <w:rPr>
        <w:rFonts w:ascii="Wingdings" w:hAnsi="Wingdings" w:hint="default"/>
      </w:rPr>
    </w:lvl>
    <w:lvl w:ilvl="3" w:tplc="1F16D052">
      <w:start w:val="1"/>
      <w:numFmt w:val="bullet"/>
      <w:lvlText w:val=""/>
      <w:lvlJc w:val="left"/>
      <w:pPr>
        <w:ind w:left="2880" w:hanging="360"/>
      </w:pPr>
      <w:rPr>
        <w:rFonts w:ascii="Symbol" w:hAnsi="Symbol" w:hint="default"/>
      </w:rPr>
    </w:lvl>
    <w:lvl w:ilvl="4" w:tplc="781064F2">
      <w:start w:val="1"/>
      <w:numFmt w:val="bullet"/>
      <w:lvlText w:val="o"/>
      <w:lvlJc w:val="left"/>
      <w:pPr>
        <w:ind w:left="3600" w:hanging="360"/>
      </w:pPr>
      <w:rPr>
        <w:rFonts w:ascii="Courier New" w:hAnsi="Courier New" w:cs="Times New Roman" w:hint="default"/>
      </w:rPr>
    </w:lvl>
    <w:lvl w:ilvl="5" w:tplc="0E54F188">
      <w:start w:val="1"/>
      <w:numFmt w:val="bullet"/>
      <w:lvlText w:val=""/>
      <w:lvlJc w:val="left"/>
      <w:pPr>
        <w:ind w:left="4320" w:hanging="360"/>
      </w:pPr>
      <w:rPr>
        <w:rFonts w:ascii="Wingdings" w:hAnsi="Wingdings" w:hint="default"/>
      </w:rPr>
    </w:lvl>
    <w:lvl w:ilvl="6" w:tplc="8EAAB326">
      <w:start w:val="1"/>
      <w:numFmt w:val="bullet"/>
      <w:lvlText w:val=""/>
      <w:lvlJc w:val="left"/>
      <w:pPr>
        <w:ind w:left="5040" w:hanging="360"/>
      </w:pPr>
      <w:rPr>
        <w:rFonts w:ascii="Symbol" w:hAnsi="Symbol" w:hint="default"/>
      </w:rPr>
    </w:lvl>
    <w:lvl w:ilvl="7" w:tplc="68224B2E">
      <w:start w:val="1"/>
      <w:numFmt w:val="bullet"/>
      <w:lvlText w:val="o"/>
      <w:lvlJc w:val="left"/>
      <w:pPr>
        <w:ind w:left="5760" w:hanging="360"/>
      </w:pPr>
      <w:rPr>
        <w:rFonts w:ascii="Courier New" w:hAnsi="Courier New" w:cs="Times New Roman" w:hint="default"/>
      </w:rPr>
    </w:lvl>
    <w:lvl w:ilvl="8" w:tplc="82A6BFC6">
      <w:start w:val="1"/>
      <w:numFmt w:val="bullet"/>
      <w:lvlText w:val=""/>
      <w:lvlJc w:val="left"/>
      <w:pPr>
        <w:ind w:left="6480" w:hanging="360"/>
      </w:pPr>
      <w:rPr>
        <w:rFonts w:ascii="Wingdings" w:hAnsi="Wingdings" w:hint="default"/>
      </w:rPr>
    </w:lvl>
  </w:abstractNum>
  <w:abstractNum w:abstractNumId="35" w15:restartNumberingAfterBreak="0">
    <w:nsid w:val="6E5051D1"/>
    <w:multiLevelType w:val="hybridMultilevel"/>
    <w:tmpl w:val="530E9D3E"/>
    <w:lvl w:ilvl="0" w:tplc="E14011D6">
      <w:start w:val="1"/>
      <w:numFmt w:val="bullet"/>
      <w:lvlText w:val=""/>
      <w:lvlJc w:val="left"/>
      <w:pPr>
        <w:ind w:left="720" w:hanging="360"/>
      </w:pPr>
      <w:rPr>
        <w:rFonts w:ascii="Symbol" w:hAnsi="Symbol" w:hint="default"/>
      </w:rPr>
    </w:lvl>
    <w:lvl w:ilvl="1" w:tplc="8BFA7930">
      <w:start w:val="1"/>
      <w:numFmt w:val="bullet"/>
      <w:lvlText w:val="o"/>
      <w:lvlJc w:val="left"/>
      <w:pPr>
        <w:ind w:left="1440" w:hanging="360"/>
      </w:pPr>
      <w:rPr>
        <w:rFonts w:ascii="Courier New" w:hAnsi="Courier New" w:cs="Times New Roman" w:hint="default"/>
      </w:rPr>
    </w:lvl>
    <w:lvl w:ilvl="2" w:tplc="B8CAA57C">
      <w:start w:val="1"/>
      <w:numFmt w:val="bullet"/>
      <w:lvlText w:val=""/>
      <w:lvlJc w:val="left"/>
      <w:pPr>
        <w:ind w:left="2160" w:hanging="360"/>
      </w:pPr>
      <w:rPr>
        <w:rFonts w:ascii="Wingdings" w:hAnsi="Wingdings" w:hint="default"/>
      </w:rPr>
    </w:lvl>
    <w:lvl w:ilvl="3" w:tplc="0638DD84">
      <w:start w:val="1"/>
      <w:numFmt w:val="bullet"/>
      <w:lvlText w:val=""/>
      <w:lvlJc w:val="left"/>
      <w:pPr>
        <w:ind w:left="2880" w:hanging="360"/>
      </w:pPr>
      <w:rPr>
        <w:rFonts w:ascii="Symbol" w:hAnsi="Symbol" w:hint="default"/>
      </w:rPr>
    </w:lvl>
    <w:lvl w:ilvl="4" w:tplc="B860CB70">
      <w:start w:val="1"/>
      <w:numFmt w:val="bullet"/>
      <w:lvlText w:val="o"/>
      <w:lvlJc w:val="left"/>
      <w:pPr>
        <w:ind w:left="3600" w:hanging="360"/>
      </w:pPr>
      <w:rPr>
        <w:rFonts w:ascii="Courier New" w:hAnsi="Courier New" w:cs="Times New Roman" w:hint="default"/>
      </w:rPr>
    </w:lvl>
    <w:lvl w:ilvl="5" w:tplc="25CA10D0">
      <w:start w:val="1"/>
      <w:numFmt w:val="bullet"/>
      <w:lvlText w:val=""/>
      <w:lvlJc w:val="left"/>
      <w:pPr>
        <w:ind w:left="4320" w:hanging="360"/>
      </w:pPr>
      <w:rPr>
        <w:rFonts w:ascii="Wingdings" w:hAnsi="Wingdings" w:hint="default"/>
      </w:rPr>
    </w:lvl>
    <w:lvl w:ilvl="6" w:tplc="55CAB662">
      <w:start w:val="1"/>
      <w:numFmt w:val="bullet"/>
      <w:lvlText w:val=""/>
      <w:lvlJc w:val="left"/>
      <w:pPr>
        <w:ind w:left="5040" w:hanging="360"/>
      </w:pPr>
      <w:rPr>
        <w:rFonts w:ascii="Symbol" w:hAnsi="Symbol" w:hint="default"/>
      </w:rPr>
    </w:lvl>
    <w:lvl w:ilvl="7" w:tplc="73F29250">
      <w:start w:val="1"/>
      <w:numFmt w:val="bullet"/>
      <w:lvlText w:val="o"/>
      <w:lvlJc w:val="left"/>
      <w:pPr>
        <w:ind w:left="5760" w:hanging="360"/>
      </w:pPr>
      <w:rPr>
        <w:rFonts w:ascii="Courier New" w:hAnsi="Courier New" w:cs="Times New Roman" w:hint="default"/>
      </w:rPr>
    </w:lvl>
    <w:lvl w:ilvl="8" w:tplc="8C82D01E">
      <w:start w:val="1"/>
      <w:numFmt w:val="bullet"/>
      <w:lvlText w:val=""/>
      <w:lvlJc w:val="left"/>
      <w:pPr>
        <w:ind w:left="6480" w:hanging="360"/>
      </w:pPr>
      <w:rPr>
        <w:rFonts w:ascii="Wingdings" w:hAnsi="Wingdings" w:hint="default"/>
      </w:rPr>
    </w:lvl>
  </w:abstractNum>
  <w:abstractNum w:abstractNumId="36" w15:restartNumberingAfterBreak="0">
    <w:nsid w:val="74F82CF9"/>
    <w:multiLevelType w:val="multilevel"/>
    <w:tmpl w:val="16AE561E"/>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88F132B"/>
    <w:multiLevelType w:val="hybridMultilevel"/>
    <w:tmpl w:val="C176571A"/>
    <w:lvl w:ilvl="0" w:tplc="F038489A">
      <w:start w:val="1"/>
      <w:numFmt w:val="bullet"/>
      <w:lvlText w:val=""/>
      <w:lvlJc w:val="left"/>
      <w:pPr>
        <w:ind w:left="720" w:hanging="360"/>
      </w:pPr>
      <w:rPr>
        <w:rFonts w:ascii="Symbol" w:hAnsi="Symbol" w:hint="default"/>
      </w:rPr>
    </w:lvl>
    <w:lvl w:ilvl="1" w:tplc="A042A966">
      <w:start w:val="1"/>
      <w:numFmt w:val="bullet"/>
      <w:lvlText w:val="o"/>
      <w:lvlJc w:val="left"/>
      <w:pPr>
        <w:ind w:left="1440" w:hanging="360"/>
      </w:pPr>
      <w:rPr>
        <w:rFonts w:ascii="Courier New" w:hAnsi="Courier New" w:cs="Times New Roman" w:hint="default"/>
      </w:rPr>
    </w:lvl>
    <w:lvl w:ilvl="2" w:tplc="5E9E31D6">
      <w:start w:val="1"/>
      <w:numFmt w:val="bullet"/>
      <w:lvlText w:val=""/>
      <w:lvlJc w:val="left"/>
      <w:pPr>
        <w:ind w:left="2160" w:hanging="360"/>
      </w:pPr>
      <w:rPr>
        <w:rFonts w:ascii="Wingdings" w:hAnsi="Wingdings" w:hint="default"/>
      </w:rPr>
    </w:lvl>
    <w:lvl w:ilvl="3" w:tplc="26669C1A">
      <w:start w:val="1"/>
      <w:numFmt w:val="bullet"/>
      <w:lvlText w:val=""/>
      <w:lvlJc w:val="left"/>
      <w:pPr>
        <w:ind w:left="2880" w:hanging="360"/>
      </w:pPr>
      <w:rPr>
        <w:rFonts w:ascii="Symbol" w:hAnsi="Symbol" w:hint="default"/>
      </w:rPr>
    </w:lvl>
    <w:lvl w:ilvl="4" w:tplc="0308CA30">
      <w:start w:val="1"/>
      <w:numFmt w:val="bullet"/>
      <w:lvlText w:val="o"/>
      <w:lvlJc w:val="left"/>
      <w:pPr>
        <w:ind w:left="3600" w:hanging="360"/>
      </w:pPr>
      <w:rPr>
        <w:rFonts w:ascii="Courier New" w:hAnsi="Courier New" w:cs="Times New Roman" w:hint="default"/>
      </w:rPr>
    </w:lvl>
    <w:lvl w:ilvl="5" w:tplc="26CE2166">
      <w:start w:val="1"/>
      <w:numFmt w:val="bullet"/>
      <w:lvlText w:val=""/>
      <w:lvlJc w:val="left"/>
      <w:pPr>
        <w:ind w:left="4320" w:hanging="360"/>
      </w:pPr>
      <w:rPr>
        <w:rFonts w:ascii="Wingdings" w:hAnsi="Wingdings" w:hint="default"/>
      </w:rPr>
    </w:lvl>
    <w:lvl w:ilvl="6" w:tplc="CE44BDEC">
      <w:start w:val="1"/>
      <w:numFmt w:val="bullet"/>
      <w:lvlText w:val=""/>
      <w:lvlJc w:val="left"/>
      <w:pPr>
        <w:ind w:left="5040" w:hanging="360"/>
      </w:pPr>
      <w:rPr>
        <w:rFonts w:ascii="Symbol" w:hAnsi="Symbol" w:hint="default"/>
      </w:rPr>
    </w:lvl>
    <w:lvl w:ilvl="7" w:tplc="A62086F0">
      <w:start w:val="1"/>
      <w:numFmt w:val="bullet"/>
      <w:lvlText w:val="o"/>
      <w:lvlJc w:val="left"/>
      <w:pPr>
        <w:ind w:left="5760" w:hanging="360"/>
      </w:pPr>
      <w:rPr>
        <w:rFonts w:ascii="Courier New" w:hAnsi="Courier New" w:cs="Times New Roman" w:hint="default"/>
      </w:rPr>
    </w:lvl>
    <w:lvl w:ilvl="8" w:tplc="155CC2DC">
      <w:start w:val="1"/>
      <w:numFmt w:val="bullet"/>
      <w:lvlText w:val=""/>
      <w:lvlJc w:val="left"/>
      <w:pPr>
        <w:ind w:left="6480" w:hanging="360"/>
      </w:pPr>
      <w:rPr>
        <w:rFonts w:ascii="Wingdings" w:hAnsi="Wingdings" w:hint="default"/>
      </w:rPr>
    </w:lvl>
  </w:abstractNum>
  <w:abstractNum w:abstractNumId="38" w15:restartNumberingAfterBreak="0">
    <w:nsid w:val="79CF42A3"/>
    <w:multiLevelType w:val="multilevel"/>
    <w:tmpl w:val="5AF83E9E"/>
    <w:styleLink w:val="Digital4Business"/>
    <w:lvl w:ilvl="0">
      <w:start w:val="1"/>
      <w:numFmt w:val="decimal"/>
      <w:pStyle w:val="Digital4Business"/>
      <w:lvlText w:val="%1."/>
      <w:lvlJc w:val="left"/>
      <w:pPr>
        <w:ind w:left="360" w:hanging="360"/>
      </w:pPr>
      <w:rPr>
        <w:rFonts w:ascii="Work Sans SemiBold" w:hAnsi="Work Sans SemiBold"/>
        <w:b/>
        <w:color w:val="22404D"/>
      </w:rPr>
    </w:lvl>
    <w:lvl w:ilvl="1">
      <w:start w:val="1"/>
      <w:numFmt w:val="decimal"/>
      <w:lvlText w:val="%1.%2."/>
      <w:lvlJc w:val="left"/>
      <w:pPr>
        <w:ind w:left="792" w:hanging="432"/>
      </w:pPr>
      <w:rPr>
        <w:rFonts w:ascii="Work Sans SemiBold" w:hAnsi="Work Sans SemiBold"/>
        <w:b w:val="0"/>
        <w:color w:val="22404D"/>
      </w:rPr>
    </w:lvl>
    <w:lvl w:ilvl="2">
      <w:start w:val="1"/>
      <w:numFmt w:val="decimal"/>
      <w:lvlText w:val="%1.%2.%3."/>
      <w:lvlJc w:val="left"/>
      <w:pPr>
        <w:ind w:left="1224" w:hanging="504"/>
      </w:pPr>
      <w:rPr>
        <w:rFonts w:ascii="Work Sans SemiBold" w:hAnsi="Work Sans SemiBold"/>
        <w:color w:val="22404D"/>
      </w:rPr>
    </w:lvl>
    <w:lvl w:ilvl="3">
      <w:start w:val="1"/>
      <w:numFmt w:val="decimal"/>
      <w:lvlText w:val="%1.%2.%3.%4."/>
      <w:lvlJc w:val="left"/>
      <w:pPr>
        <w:ind w:left="1728" w:hanging="648"/>
      </w:pPr>
      <w:rPr>
        <w:rFonts w:ascii="Work Sans SemiBold" w:hAnsi="Work Sans SemiBold"/>
        <w:color w:val="22404D"/>
      </w:rPr>
    </w:lvl>
    <w:lvl w:ilvl="4">
      <w:start w:val="1"/>
      <w:numFmt w:val="decimal"/>
      <w:lvlText w:val="%1.%2.%3.%4.%5."/>
      <w:lvlJc w:val="left"/>
      <w:pPr>
        <w:ind w:left="2232" w:hanging="792"/>
      </w:pPr>
      <w:rPr>
        <w:rFonts w:ascii="Work Sans SemiBold" w:hAnsi="Work Sans SemiBold"/>
        <w:color w:val="22404D"/>
      </w:rPr>
    </w:lvl>
    <w:lvl w:ilvl="5">
      <w:start w:val="1"/>
      <w:numFmt w:val="decimal"/>
      <w:lvlText w:val="%1.%2.%3.%4.%5.%6."/>
      <w:lvlJc w:val="left"/>
      <w:pPr>
        <w:ind w:left="2736" w:hanging="936"/>
      </w:pPr>
      <w:rPr>
        <w:rFonts w:ascii="Noto Sans" w:hAnsi="Noto Sans"/>
        <w:color w:val="22404D"/>
      </w:rPr>
    </w:lvl>
    <w:lvl w:ilvl="6">
      <w:start w:val="1"/>
      <w:numFmt w:val="decimal"/>
      <w:lvlText w:val="%1.%2.%3.%4.%5.%6.%7."/>
      <w:lvlJc w:val="left"/>
      <w:pPr>
        <w:ind w:left="3240" w:hanging="1080"/>
      </w:pPr>
      <w:rPr>
        <w:rFonts w:ascii="Work Sans SemiBold" w:hAnsi="Work Sans SemiBold"/>
        <w:color w:val="22404D"/>
      </w:rPr>
    </w:lvl>
    <w:lvl w:ilvl="7">
      <w:start w:val="1"/>
      <w:numFmt w:val="decimal"/>
      <w:lvlText w:val="%1.%2.%3.%4.%5.%6.%7.%8."/>
      <w:lvlJc w:val="left"/>
      <w:pPr>
        <w:ind w:left="3744" w:hanging="1224"/>
      </w:pPr>
      <w:rPr>
        <w:rFonts w:ascii="Work Sans SemiBold" w:hAnsi="Work Sans SemiBold"/>
        <w:color w:val="22404D"/>
      </w:rPr>
    </w:lvl>
    <w:lvl w:ilvl="8">
      <w:start w:val="1"/>
      <w:numFmt w:val="decimal"/>
      <w:lvlText w:val="%1.%2.%3.%4.%5.%6.%7.%8.%9."/>
      <w:lvlJc w:val="left"/>
      <w:pPr>
        <w:ind w:left="4320" w:hanging="1440"/>
      </w:pPr>
      <w:rPr>
        <w:rFonts w:ascii="Work Sans SemiBold" w:hAnsi="Work Sans SemiBold"/>
        <w:color w:val="22404D"/>
      </w:rPr>
    </w:lvl>
  </w:abstractNum>
  <w:abstractNum w:abstractNumId="39" w15:restartNumberingAfterBreak="0">
    <w:nsid w:val="7A612D6E"/>
    <w:multiLevelType w:val="hybridMultilevel"/>
    <w:tmpl w:val="03FAEC8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0" w15:restartNumberingAfterBreak="0">
    <w:nsid w:val="7AF716FF"/>
    <w:multiLevelType w:val="multilevel"/>
    <w:tmpl w:val="F4703584"/>
    <w:lvl w:ilvl="0">
      <w:start w:val="1"/>
      <w:numFmt w:val="bullet"/>
      <w:lvlText w:val=""/>
      <w:lvlJc w:val="left"/>
      <w:pPr>
        <w:ind w:left="720" w:hanging="360"/>
      </w:pPr>
      <w:rPr>
        <w:rFonts w:ascii="Symbol" w:hAnsi="Symbol" w:hint="default"/>
        <w:color w:val="578C19"/>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92173327">
    <w:abstractNumId w:val="38"/>
  </w:num>
  <w:num w:numId="2" w16cid:durableId="1976714984">
    <w:abstractNumId w:val="25"/>
  </w:num>
  <w:num w:numId="3" w16cid:durableId="1139687153">
    <w:abstractNumId w:val="17"/>
  </w:num>
  <w:num w:numId="4" w16cid:durableId="1699508956">
    <w:abstractNumId w:val="40"/>
  </w:num>
  <w:num w:numId="5" w16cid:durableId="1607152023">
    <w:abstractNumId w:val="13"/>
  </w:num>
  <w:num w:numId="6" w16cid:durableId="390883869">
    <w:abstractNumId w:val="2"/>
  </w:num>
  <w:num w:numId="7" w16cid:durableId="656808536">
    <w:abstractNumId w:val="8"/>
  </w:num>
  <w:num w:numId="8" w16cid:durableId="660698864">
    <w:abstractNumId w:val="31"/>
  </w:num>
  <w:num w:numId="9" w16cid:durableId="1459880704">
    <w:abstractNumId w:val="29"/>
  </w:num>
  <w:num w:numId="10" w16cid:durableId="1272006929">
    <w:abstractNumId w:val="24"/>
  </w:num>
  <w:num w:numId="11" w16cid:durableId="1750034333">
    <w:abstractNumId w:val="28"/>
  </w:num>
  <w:num w:numId="12" w16cid:durableId="889265620">
    <w:abstractNumId w:val="1"/>
  </w:num>
  <w:num w:numId="13" w16cid:durableId="1042628599">
    <w:abstractNumId w:val="3"/>
  </w:num>
  <w:num w:numId="14" w16cid:durableId="496310015">
    <w:abstractNumId w:val="36"/>
  </w:num>
  <w:num w:numId="15" w16cid:durableId="1892450204">
    <w:abstractNumId w:val="16"/>
  </w:num>
  <w:num w:numId="16" w16cid:durableId="5910953">
    <w:abstractNumId w:val="0"/>
  </w:num>
  <w:num w:numId="17" w16cid:durableId="623775029">
    <w:abstractNumId w:val="23"/>
  </w:num>
  <w:num w:numId="18" w16cid:durableId="147524415">
    <w:abstractNumId w:val="33"/>
  </w:num>
  <w:num w:numId="19" w16cid:durableId="1773932591">
    <w:abstractNumId w:val="20"/>
  </w:num>
  <w:num w:numId="20" w16cid:durableId="1503817800">
    <w:abstractNumId w:val="7"/>
  </w:num>
  <w:num w:numId="21" w16cid:durableId="378554226">
    <w:abstractNumId w:val="19"/>
  </w:num>
  <w:num w:numId="22" w16cid:durableId="887839327">
    <w:abstractNumId w:val="5"/>
  </w:num>
  <w:num w:numId="23" w16cid:durableId="345985439">
    <w:abstractNumId w:val="39"/>
  </w:num>
  <w:num w:numId="24" w16cid:durableId="572474888">
    <w:abstractNumId w:val="22"/>
  </w:num>
  <w:num w:numId="25" w16cid:durableId="620691967">
    <w:abstractNumId w:val="4"/>
  </w:num>
  <w:num w:numId="26" w16cid:durableId="929198393">
    <w:abstractNumId w:val="10"/>
  </w:num>
  <w:num w:numId="27" w16cid:durableId="355159534">
    <w:abstractNumId w:val="9"/>
  </w:num>
  <w:num w:numId="28" w16cid:durableId="495001059">
    <w:abstractNumId w:val="32"/>
  </w:num>
  <w:num w:numId="29" w16cid:durableId="1051270681">
    <w:abstractNumId w:val="15"/>
  </w:num>
  <w:num w:numId="30" w16cid:durableId="1683627080">
    <w:abstractNumId w:val="26"/>
  </w:num>
  <w:num w:numId="31" w16cid:durableId="628556176">
    <w:abstractNumId w:val="12"/>
  </w:num>
  <w:num w:numId="32" w16cid:durableId="996884136">
    <w:abstractNumId w:val="11"/>
  </w:num>
  <w:num w:numId="33" w16cid:durableId="2052529347">
    <w:abstractNumId w:val="30"/>
  </w:num>
  <w:num w:numId="34" w16cid:durableId="2033651238">
    <w:abstractNumId w:val="34"/>
  </w:num>
  <w:num w:numId="35" w16cid:durableId="176896530">
    <w:abstractNumId w:val="27"/>
  </w:num>
  <w:num w:numId="36" w16cid:durableId="752970450">
    <w:abstractNumId w:val="35"/>
  </w:num>
  <w:num w:numId="37" w16cid:durableId="1972858263">
    <w:abstractNumId w:val="37"/>
  </w:num>
  <w:num w:numId="38" w16cid:durableId="2139176909">
    <w:abstractNumId w:val="6"/>
  </w:num>
  <w:num w:numId="39" w16cid:durableId="1744446266">
    <w:abstractNumId w:val="21"/>
  </w:num>
  <w:num w:numId="40" w16cid:durableId="2072192803">
    <w:abstractNumId w:val="14"/>
  </w:num>
  <w:num w:numId="41" w16cid:durableId="190441300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5FAA"/>
    <w:rsid w:val="00003872"/>
    <w:rsid w:val="00013B52"/>
    <w:rsid w:val="000D7C04"/>
    <w:rsid w:val="00206B3D"/>
    <w:rsid w:val="002525EB"/>
    <w:rsid w:val="002A44C2"/>
    <w:rsid w:val="002A5D3C"/>
    <w:rsid w:val="00304C1B"/>
    <w:rsid w:val="00320223"/>
    <w:rsid w:val="003E5DC5"/>
    <w:rsid w:val="003F2226"/>
    <w:rsid w:val="004267D3"/>
    <w:rsid w:val="00480EC2"/>
    <w:rsid w:val="004C3239"/>
    <w:rsid w:val="005325CC"/>
    <w:rsid w:val="005C78E7"/>
    <w:rsid w:val="00611BDF"/>
    <w:rsid w:val="006C07AD"/>
    <w:rsid w:val="006F5479"/>
    <w:rsid w:val="006F7EDE"/>
    <w:rsid w:val="007169A9"/>
    <w:rsid w:val="008269DC"/>
    <w:rsid w:val="008D24CB"/>
    <w:rsid w:val="00975FAA"/>
    <w:rsid w:val="009B28E7"/>
    <w:rsid w:val="009E193E"/>
    <w:rsid w:val="00A40CEE"/>
    <w:rsid w:val="00A90272"/>
    <w:rsid w:val="00AB2C81"/>
    <w:rsid w:val="00AC1230"/>
    <w:rsid w:val="00B404BD"/>
    <w:rsid w:val="00BC1128"/>
    <w:rsid w:val="00C3786A"/>
    <w:rsid w:val="00C82927"/>
    <w:rsid w:val="00C95040"/>
    <w:rsid w:val="00CA10B8"/>
    <w:rsid w:val="00CF1ACB"/>
    <w:rsid w:val="00DA01F4"/>
    <w:rsid w:val="00E551B9"/>
    <w:rsid w:val="00E813C0"/>
    <w:rsid w:val="00E90DD3"/>
    <w:rsid w:val="00F07EB8"/>
    <w:rsid w:val="00FB4EC8"/>
    <w:rsid w:val="00FC679C"/>
    <w:rsid w:val="00FF09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20F885"/>
  <w15:docId w15:val="{78A3B35B-B1A7-4833-9D38-B771A93BB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GB"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0"/>
    </w:rPr>
  </w:style>
  <w:style w:type="paragraph" w:styleId="Heading1">
    <w:name w:val="heading 1"/>
    <w:basedOn w:val="Title"/>
    <w:next w:val="Normal"/>
    <w:link w:val="Heading1Char"/>
    <w:uiPriority w:val="9"/>
    <w:qFormat/>
    <w:pPr>
      <w:numPr>
        <w:numId w:val="2"/>
      </w:numPr>
      <w:outlineLvl w:val="0"/>
    </w:pPr>
    <w:rPr>
      <w:sz w:val="46"/>
      <w:szCs w:val="52"/>
      <w:lang w:val="en-US"/>
    </w:rPr>
  </w:style>
  <w:style w:type="paragraph" w:styleId="Heading2">
    <w:name w:val="heading 2"/>
    <w:basedOn w:val="Heading4"/>
    <w:next w:val="Normal"/>
    <w:link w:val="Heading2Char"/>
    <w:uiPriority w:val="9"/>
    <w:unhideWhenUsed/>
    <w:qFormat/>
    <w:pPr>
      <w:numPr>
        <w:ilvl w:val="0"/>
        <w:numId w:val="0"/>
      </w:numPr>
      <w:outlineLvl w:val="1"/>
    </w:pPr>
    <w:rPr>
      <w:color w:val="283A97" w:themeColor="accent3"/>
      <w:sz w:val="32"/>
      <w:szCs w:val="32"/>
      <w:lang w:val="en-GB"/>
    </w:rPr>
  </w:style>
  <w:style w:type="paragraph" w:styleId="Heading3">
    <w:name w:val="heading 3"/>
    <w:basedOn w:val="Normal"/>
    <w:next w:val="Normal"/>
    <w:link w:val="Heading3Char"/>
    <w:uiPriority w:val="9"/>
    <w:unhideWhenUsed/>
    <w:qFormat/>
    <w:pPr>
      <w:keepNext/>
      <w:keepLines/>
      <w:spacing w:before="80" w:after="120" w:line="240" w:lineRule="auto"/>
      <w:outlineLvl w:val="2"/>
    </w:pPr>
    <w:rPr>
      <w:rFonts w:asciiTheme="majorHAnsi" w:eastAsiaTheme="majorEastAsia" w:hAnsiTheme="majorHAnsi" w:cstheme="majorBidi"/>
      <w:b/>
      <w:bCs/>
      <w:spacing w:val="7"/>
      <w:sz w:val="28"/>
      <w:szCs w:val="28"/>
      <w:lang w:val="en-GB"/>
    </w:rPr>
  </w:style>
  <w:style w:type="paragraph" w:styleId="Heading4">
    <w:name w:val="heading 4"/>
    <w:basedOn w:val="Normal"/>
    <w:next w:val="Normal"/>
    <w:link w:val="Heading4Char"/>
    <w:uiPriority w:val="9"/>
    <w:unhideWhenUsed/>
    <w:qFormat/>
    <w:pPr>
      <w:keepNext/>
      <w:keepLines/>
      <w:numPr>
        <w:ilvl w:val="3"/>
        <w:numId w:val="2"/>
      </w:numPr>
      <w:spacing w:before="80" w:after="0" w:line="240" w:lineRule="auto"/>
      <w:outlineLvl w:val="3"/>
    </w:pPr>
    <w:rPr>
      <w:rFonts w:asciiTheme="majorHAnsi" w:eastAsiaTheme="majorEastAsia" w:hAnsiTheme="majorHAnsi" w:cstheme="majorBidi"/>
      <w:iCs/>
      <w:color w:val="1E2B71" w:themeColor="accent3" w:themeShade="BF"/>
      <w:spacing w:val="8"/>
      <w:sz w:val="26"/>
      <w:szCs w:val="28"/>
    </w:rPr>
  </w:style>
  <w:style w:type="paragraph" w:styleId="Heading5">
    <w:name w:val="heading 5"/>
    <w:basedOn w:val="Normal"/>
    <w:next w:val="Normal"/>
    <w:link w:val="Heading5Char"/>
    <w:uiPriority w:val="9"/>
    <w:unhideWhenUsed/>
    <w:qFormat/>
    <w:pPr>
      <w:keepNext/>
      <w:keepLines/>
      <w:numPr>
        <w:ilvl w:val="4"/>
        <w:numId w:val="2"/>
      </w:numPr>
      <w:spacing w:before="80" w:after="0" w:line="240" w:lineRule="auto"/>
      <w:outlineLvl w:val="4"/>
    </w:pPr>
    <w:rPr>
      <w:rFonts w:asciiTheme="majorHAnsi" w:eastAsiaTheme="majorEastAsia" w:hAnsiTheme="majorHAnsi" w:cstheme="majorBidi"/>
      <w:color w:val="6779D7" w:themeColor="accent3" w:themeTint="99"/>
      <w:sz w:val="24"/>
      <w:szCs w:val="24"/>
    </w:rPr>
  </w:style>
  <w:style w:type="paragraph" w:styleId="Heading6">
    <w:name w:val="heading 6"/>
    <w:basedOn w:val="Normal"/>
    <w:next w:val="Normal"/>
    <w:link w:val="Heading6Char"/>
    <w:uiPriority w:val="9"/>
    <w:unhideWhenUsed/>
    <w:qFormat/>
    <w:pPr>
      <w:keepNext/>
      <w:keepLines/>
      <w:numPr>
        <w:ilvl w:val="5"/>
        <w:numId w:val="2"/>
      </w:numPr>
      <w:spacing w:before="80" w:after="0" w:line="240" w:lineRule="auto"/>
      <w:outlineLvl w:val="5"/>
    </w:pPr>
    <w:rPr>
      <w:rFonts w:asciiTheme="majorHAnsi" w:eastAsiaTheme="majorEastAsia" w:hAnsiTheme="majorHAnsi" w:cstheme="majorBidi"/>
      <w:i/>
      <w:iCs/>
      <w:color w:val="6779D7" w:themeColor="accent3" w:themeTint="99"/>
      <w:sz w:val="24"/>
      <w:szCs w:val="24"/>
    </w:rPr>
  </w:style>
  <w:style w:type="paragraph" w:styleId="Heading7">
    <w:name w:val="heading 7"/>
    <w:basedOn w:val="Normal"/>
    <w:next w:val="Normal"/>
    <w:link w:val="Heading7Char"/>
    <w:uiPriority w:val="9"/>
    <w:semiHidden/>
    <w:unhideWhenUsed/>
    <w:qFormat/>
    <w:pPr>
      <w:keepNext/>
      <w:keepLines/>
      <w:spacing w:before="80" w:after="0" w:line="240" w:lineRule="auto"/>
      <w:outlineLvl w:val="6"/>
    </w:pPr>
    <w:rPr>
      <w:rFonts w:asciiTheme="majorHAnsi" w:eastAsiaTheme="majorEastAsia" w:hAnsiTheme="majorHAnsi" w:cstheme="majorBidi"/>
      <w:color w:val="282B35" w:themeColor="text2"/>
      <w:sz w:val="24"/>
      <w:szCs w:val="24"/>
    </w:rPr>
  </w:style>
  <w:style w:type="paragraph" w:styleId="Heading8">
    <w:name w:val="heading 8"/>
    <w:basedOn w:val="Normal"/>
    <w:next w:val="Normal"/>
    <w:link w:val="Heading8Char"/>
    <w:uiPriority w:val="9"/>
    <w:semiHidden/>
    <w:unhideWhenUsed/>
    <w:qFormat/>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ptionChar">
    <w:name w:val="Caption Char"/>
    <w:uiPriority w:val="99"/>
  </w:style>
  <w:style w:type="table" w:styleId="TableGridLight">
    <w:name w:val="Grid Table Light"/>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style>
  <w:style w:type="table" w:styleId="PlainTable1">
    <w:name w:val="Plain Table 1"/>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4F5F8" w:themeColor="text1" w:themeTint="0D" w:fill="F4F5F8" w:themeFill="text1" w:themeFillTint="0D"/>
      </w:tcPr>
    </w:tblStylePr>
    <w:tblStylePr w:type="band1Horz">
      <w:tblPr/>
      <w:tcPr>
        <w:shd w:val="clear" w:color="F4F5F8" w:themeColor="text1" w:themeTint="0D" w:fill="F4F5F8" w:themeFill="text1" w:themeFillTint="0D"/>
      </w:tcPr>
    </w:tblStylePr>
  </w:style>
  <w:style w:type="table" w:styleId="PlainTable2">
    <w:name w:val="Plain Table 2"/>
    <w:basedOn w:val="TableNormal"/>
    <w:uiPriority w:val="59"/>
    <w:pPr>
      <w:spacing w:after="0" w:line="240" w:lineRule="auto"/>
    </w:pPr>
    <w:tblPr>
      <w:tblBorders>
        <w:top w:val="single" w:sz="4" w:space="0" w:color="48516A" w:themeColor="text1"/>
        <w:left w:val="none" w:sz="4" w:space="0" w:color="48516A" w:themeColor="text1"/>
        <w:bottom w:val="single" w:sz="4" w:space="0" w:color="48516A" w:themeColor="text1"/>
        <w:right w:val="none" w:sz="4" w:space="0" w:color="48516A" w:themeColor="text1"/>
      </w:tblBorders>
    </w:tblPr>
    <w:tblStylePr w:type="firstRow">
      <w:rPr>
        <w:rFonts w:ascii="Arial" w:hAnsi="Arial"/>
        <w:b/>
        <w:color w:val="404040"/>
        <w:sz w:val="22"/>
      </w:rPr>
      <w:tblPr/>
      <w:tcPr>
        <w:tcBorders>
          <w:top w:val="single" w:sz="4" w:space="0" w:color="48516A" w:themeColor="text1"/>
          <w:bottom w:val="single" w:sz="4" w:space="0" w:color="48516A"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48516A" w:themeColor="text1"/>
          <w:right w:val="single" w:sz="4" w:space="0" w:color="48516A" w:themeColor="text1"/>
        </w:tcBorders>
      </w:tcPr>
    </w:tblStylePr>
    <w:tblStylePr w:type="band2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insideH w:val="single" w:sz="4" w:space="0" w:color="AFB5C8" w:themeColor="text1" w:themeTint="67"/>
        <w:insideV w:val="single" w:sz="4" w:space="0" w:color="AFB5C8" w:themeColor="text1" w:themeTint="67"/>
      </w:tblBorders>
    </w:tblPr>
    <w:tblStylePr w:type="firstRow">
      <w:rPr>
        <w:b/>
        <w:color w:val="404040"/>
      </w:rPr>
      <w:tblPr/>
      <w:tcPr>
        <w:tcBorders>
          <w:bottom w:val="single" w:sz="12" w:space="0" w:color="8B95B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tcBorders>
      </w:tcPr>
    </w:tblStyle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b/>
        <w:color w:val="404040"/>
      </w:rPr>
      <w:tblPr/>
      <w:tcPr>
        <w:tcBorders>
          <w:bottom w:val="single" w:sz="12" w:space="0" w:color="39FF92"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b/>
        <w:color w:val="404040"/>
      </w:rPr>
      <w:tblPr/>
      <w:tcPr>
        <w:tcBorders>
          <w:bottom w:val="single" w:sz="12" w:space="0" w:color="2DFFE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b/>
        <w:color w:val="404040"/>
      </w:rPr>
      <w:tblPr/>
      <w:tcPr>
        <w:tcBorders>
          <w:bottom w:val="single" w:sz="12" w:space="0" w:color="6B7CD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b/>
        <w:color w:val="404040"/>
      </w:rPr>
      <w:tblPr/>
      <w:tcPr>
        <w:tcBorders>
          <w:bottom w:val="single" w:sz="12" w:space="0" w:color="BFDE8E"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b/>
        <w:color w:val="404040"/>
      </w:rPr>
      <w:tblPr/>
      <w:tcPr>
        <w:tcBorders>
          <w:bottom w:val="single" w:sz="12" w:space="0" w:color="ACD4D0"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b/>
        <w:color w:val="404040"/>
      </w:rPr>
      <w:tblPr/>
      <w:tcPr>
        <w:tcBorders>
          <w:bottom w:val="single" w:sz="12" w:space="0" w:color="F6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single" w:sz="12" w:space="0" w:color="8B95B0" w:themeColor="text1" w:themeTint="95"/>
          <w:right w:val="none" w:sz="4" w:space="0" w:color="000000"/>
        </w:tcBorders>
        <w:shd w:val="clear" w:color="FFFFFF" w:fill="auto"/>
      </w:tcPr>
    </w:tblStylePr>
    <w:tblStylePr w:type="lastRow">
      <w:rPr>
        <w:b/>
        <w:color w:val="404040"/>
      </w:rPr>
      <w:tblPr/>
      <w:tcPr>
        <w:tcBorders>
          <w:top w:val="single" w:sz="4" w:space="0" w:color="8B95B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2-Accent1">
    <w:name w:val="Grid Table 2 Accent 1"/>
    <w:basedOn w:val="TableNormal"/>
    <w:uiPriority w:val="47"/>
    <w:tblPr>
      <w:tblStyleRowBandSize w:val="1"/>
      <w:tblStyleColBandSize w:val="1"/>
      <w:tblBorders>
        <w:top w:val="single" w:sz="2" w:space="0" w:color="64B4D2"/>
        <w:bottom w:val="single" w:sz="2" w:space="0" w:color="64B4D2"/>
        <w:insideH w:val="single" w:sz="2" w:space="0" w:color="64B4D2"/>
        <w:insideV w:val="single" w:sz="2" w:space="0" w:color="64B4D2"/>
      </w:tblBorders>
    </w:tblPr>
    <w:tblStylePr w:type="firstRow">
      <w:rPr>
        <w:b/>
        <w:bCs/>
      </w:rPr>
      <w:tblPr/>
      <w:tcPr>
        <w:tcBorders>
          <w:top w:val="none" w:sz="4" w:space="0" w:color="000000"/>
          <w:bottom w:val="single" w:sz="12" w:space="0" w:color="64B4D2"/>
        </w:tcBorders>
        <w:shd w:val="clear" w:color="auto" w:fill="FFFFFF"/>
      </w:tcPr>
    </w:tblStylePr>
    <w:tblStylePr w:type="lastRow">
      <w:rPr>
        <w:b/>
        <w:bCs/>
      </w:rPr>
      <w:tblPr/>
      <w:tcPr>
        <w:tcBorders>
          <w:top w:val="single" w:sz="2" w:space="0" w:color="64B4D2"/>
          <w:bottom w:val="none" w:sz="4" w:space="0" w:color="000000"/>
        </w:tcBorders>
        <w:shd w:val="clear" w:color="auto" w:fill="FFFFFF"/>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single" w:sz="12" w:space="0" w:color="2BFFE9" w:themeColor="accent2" w:themeTint="97"/>
          <w:right w:val="none" w:sz="4" w:space="0" w:color="000000"/>
        </w:tcBorders>
        <w:shd w:val="clear" w:color="FFFFFF" w:fill="auto"/>
      </w:tcPr>
    </w:tblStylePr>
    <w:tblStylePr w:type="lastRow">
      <w:rPr>
        <w:b/>
        <w:color w:val="404040"/>
      </w:rPr>
      <w:tblPr/>
      <w:tcPr>
        <w:tcBorders>
          <w:top w:val="single" w:sz="4" w:space="0" w:color="2BFFE9"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single" w:sz="12" w:space="0" w:color="283A97" w:themeColor="accent3" w:themeTint="FE"/>
          <w:right w:val="none" w:sz="4" w:space="0" w:color="000000"/>
        </w:tcBorders>
        <w:shd w:val="clear" w:color="FFFFFF" w:fill="auto"/>
      </w:tcPr>
    </w:tblStylePr>
    <w:tblStylePr w:type="lastRow">
      <w:rPr>
        <w:b/>
        <w:color w:val="404040"/>
      </w:rPr>
      <w:tblPr/>
      <w:tcPr>
        <w:tcBorders>
          <w:top w:val="single" w:sz="4" w:space="0" w:color="283A97"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single" w:sz="12" w:space="0" w:color="BDDD8A" w:themeColor="accent4" w:themeTint="9A"/>
          <w:right w:val="none" w:sz="4" w:space="0" w:color="000000"/>
        </w:tcBorders>
        <w:shd w:val="clear" w:color="FFFFFF" w:fill="auto"/>
      </w:tcPr>
    </w:tblStylePr>
    <w:tblStylePr w:type="lastRow">
      <w:rPr>
        <w:b/>
        <w:color w:val="404040"/>
      </w:rPr>
      <w:tblPr/>
      <w:tcPr>
        <w:tcBorders>
          <w:top w:val="single" w:sz="4" w:space="0" w:color="BDDD8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single" w:sz="12" w:space="0" w:color="72B6B0" w:themeColor="accent5"/>
          <w:right w:val="none" w:sz="4" w:space="0" w:color="000000"/>
        </w:tcBorders>
        <w:shd w:val="clear" w:color="FFFFFF" w:fill="auto"/>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single" w:sz="12" w:space="0" w:color="F0B142" w:themeColor="accent6"/>
          <w:right w:val="none" w:sz="4" w:space="0" w:color="000000"/>
        </w:tcBorders>
        <w:shd w:val="clear" w:color="FFFFFF" w:fill="auto"/>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C75A" w:themeColor="accent1" w:themeTint="EA"/>
        <w:insideH w:val="single" w:sz="4" w:space="0" w:color="00C75A" w:themeColor="accent1" w:themeTint="EA"/>
        <w:insideV w:val="single" w:sz="4" w:space="0" w:color="00C75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D9" w:themeColor="accent1" w:themeTint="34" w:fill="BAFFD9" w:themeFill="accent1" w:themeFillTint="34"/>
      </w:tcPr>
    </w:tblStylePr>
    <w:tblStylePr w:type="band1Horz">
      <w:rPr>
        <w:rFonts w:ascii="Arial" w:hAnsi="Arial"/>
        <w:color w:val="404040"/>
        <w:sz w:val="22"/>
      </w:rPr>
      <w:tblPr/>
      <w:tcPr>
        <w:shd w:val="clear" w:color="BAFFD9" w:themeColor="accent1" w:themeTint="34" w:fill="BAFFD9"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8F98B3" w:themeColor="text1" w:themeTint="90"/>
        <w:left w:val="single" w:sz="4" w:space="0" w:color="8F98B3" w:themeColor="text1" w:themeTint="90"/>
        <w:bottom w:val="single" w:sz="4" w:space="0" w:color="8F98B3" w:themeColor="text1" w:themeTint="90"/>
        <w:right w:val="single" w:sz="4" w:space="0" w:color="8F98B3" w:themeColor="text1" w:themeTint="90"/>
        <w:insideH w:val="single" w:sz="4" w:space="0" w:color="8F98B3" w:themeColor="text1" w:themeTint="90"/>
        <w:insideV w:val="single" w:sz="4" w:space="0" w:color="8F98B3" w:themeColor="text1" w:themeTint="90"/>
      </w:tblBorders>
    </w:tblPr>
    <w:tblStylePr w:type="firstRow">
      <w:rPr>
        <w:rFonts w:ascii="Arial" w:hAnsi="Arial"/>
        <w:b/>
        <w:color w:val="FFFFFF"/>
        <w:sz w:val="22"/>
      </w:rPr>
      <w:tblPr/>
      <w:tcPr>
        <w:tcBorders>
          <w:top w:val="single" w:sz="4" w:space="0" w:color="48516A" w:themeColor="text1"/>
          <w:left w:val="single" w:sz="4" w:space="0" w:color="48516A" w:themeColor="text1"/>
          <w:bottom w:val="single" w:sz="4" w:space="0" w:color="48516A" w:themeColor="text1"/>
          <w:right w:val="single" w:sz="4" w:space="0" w:color="48516A" w:themeColor="text1"/>
        </w:tcBorders>
        <w:shd w:val="clear" w:color="48516A" w:themeColor="text1" w:fill="48516A" w:themeFill="text1"/>
      </w:tcPr>
    </w:tblStylePr>
    <w:tblStylePr w:type="lastRow">
      <w:rPr>
        <w:b/>
        <w:color w:val="404040"/>
      </w:rPr>
      <w:tblPr/>
      <w:tcPr>
        <w:tcBorders>
          <w:top w:val="single" w:sz="4" w:space="0" w:color="48516A"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4-Accent1">
    <w:name w:val="Grid Table 4 Accent 1"/>
    <w:basedOn w:val="TableNormal"/>
    <w:uiPriority w:val="49"/>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insideV w:val="single" w:sz="4" w:space="0" w:color="64B4D2"/>
      </w:tblBorders>
    </w:tblPr>
    <w:tblStylePr w:type="firstRow">
      <w:rPr>
        <w:b/>
        <w:bCs/>
        <w:color w:val="FFFFFF"/>
      </w:rPr>
      <w:tblPr/>
      <w:tcPr>
        <w:tcBorders>
          <w:top w:val="single" w:sz="4" w:space="0" w:color="28708B"/>
          <w:left w:val="single" w:sz="4" w:space="0" w:color="28708B"/>
          <w:bottom w:val="single" w:sz="4" w:space="0" w:color="28708B"/>
          <w:right w:val="single" w:sz="4" w:space="0" w:color="28708B"/>
        </w:tcBorders>
        <w:shd w:val="clear" w:color="auto" w:fill="28708B"/>
      </w:tcPr>
    </w:tblStylePr>
    <w:tblStylePr w:type="lastRow">
      <w:rPr>
        <w:b/>
        <w:bCs/>
      </w:rPr>
      <w:tblPr/>
      <w:tcPr>
        <w:tcBorders>
          <w:top w:val="single" w:sz="4" w:space="0" w:color="28708B"/>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4-Accent2">
    <w:name w:val="Grid Table 4 Accent 2"/>
    <w:basedOn w:val="TableNormal"/>
    <w:uiPriority w:val="49"/>
    <w:tblPr>
      <w:tblStyleRowBandSize w:val="1"/>
      <w:tblStyleColBandSize w:val="1"/>
    </w:tblPr>
    <w:tcPr>
      <w:shd w:val="clear" w:color="auto" w:fill="ECECEC"/>
      <w:vAlign w:val="center"/>
    </w:tcPr>
    <w:tblStylePr w:type="firstRow">
      <w:rPr>
        <w:b/>
        <w:bCs/>
        <w:color w:val="FFFFFF"/>
      </w:rPr>
      <w:tblPr/>
      <w:tcPr>
        <w:tcBorders>
          <w:top w:val="single" w:sz="4" w:space="0" w:color="75BC22"/>
          <w:left w:val="single" w:sz="4" w:space="0" w:color="75BC22"/>
          <w:bottom w:val="single" w:sz="4" w:space="0" w:color="75BC22"/>
          <w:right w:val="single" w:sz="4" w:space="0" w:color="75BC22"/>
        </w:tcBorders>
        <w:shd w:val="clear" w:color="auto" w:fill="75BC22"/>
      </w:tcPr>
    </w:tblStylePr>
    <w:tblStylePr w:type="lastRow">
      <w:rPr>
        <w:b/>
        <w:bCs/>
      </w:rPr>
      <w:tblPr/>
      <w:tcPr>
        <w:tcBorders>
          <w:top w:val="single" w:sz="4" w:space="0" w:color="75BC22"/>
        </w:tcBorders>
      </w:tcPr>
    </w:tblStylePr>
    <w:tblStylePr w:type="firstCol">
      <w:rPr>
        <w:b/>
        <w:bCs/>
      </w:rPr>
    </w:tblStylePr>
    <w:tblStylePr w:type="lastCol">
      <w:rPr>
        <w:b/>
        <w:bCs/>
      </w:rPr>
    </w:tblStylePr>
    <w:tblStylePr w:type="band2Horz">
      <w:tblPr/>
      <w:tcPr>
        <w:shd w:val="clear" w:color="auto" w:fill="FFFFFF"/>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insideV w:val="single" w:sz="4" w:space="0" w:color="7081D9" w:themeColor="accent3" w:themeTint="90"/>
      </w:tblBorders>
    </w:tblPr>
    <w:tblStylePr w:type="firstRow">
      <w:rPr>
        <w:rFonts w:ascii="Arial" w:hAnsi="Arial"/>
        <w:b/>
        <w:color w:val="FFFFFF"/>
        <w:sz w:val="22"/>
      </w:rPr>
      <w:tblPr/>
      <w:tcPr>
        <w:tc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tcBorders>
        <w:shd w:val="clear" w:color="283A97" w:themeColor="accent3" w:themeTint="FE" w:fill="283A97" w:themeFill="accent3" w:themeFillTint="FE"/>
      </w:tcPr>
    </w:tblStylePr>
    <w:tblStylePr w:type="lastRow">
      <w:rPr>
        <w:b/>
        <w:color w:val="404040"/>
      </w:rPr>
      <w:tblPr/>
      <w:tcPr>
        <w:tcBorders>
          <w:top w:val="single" w:sz="4" w:space="0" w:color="283A97"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insideV w:val="single" w:sz="4" w:space="0" w:color="C1E091" w:themeColor="accent4" w:themeTint="90"/>
      </w:tblBorders>
    </w:tblPr>
    <w:tblStylePr w:type="firstRow">
      <w:rPr>
        <w:rFonts w:ascii="Arial" w:hAnsi="Arial"/>
        <w:b/>
        <w:color w:val="FFFFFF"/>
        <w:sz w:val="22"/>
      </w:rPr>
      <w:tblPr/>
      <w:tcPr>
        <w:tc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cBorders>
        <w:shd w:val="clear" w:color="BDDD8A" w:themeColor="accent4" w:themeTint="9A" w:fill="BDDD8A" w:themeFill="accent4" w:themeFillTint="9A"/>
      </w:tcPr>
    </w:tblStylePr>
    <w:tblStylePr w:type="lastRow">
      <w:rPr>
        <w:b/>
        <w:color w:val="404040"/>
      </w:rPr>
      <w:tblPr/>
      <w:tcPr>
        <w:tcBorders>
          <w:top w:val="single" w:sz="4" w:space="0" w:color="BDDD8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4-Accent5">
    <w:name w:val="Grid Table 4 Accent 5"/>
    <w:basedOn w:val="TableNormal"/>
    <w:uiPriority w:val="49"/>
    <w:tblPr>
      <w:tblStyleRowBandSize w:val="1"/>
      <w:tblStyleColBandSize w:val="1"/>
      <w:tblBorders>
        <w:top w:val="single" w:sz="4" w:space="0" w:color="EEED95"/>
        <w:left w:val="single" w:sz="4" w:space="0" w:color="EEED95"/>
        <w:bottom w:val="single" w:sz="4" w:space="0" w:color="EEED95"/>
        <w:right w:val="single" w:sz="4" w:space="0" w:color="EEED95"/>
        <w:insideH w:val="single" w:sz="4" w:space="0" w:color="EEED95"/>
        <w:insideV w:val="single" w:sz="4" w:space="0" w:color="EEED95"/>
      </w:tblBorders>
    </w:tblPr>
    <w:tblStylePr w:type="firstRow">
      <w:rPr>
        <w:b/>
        <w:bCs/>
        <w:color w:val="0A2134"/>
      </w:rPr>
      <w:tblPr/>
      <w:tcPr>
        <w:shd w:val="clear" w:color="auto" w:fill="FEC111"/>
      </w:tcPr>
    </w:tblStylePr>
    <w:tblStylePr w:type="lastRow">
      <w:rPr>
        <w:b/>
        <w:bCs/>
      </w:rPr>
      <w:tblPr/>
      <w:tcPr>
        <w:tcBorders>
          <w:top w:val="single" w:sz="4" w:space="0" w:color="E3E24F"/>
        </w:tcBorders>
      </w:tcPr>
    </w:tblStylePr>
    <w:tblStylePr w:type="firstCol">
      <w:rPr>
        <w:b/>
        <w:bCs/>
      </w:rPr>
    </w:tblStylePr>
    <w:tblStylePr w:type="lastCol">
      <w:rPr>
        <w:b/>
        <w:bCs/>
      </w:rPr>
    </w:tblStylePr>
    <w:tblStylePr w:type="band1Vert">
      <w:tblPr/>
      <w:tcPr>
        <w:shd w:val="clear" w:color="auto" w:fill="F9F9DB"/>
      </w:tcPr>
    </w:tblStylePr>
    <w:tblStylePr w:type="band1Horz">
      <w:tblPr/>
      <w:tcPr>
        <w:shd w:val="clear" w:color="auto" w:fill="F9F9DB"/>
      </w:tcPr>
    </w:tblStylePr>
  </w:style>
  <w:style w:type="table" w:styleId="GridTable4-Accent6">
    <w:name w:val="Grid Table 4 Accent 6"/>
    <w:basedOn w:val="TableNormal"/>
    <w:uiPriority w:val="49"/>
    <w:tblPr>
      <w:tblStyleRowBandSize w:val="1"/>
      <w:tblStyleColBandSize w:val="1"/>
      <w:tblBorders>
        <w:top w:val="single" w:sz="4" w:space="0" w:color="DAF4F6"/>
        <w:left w:val="single" w:sz="4" w:space="0" w:color="DAF4F6"/>
        <w:bottom w:val="single" w:sz="4" w:space="0" w:color="DAF4F6"/>
        <w:right w:val="single" w:sz="4" w:space="0" w:color="DAF4F6"/>
        <w:insideH w:val="single" w:sz="4" w:space="0" w:color="DAF4F6"/>
        <w:insideV w:val="single" w:sz="4" w:space="0" w:color="DAF4F6"/>
      </w:tblBorders>
    </w:tblPr>
    <w:tblStylePr w:type="firstRow">
      <w:rPr>
        <w:b/>
        <w:bCs/>
        <w:color w:val="FFFFFF"/>
      </w:rPr>
      <w:tblPr/>
      <w:tcPr>
        <w:shd w:val="clear" w:color="auto" w:fill="75BC43"/>
      </w:tcPr>
    </w:tblStylePr>
    <w:tblStylePr w:type="lastRow">
      <w:rPr>
        <w:b/>
        <w:bCs/>
      </w:rPr>
      <w:tblPr/>
      <w:tcPr>
        <w:tcBorders>
          <w:top w:val="single" w:sz="4" w:space="0" w:color="C2EDF0"/>
        </w:tcBorders>
      </w:tcPr>
    </w:tblStylePr>
    <w:tblStylePr w:type="firstCol">
      <w:rPr>
        <w:b/>
        <w:bCs/>
      </w:rPr>
    </w:tblStylePr>
    <w:tblStylePr w:type="lastCol">
      <w:rPr>
        <w:b/>
        <w:bCs/>
      </w:rPr>
    </w:tblStylePr>
    <w:tblStylePr w:type="band1Vert">
      <w:tblPr/>
      <w:tcPr>
        <w:shd w:val="clear" w:color="auto" w:fill="F2FBFC"/>
      </w:tcPr>
    </w:tblStylePr>
    <w:tblStylePr w:type="band1Horz">
      <w:tblPr/>
      <w:tcPr>
        <w:shd w:val="clear" w:color="auto" w:fill="DDEED0"/>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DD1DD" w:themeColor="text1" w:themeTint="40" w:fill="CDD1DD" w:themeFill="text1" w:themeFillTint="40"/>
    </w:tblPr>
    <w:tblStylePr w:type="firstRow">
      <w:rPr>
        <w:rFonts w:ascii="Arial" w:hAnsi="Arial"/>
        <w:b/>
        <w:color w:val="FFFFFF"/>
        <w:sz w:val="22"/>
      </w:rPr>
      <w:tblPr/>
      <w:tcPr>
        <w:shd w:val="clear" w:color="48516A" w:themeColor="text1" w:fill="48516A" w:themeFill="text1"/>
      </w:tcPr>
    </w:tblStylePr>
    <w:tblStylePr w:type="lastRow">
      <w:rPr>
        <w:rFonts w:ascii="Arial" w:hAnsi="Arial"/>
        <w:b/>
        <w:color w:val="FFFFFF"/>
        <w:sz w:val="22"/>
      </w:rPr>
      <w:tblPr/>
      <w:tcPr>
        <w:tcBorders>
          <w:top w:val="single" w:sz="4" w:space="0" w:color="FFFFFF" w:themeColor="light1"/>
        </w:tcBorders>
        <w:shd w:val="clear" w:color="48516A" w:themeColor="text1" w:fill="48516A" w:themeFill="text1"/>
      </w:tcPr>
    </w:tblStylePr>
    <w:tblStylePr w:type="firstCol">
      <w:rPr>
        <w:rFonts w:ascii="Arial" w:hAnsi="Arial"/>
        <w:b/>
        <w:color w:val="FFFFFF"/>
        <w:sz w:val="22"/>
      </w:rPr>
      <w:tblPr/>
      <w:tcPr>
        <w:shd w:val="clear" w:color="48516A" w:themeColor="text1" w:fill="48516A" w:themeFill="text1"/>
      </w:tcPr>
    </w:tblStylePr>
    <w:tblStylePr w:type="lastCol">
      <w:rPr>
        <w:rFonts w:ascii="Arial" w:hAnsi="Arial"/>
        <w:b/>
        <w:color w:val="FFFFFF"/>
        <w:sz w:val="22"/>
      </w:rPr>
      <w:tblPr/>
      <w:tcPr>
        <w:shd w:val="clear" w:color="48516A" w:themeColor="text1" w:fill="48516A" w:themeFill="text1"/>
      </w:tcPr>
    </w:tblStylePr>
    <w:tblStylePr w:type="band1Vert">
      <w:tblPr/>
      <w:tcPr>
        <w:shd w:val="clear" w:color="A4ABC1" w:themeColor="text1" w:themeTint="75" w:fill="A4ABC1" w:themeFill="text1" w:themeFillTint="75"/>
      </w:tcPr>
    </w:tblStylePr>
    <w:tblStylePr w:type="band1Horz">
      <w:tblPr/>
      <w:tcPr>
        <w:shd w:val="clear" w:color="A4ABC1" w:themeColor="text1" w:themeTint="75" w:fill="A4ABC1"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D9" w:themeColor="accent1" w:themeTint="34" w:fill="BAFFD9" w:themeFill="accent1" w:themeFillTint="34"/>
    </w:tblPr>
    <w:tblStylePr w:type="firstRow">
      <w:rPr>
        <w:rFonts w:ascii="Arial" w:hAnsi="Arial"/>
        <w:b/>
        <w:color w:val="FFFFFF"/>
        <w:sz w:val="22"/>
      </w:rPr>
      <w:tblPr/>
      <w:tcPr>
        <w:shd w:val="clear" w:color="00AC4E" w:themeColor="accent1" w:fill="00AC4E" w:themeFill="accent1"/>
      </w:tcPr>
    </w:tblStylePr>
    <w:tblStylePr w:type="lastRow">
      <w:rPr>
        <w:rFonts w:ascii="Arial" w:hAnsi="Arial"/>
        <w:b/>
        <w:color w:val="FFFFFF"/>
        <w:sz w:val="22"/>
      </w:rPr>
      <w:tblPr/>
      <w:tcPr>
        <w:tcBorders>
          <w:top w:val="single" w:sz="4" w:space="0" w:color="FFFFFF" w:themeColor="light1"/>
        </w:tcBorders>
        <w:shd w:val="clear" w:color="00AC4E" w:themeColor="accent1" w:fill="00AC4E" w:themeFill="accent1"/>
      </w:tcPr>
    </w:tblStylePr>
    <w:tblStylePr w:type="firstCol">
      <w:rPr>
        <w:rFonts w:ascii="Arial" w:hAnsi="Arial"/>
        <w:b/>
        <w:color w:val="FFFFFF"/>
        <w:sz w:val="22"/>
      </w:rPr>
      <w:tblPr/>
      <w:tcPr>
        <w:shd w:val="clear" w:color="00AC4E" w:themeColor="accent1" w:fill="00AC4E" w:themeFill="accent1"/>
      </w:tcPr>
    </w:tblStylePr>
    <w:tblStylePr w:type="lastCol">
      <w:rPr>
        <w:rFonts w:ascii="Arial" w:hAnsi="Arial"/>
        <w:b/>
        <w:color w:val="FFFFFF"/>
        <w:sz w:val="22"/>
      </w:rPr>
      <w:tblPr/>
      <w:tcPr>
        <w:shd w:val="clear" w:color="00AC4E" w:themeColor="accent1" w:fill="00AC4E" w:themeFill="accent1"/>
      </w:tcPr>
    </w:tblStylePr>
    <w:tblStylePr w:type="band1Vert">
      <w:tblPr/>
      <w:tcPr>
        <w:shd w:val="clear" w:color="63FFA9" w:themeColor="accent1" w:themeTint="75" w:fill="63FFA9" w:themeFill="accent1" w:themeFillTint="75"/>
      </w:tcPr>
    </w:tblStylePr>
    <w:tblStylePr w:type="band1Horz">
      <w:tblPr/>
      <w:tcPr>
        <w:shd w:val="clear" w:color="63FFA9" w:themeColor="accent1" w:themeTint="75" w:fill="63FFA9" w:themeFill="accent1" w:themeFillTint="75"/>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FFF7" w:themeColor="accent2" w:themeTint="32" w:fill="B8FFF7" w:themeFill="accent2" w:themeFillTint="32"/>
    </w:tblPr>
    <w:tblStylePr w:type="firstRow">
      <w:rPr>
        <w:rFonts w:ascii="Arial" w:hAnsi="Arial"/>
        <w:b/>
        <w:color w:val="FFFFFF"/>
        <w:sz w:val="22"/>
      </w:rPr>
      <w:tblPr/>
      <w:tcPr>
        <w:shd w:val="clear" w:color="009889" w:themeColor="accent2" w:fill="009889" w:themeFill="accent2"/>
      </w:tcPr>
    </w:tblStylePr>
    <w:tblStylePr w:type="lastRow">
      <w:rPr>
        <w:rFonts w:ascii="Arial" w:hAnsi="Arial"/>
        <w:b/>
        <w:color w:val="FFFFFF"/>
        <w:sz w:val="22"/>
      </w:rPr>
      <w:tblPr/>
      <w:tcPr>
        <w:tcBorders>
          <w:top w:val="single" w:sz="4" w:space="0" w:color="FFFFFF" w:themeColor="light1"/>
        </w:tcBorders>
        <w:shd w:val="clear" w:color="009889" w:themeColor="accent2" w:fill="009889" w:themeFill="accent2"/>
      </w:tcPr>
    </w:tblStylePr>
    <w:tblStylePr w:type="firstCol">
      <w:rPr>
        <w:rFonts w:ascii="Arial" w:hAnsi="Arial"/>
        <w:b/>
        <w:color w:val="FFFFFF"/>
        <w:sz w:val="22"/>
      </w:rPr>
      <w:tblPr/>
      <w:tcPr>
        <w:shd w:val="clear" w:color="009889" w:themeColor="accent2" w:fill="009889" w:themeFill="accent2"/>
      </w:tcPr>
    </w:tblStylePr>
    <w:tblStylePr w:type="lastCol">
      <w:rPr>
        <w:rFonts w:ascii="Arial" w:hAnsi="Arial"/>
        <w:b/>
        <w:color w:val="FFFFFF"/>
        <w:sz w:val="22"/>
      </w:rPr>
      <w:tblPr/>
      <w:tcPr>
        <w:shd w:val="clear" w:color="009889" w:themeColor="accent2" w:fill="009889" w:themeFill="accent2"/>
      </w:tcPr>
    </w:tblStylePr>
    <w:tblStylePr w:type="band1Vert">
      <w:tblPr/>
      <w:tcPr>
        <w:shd w:val="clear" w:color="5AFFEE" w:themeColor="accent2" w:themeTint="75" w:fill="5AFFEE" w:themeFill="accent2" w:themeFillTint="75"/>
      </w:tcPr>
    </w:tblStylePr>
    <w:tblStylePr w:type="band1Horz">
      <w:tblPr/>
      <w:tcPr>
        <w:shd w:val="clear" w:color="5AFFEE" w:themeColor="accent2" w:themeTint="75" w:fill="5AFFEE"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D1F1" w:themeColor="accent3" w:themeTint="34" w:fill="CBD1F1" w:themeFill="accent3" w:themeFillTint="34"/>
    </w:tblPr>
    <w:tblStylePr w:type="firstRow">
      <w:rPr>
        <w:rFonts w:ascii="Arial" w:hAnsi="Arial"/>
        <w:b/>
        <w:color w:val="FFFFFF"/>
        <w:sz w:val="22"/>
      </w:rPr>
      <w:tblPr/>
      <w:tcPr>
        <w:shd w:val="clear" w:color="283A97" w:themeColor="accent3" w:fill="283A97" w:themeFill="accent3"/>
      </w:tcPr>
    </w:tblStylePr>
    <w:tblStylePr w:type="lastRow">
      <w:rPr>
        <w:rFonts w:ascii="Arial" w:hAnsi="Arial"/>
        <w:b/>
        <w:color w:val="FFFFFF"/>
        <w:sz w:val="22"/>
      </w:rPr>
      <w:tblPr/>
      <w:tcPr>
        <w:tcBorders>
          <w:top w:val="single" w:sz="4" w:space="0" w:color="FFFFFF" w:themeColor="light1"/>
        </w:tcBorders>
        <w:shd w:val="clear" w:color="283A97" w:themeColor="accent3" w:fill="283A97" w:themeFill="accent3"/>
      </w:tcPr>
    </w:tblStylePr>
    <w:tblStylePr w:type="firstCol">
      <w:rPr>
        <w:rFonts w:ascii="Arial" w:hAnsi="Arial"/>
        <w:b/>
        <w:color w:val="FFFFFF"/>
        <w:sz w:val="22"/>
      </w:rPr>
      <w:tblPr/>
      <w:tcPr>
        <w:shd w:val="clear" w:color="283A97" w:themeColor="accent3" w:fill="283A97" w:themeFill="accent3"/>
      </w:tcPr>
    </w:tblStylePr>
    <w:tblStylePr w:type="lastCol">
      <w:rPr>
        <w:rFonts w:ascii="Arial" w:hAnsi="Arial"/>
        <w:b/>
        <w:color w:val="FFFFFF"/>
        <w:sz w:val="22"/>
      </w:rPr>
      <w:tblPr/>
      <w:tcPr>
        <w:shd w:val="clear" w:color="283A97" w:themeColor="accent3" w:fill="283A97" w:themeFill="accent3"/>
      </w:tcPr>
    </w:tblStylePr>
    <w:tblStylePr w:type="band1Vert">
      <w:tblPr/>
      <w:tcPr>
        <w:shd w:val="clear" w:color="8B98E0" w:themeColor="accent3" w:themeTint="75" w:fill="8B98E0" w:themeFill="accent3" w:themeFillTint="75"/>
      </w:tcPr>
    </w:tblStylePr>
    <w:tblStylePr w:type="band1Horz">
      <w:tblPr/>
      <w:tcPr>
        <w:shd w:val="clear" w:color="8B98E0" w:themeColor="accent3" w:themeTint="75" w:fill="8B98E0" w:themeFill="accent3"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8F3D7" w:themeColor="accent4" w:themeTint="34" w:fill="E8F3D7" w:themeFill="accent4" w:themeFillTint="34"/>
    </w:tblPr>
    <w:tblStylePr w:type="firstRow">
      <w:rPr>
        <w:rFonts w:ascii="Arial" w:hAnsi="Arial"/>
        <w:b/>
        <w:color w:val="FFFFFF"/>
        <w:sz w:val="22"/>
      </w:rPr>
      <w:tblPr/>
      <w:tcPr>
        <w:shd w:val="clear" w:color="92C83E" w:themeColor="accent4" w:fill="92C83E" w:themeFill="accent4"/>
      </w:tcPr>
    </w:tblStylePr>
    <w:tblStylePr w:type="lastRow">
      <w:rPr>
        <w:rFonts w:ascii="Arial" w:hAnsi="Arial"/>
        <w:b/>
        <w:color w:val="FFFFFF"/>
        <w:sz w:val="22"/>
      </w:rPr>
      <w:tblPr/>
      <w:tcPr>
        <w:tcBorders>
          <w:top w:val="single" w:sz="4" w:space="0" w:color="FFFFFF" w:themeColor="light1"/>
        </w:tcBorders>
        <w:shd w:val="clear" w:color="92C83E" w:themeColor="accent4" w:fill="92C83E" w:themeFill="accent4"/>
      </w:tcPr>
    </w:tblStylePr>
    <w:tblStylePr w:type="firstCol">
      <w:rPr>
        <w:rFonts w:ascii="Arial" w:hAnsi="Arial"/>
        <w:b/>
        <w:color w:val="FFFFFF"/>
        <w:sz w:val="22"/>
      </w:rPr>
      <w:tblPr/>
      <w:tcPr>
        <w:shd w:val="clear" w:color="92C83E" w:themeColor="accent4" w:fill="92C83E" w:themeFill="accent4"/>
      </w:tcPr>
    </w:tblStylePr>
    <w:tblStylePr w:type="lastCol">
      <w:rPr>
        <w:rFonts w:ascii="Arial" w:hAnsi="Arial"/>
        <w:b/>
        <w:color w:val="FFFFFF"/>
        <w:sz w:val="22"/>
      </w:rPr>
      <w:tblPr/>
      <w:tcPr>
        <w:shd w:val="clear" w:color="92C83E" w:themeColor="accent4" w:fill="92C83E" w:themeFill="accent4"/>
      </w:tcPr>
    </w:tblStylePr>
    <w:tblStylePr w:type="band1Vert">
      <w:tblPr/>
      <w:tcPr>
        <w:shd w:val="clear" w:color="CCE5A6" w:themeColor="accent4" w:themeTint="75" w:fill="CCE5A6" w:themeFill="accent4" w:themeFillTint="75"/>
      </w:tcPr>
    </w:tblStylePr>
    <w:tblStylePr w:type="band1Horz">
      <w:tblPr/>
      <w:tcPr>
        <w:shd w:val="clear" w:color="CCE5A6" w:themeColor="accent4" w:themeTint="75" w:fill="CCE5A6" w:themeFill="accent4"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0EE" w:themeColor="accent5" w:themeTint="34" w:fill="E2F0EE" w:themeFill="accent5" w:themeFillTint="34"/>
    </w:tblPr>
    <w:tblStylePr w:type="firstRow">
      <w:rPr>
        <w:rFonts w:ascii="Arial" w:hAnsi="Arial"/>
        <w:b/>
        <w:color w:val="FFFFFF"/>
        <w:sz w:val="22"/>
      </w:rPr>
      <w:tblPr/>
      <w:tcPr>
        <w:shd w:val="clear" w:color="72B6B0" w:themeColor="accent5" w:fill="72B6B0" w:themeFill="accent5"/>
      </w:tcPr>
    </w:tblStylePr>
    <w:tblStylePr w:type="lastRow">
      <w:rPr>
        <w:rFonts w:ascii="Arial" w:hAnsi="Arial"/>
        <w:b/>
        <w:color w:val="FFFFFF"/>
        <w:sz w:val="22"/>
      </w:rPr>
      <w:tblPr/>
      <w:tcPr>
        <w:tcBorders>
          <w:top w:val="single" w:sz="4" w:space="0" w:color="FFFFFF" w:themeColor="light1"/>
        </w:tcBorders>
        <w:shd w:val="clear" w:color="72B6B0" w:themeColor="accent5" w:fill="72B6B0" w:themeFill="accent5"/>
      </w:tcPr>
    </w:tblStylePr>
    <w:tblStylePr w:type="firstCol">
      <w:rPr>
        <w:rFonts w:ascii="Arial" w:hAnsi="Arial"/>
        <w:b/>
        <w:color w:val="FFFFFF"/>
        <w:sz w:val="22"/>
      </w:rPr>
      <w:tblPr/>
      <w:tcPr>
        <w:shd w:val="clear" w:color="72B6B0" w:themeColor="accent5" w:fill="72B6B0" w:themeFill="accent5"/>
      </w:tcPr>
    </w:tblStylePr>
    <w:tblStylePr w:type="lastCol">
      <w:rPr>
        <w:rFonts w:ascii="Arial" w:hAnsi="Arial"/>
        <w:b/>
        <w:color w:val="FFFFFF"/>
        <w:sz w:val="22"/>
      </w:rPr>
      <w:tblPr/>
      <w:tcPr>
        <w:shd w:val="clear" w:color="72B6B0" w:themeColor="accent5" w:fill="72B6B0" w:themeFill="accent5"/>
      </w:tcPr>
    </w:tblStylePr>
    <w:tblStylePr w:type="band1Vert">
      <w:tblPr/>
      <w:tcPr>
        <w:shd w:val="clear" w:color="BEDDDA" w:themeColor="accent5" w:themeTint="75" w:fill="BEDDDA" w:themeFill="accent5" w:themeFillTint="75"/>
      </w:tcPr>
    </w:tblStylePr>
    <w:tblStylePr w:type="band1Horz">
      <w:tblPr/>
      <w:tcPr>
        <w:shd w:val="clear" w:color="BEDDDA" w:themeColor="accent5" w:themeTint="75" w:fill="BEDDDA"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CEED8" w:themeColor="accent6" w:themeTint="34" w:fill="FCEED8" w:themeFill="accent6" w:themeFillTint="34"/>
    </w:tblPr>
    <w:tblStylePr w:type="firstRow">
      <w:rPr>
        <w:rFonts w:ascii="Arial" w:hAnsi="Arial"/>
        <w:b/>
        <w:color w:val="FFFFFF"/>
        <w:sz w:val="22"/>
      </w:rPr>
      <w:tblPr/>
      <w:tcPr>
        <w:shd w:val="clear" w:color="F0B142" w:themeColor="accent6" w:fill="F0B142" w:themeFill="accent6"/>
      </w:tcPr>
    </w:tblStylePr>
    <w:tblStylePr w:type="lastRow">
      <w:rPr>
        <w:rFonts w:ascii="Arial" w:hAnsi="Arial"/>
        <w:b/>
        <w:color w:val="FFFFFF"/>
        <w:sz w:val="22"/>
      </w:rPr>
      <w:tblPr/>
      <w:tcPr>
        <w:tcBorders>
          <w:top w:val="single" w:sz="4" w:space="0" w:color="FFFFFF" w:themeColor="light1"/>
        </w:tcBorders>
        <w:shd w:val="clear" w:color="F0B142" w:themeColor="accent6" w:fill="F0B142" w:themeFill="accent6"/>
      </w:tcPr>
    </w:tblStylePr>
    <w:tblStylePr w:type="firstCol">
      <w:rPr>
        <w:rFonts w:ascii="Arial" w:hAnsi="Arial"/>
        <w:b/>
        <w:color w:val="FFFFFF"/>
        <w:sz w:val="22"/>
      </w:rPr>
      <w:tblPr/>
      <w:tcPr>
        <w:shd w:val="clear" w:color="F0B142" w:themeColor="accent6" w:fill="F0B142" w:themeFill="accent6"/>
      </w:tcPr>
    </w:tblStylePr>
    <w:tblStylePr w:type="lastCol">
      <w:rPr>
        <w:rFonts w:ascii="Arial" w:hAnsi="Arial"/>
        <w:b/>
        <w:color w:val="FFFFFF"/>
        <w:sz w:val="22"/>
      </w:rPr>
      <w:tblPr/>
      <w:tcPr>
        <w:shd w:val="clear" w:color="F0B142" w:themeColor="accent6" w:fill="F0B142" w:themeFill="accent6"/>
      </w:tcPr>
    </w:tblStylePr>
    <w:tblStylePr w:type="band1Vert">
      <w:tblPr/>
      <w:tcPr>
        <w:shd w:val="clear" w:color="F8DAA8" w:themeColor="accent6" w:themeTint="75" w:fill="F8DAA8" w:themeFill="accent6" w:themeFillTint="75"/>
      </w:tcPr>
    </w:tblStylePr>
    <w:tblStylePr w:type="band1Horz">
      <w:tblPr/>
      <w:tcPr>
        <w:shd w:val="clear" w:color="F8DAA8" w:themeColor="accent6" w:themeTint="75" w:fill="F8DAA8" w:themeFill="accent6"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9BA4BB" w:themeColor="text1" w:themeTint="80"/>
        <w:left w:val="single" w:sz="4" w:space="0" w:color="9BA4BB" w:themeColor="text1" w:themeTint="80"/>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b/>
        <w:color w:val="9BA4BB" w:themeColor="text1" w:themeTint="80" w:themeShade="95"/>
      </w:rPr>
      <w:tblPr/>
      <w:tcPr>
        <w:tcBorders>
          <w:bottom w:val="single" w:sz="12" w:space="0" w:color="9BA4BB" w:themeColor="text1" w:themeTint="80"/>
        </w:tcBorders>
      </w:tcPr>
    </w:tblStylePr>
    <w:tblStylePr w:type="lastRow">
      <w:rPr>
        <w:b/>
        <w:color w:val="9BA4BB" w:themeColor="text1" w:themeTint="80" w:themeShade="95"/>
      </w:rPr>
    </w:tblStylePr>
    <w:tblStylePr w:type="firstCol">
      <w:rPr>
        <w:b/>
        <w:color w:val="9BA4BB" w:themeColor="text1" w:themeTint="80" w:themeShade="95"/>
      </w:rPr>
    </w:tblStylePr>
    <w:tblStylePr w:type="lastCol">
      <w:rPr>
        <w:b/>
        <w:color w:val="9BA4BB" w:themeColor="text1" w:themeTint="80" w:themeShade="95"/>
      </w:rPr>
    </w:tblStylePr>
    <w:tblStylePr w:type="band1Vert">
      <w:tblPr/>
      <w:tcPr>
        <w:shd w:val="clear" w:color="D6D9E3" w:themeColor="text1" w:themeTint="34" w:fill="D6D9E3" w:themeFill="text1" w:themeFillTint="34"/>
      </w:tcPr>
    </w:tblStylePr>
    <w:tblStylePr w:type="band1Horz">
      <w:rPr>
        <w:rFonts w:ascii="Arial" w:hAnsi="Arial"/>
        <w:color w:val="9BA4BB" w:themeColor="text1" w:themeTint="80" w:themeShade="95"/>
        <w:sz w:val="22"/>
      </w:rPr>
      <w:tblPr/>
      <w:tcPr>
        <w:shd w:val="clear" w:color="D6D9E3" w:themeColor="text1" w:themeTint="34" w:fill="D6D9E3" w:themeFill="text1" w:themeFillTint="34"/>
      </w:tcPr>
    </w:tblStylePr>
    <w:tblStylePr w:type="band2Horz">
      <w:rPr>
        <w:rFonts w:ascii="Arial" w:hAnsi="Arial"/>
        <w:color w:val="9BA4BB" w:themeColor="text1" w:themeTint="80" w:themeShade="95"/>
        <w:sz w:val="22"/>
      </w:rPr>
    </w:tblStylePr>
  </w:style>
  <w:style w:type="table" w:styleId="GridTable6Colorful-Accent1">
    <w:name w:val="Grid Table 6 Colorful Accent 1"/>
    <w:basedOn w:val="TableNormal"/>
    <w:uiPriority w:val="51"/>
    <w:rPr>
      <w:rFonts w:eastAsia="Noto Sans"/>
      <w:color w:val="1E5368"/>
      <w:sz w:val="22"/>
      <w:szCs w:val="22"/>
      <w:lang w:val="sv-SE"/>
    </w:rPr>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insideV w:val="single" w:sz="4" w:space="0" w:color="64B4D2"/>
      </w:tblBorders>
    </w:tblPr>
    <w:tblStylePr w:type="firstRow">
      <w:rPr>
        <w:b/>
        <w:bCs/>
      </w:rPr>
      <w:tblPr/>
      <w:tcPr>
        <w:tcBorders>
          <w:bottom w:val="single" w:sz="12" w:space="0" w:color="64B4D2"/>
        </w:tcBorders>
      </w:tcPr>
    </w:tblStylePr>
    <w:tblStylePr w:type="lastRow">
      <w:rPr>
        <w:b/>
        <w:bCs/>
      </w:rPr>
      <w:tblPr/>
      <w:tcPr>
        <w:tcBorders>
          <w:top w:val="single" w:sz="4" w:space="0" w:color="64B4D2"/>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2BFFE9" w:themeColor="accent2" w:themeTint="97"/>
        <w:left w:val="single" w:sz="4" w:space="0" w:color="2BFFE9" w:themeColor="accent2" w:themeTint="97"/>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2BFFE9" w:themeColor="accent2" w:themeTint="97" w:themeShade="95"/>
      </w:rPr>
      <w:tblPr/>
      <w:tcPr>
        <w:tcBorders>
          <w:bottom w:val="single" w:sz="12" w:space="0" w:color="2BFFE9" w:themeColor="accent2" w:themeTint="97"/>
        </w:tcBorders>
      </w:tcPr>
    </w:tblStylePr>
    <w:tblStylePr w:type="lastRow">
      <w:rPr>
        <w:b/>
        <w:color w:val="2BFFE9" w:themeColor="accent2" w:themeTint="97" w:themeShade="95"/>
      </w:r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283A97" w:themeColor="accent3" w:themeTint="FE" w:themeShade="95"/>
      </w:rPr>
      <w:tblPr/>
      <w:tcPr>
        <w:tcBorders>
          <w:bottom w:val="single" w:sz="12" w:space="0" w:color="283A97" w:themeColor="accent3" w:themeTint="FE"/>
        </w:tcBorders>
      </w:tcPr>
    </w:tblStylePr>
    <w:tblStylePr w:type="lastRow">
      <w:rPr>
        <w:b/>
        <w:color w:val="283A97" w:themeColor="accent3" w:themeTint="FE" w:themeShade="95"/>
      </w:rPr>
    </w:tblStylePr>
    <w:tblStylePr w:type="firstCol">
      <w:rPr>
        <w:b/>
        <w:color w:val="283A97" w:themeColor="accent3" w:themeTint="FE" w:themeShade="95"/>
      </w:rPr>
    </w:tblStylePr>
    <w:tblStylePr w:type="lastCol">
      <w:rPr>
        <w:b/>
        <w:color w:val="283A97" w:themeColor="accent3" w:themeTint="FE" w:themeShade="95"/>
      </w:r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BDDD8A" w:themeColor="accent4" w:themeTint="9A" w:themeShade="95"/>
      </w:rPr>
      <w:tblPr/>
      <w:tcPr>
        <w:tcBorders>
          <w:bottom w:val="single" w:sz="12" w:space="0" w:color="BDDD8A" w:themeColor="accent4" w:themeTint="9A"/>
        </w:tcBorders>
      </w:tcPr>
    </w:tblStylePr>
    <w:tblStylePr w:type="lastRow">
      <w:rPr>
        <w:b/>
        <w:color w:val="BDDD8A" w:themeColor="accent4" w:themeTint="9A" w:themeShade="95"/>
      </w:r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72B6B0" w:themeColor="accent5"/>
        <w:left w:val="single" w:sz="4" w:space="0" w:color="72B6B0" w:themeColor="accent5"/>
        <w:bottom w:val="single" w:sz="4" w:space="0" w:color="72B6B0" w:themeColor="accent5"/>
        <w:right w:val="single" w:sz="4" w:space="0" w:color="72B6B0" w:themeColor="accent5"/>
        <w:insideH w:val="single" w:sz="4" w:space="0" w:color="72B6B0" w:themeColor="accent5"/>
        <w:insideV w:val="single" w:sz="4" w:space="0" w:color="72B6B0" w:themeColor="accent5"/>
      </w:tblBorders>
    </w:tblPr>
    <w:tblStylePr w:type="firstRow">
      <w:rPr>
        <w:b/>
        <w:color w:val="3B716C" w:themeColor="accent5" w:themeShade="95"/>
      </w:rPr>
      <w:tblPr/>
      <w:tcPr>
        <w:tcBorders>
          <w:bottom w:val="single" w:sz="12" w:space="0" w:color="72B6B0" w:themeColor="accent5"/>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0B142" w:themeColor="accent6"/>
        <w:left w:val="single" w:sz="4" w:space="0" w:color="F0B142" w:themeColor="accent6"/>
        <w:bottom w:val="single" w:sz="4" w:space="0" w:color="F0B142" w:themeColor="accent6"/>
        <w:right w:val="single" w:sz="4" w:space="0" w:color="F0B142" w:themeColor="accent6"/>
        <w:insideH w:val="single" w:sz="4" w:space="0" w:color="F0B142" w:themeColor="accent6"/>
        <w:insideV w:val="single" w:sz="4" w:space="0" w:color="F0B142" w:themeColor="accent6"/>
      </w:tblBorders>
    </w:tblPr>
    <w:tblStylePr w:type="firstRow">
      <w:rPr>
        <w:b/>
        <w:color w:val="3B716C" w:themeColor="accent5" w:themeShade="95"/>
      </w:rPr>
      <w:tblPr/>
      <w:tcPr>
        <w:tcBorders>
          <w:bottom w:val="single" w:sz="12" w:space="0" w:color="F0B142" w:themeColor="accent6"/>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FCEED8" w:themeColor="accent6" w:themeTint="34" w:fill="FCEED8" w:themeFill="accent6" w:themeFillTint="34"/>
      </w:tcPr>
    </w:tblStylePr>
    <w:tblStylePr w:type="band1Horz">
      <w:rPr>
        <w:rFonts w:ascii="Arial" w:hAnsi="Arial"/>
        <w:color w:val="3B716C" w:themeColor="accent5" w:themeShade="95"/>
        <w:sz w:val="22"/>
      </w:rPr>
      <w:tblPr/>
      <w:tcPr>
        <w:shd w:val="clear" w:color="FCEED8" w:themeColor="accent6" w:themeTint="34" w:fill="FCEED8" w:themeFill="accent6" w:themeFillTint="34"/>
      </w:tcPr>
    </w:tblStylePr>
    <w:tblStylePr w:type="band2Horz">
      <w:rPr>
        <w:rFonts w:ascii="Arial" w:hAnsi="Arial"/>
        <w:color w:val="3B716C"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rFonts w:ascii="Arial" w:hAnsi="Arial"/>
        <w:b/>
        <w:color w:val="9BA4BB" w:themeColor="text1" w:themeTint="80" w:themeShade="95"/>
        <w:sz w:val="22"/>
      </w:rPr>
      <w:tblPr/>
      <w:tcPr>
        <w:tcBorders>
          <w:top w:val="none" w:sz="4" w:space="0" w:color="000000"/>
          <w:left w:val="none" w:sz="4" w:space="0" w:color="000000"/>
          <w:bottom w:val="single" w:sz="4" w:space="0" w:color="9BA4BB" w:themeColor="text1" w:themeTint="80"/>
          <w:right w:val="none" w:sz="4" w:space="0" w:color="000000"/>
        </w:tcBorders>
        <w:shd w:val="clear" w:color="FFFFFF" w:themeColor="light1" w:fill="FFFFFF" w:themeFill="light1"/>
      </w:tcPr>
    </w:tblStylePr>
    <w:tblStylePr w:type="lastRow">
      <w:rPr>
        <w:rFonts w:ascii="Arial" w:hAnsi="Arial"/>
        <w:b/>
        <w:color w:val="9BA4BB" w:themeColor="text1" w:themeTint="80" w:themeShade="95"/>
        <w:sz w:val="22"/>
      </w:rPr>
      <w:tblPr/>
      <w:tcPr>
        <w:tcBorders>
          <w:top w:val="single" w:sz="4" w:space="0" w:color="9BA4BB"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4" w:space="0" w:color="000000"/>
          <w:left w:val="none" w:sz="4" w:space="0" w:color="000000"/>
          <w:bottom w:val="none" w:sz="4"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4" w:space="0" w:color="000000"/>
          <w:left w:val="single" w:sz="4" w:space="0" w:color="9BA4BB" w:themeColor="text1" w:themeTint="80"/>
          <w:bottom w:val="none" w:sz="4" w:space="0" w:color="000000"/>
          <w:right w:val="none" w:sz="4" w:space="0" w:color="000000"/>
        </w:tcBorders>
        <w:shd w:val="clear" w:color="FFFFFF" w:fill="auto"/>
      </w:tcPr>
    </w:tblStylePr>
    <w:tblStylePr w:type="band1Vert">
      <w:tblPr/>
      <w:tcPr>
        <w:shd w:val="clear" w:color="F4F5F8" w:themeColor="text1" w:themeTint="0D" w:fill="F4F5F8" w:themeFill="text1" w:themeFillTint="0D"/>
      </w:tcPr>
    </w:tblStylePr>
    <w:tblStylePr w:type="band1Horz">
      <w:rPr>
        <w:rFonts w:ascii="Arial" w:hAnsi="Arial"/>
        <w:color w:val="9BA4BB" w:themeColor="text1" w:themeTint="80" w:themeShade="95"/>
        <w:sz w:val="22"/>
      </w:rPr>
      <w:tblPr/>
      <w:tcPr>
        <w:shd w:val="clear" w:color="F4F5F8" w:themeColor="text1" w:themeTint="0D" w:fill="F4F5F8" w:themeFill="text1" w:themeFillTint="0D"/>
      </w:tcPr>
    </w:tblStylePr>
    <w:tblStylePr w:type="band2Horz">
      <w:rPr>
        <w:rFonts w:ascii="Arial" w:hAnsi="Arial"/>
        <w:color w:val="9BA4BB" w:themeColor="text1" w:themeTint="80"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55FFA1" w:themeColor="accent1" w:themeTint="80"/>
        <w:right w:val="single" w:sz="4" w:space="0" w:color="55FFA1" w:themeColor="accent1" w:themeTint="80"/>
        <w:insideH w:val="single" w:sz="4" w:space="0" w:color="55FFA1" w:themeColor="accent1" w:themeTint="80"/>
        <w:insideV w:val="single" w:sz="4" w:space="0" w:color="55FFA1" w:themeColor="accent1" w:themeTint="80"/>
      </w:tblBorders>
    </w:tblPr>
    <w:tblStylePr w:type="firstRow">
      <w:rPr>
        <w:rFonts w:ascii="Arial" w:hAnsi="Arial"/>
        <w:b/>
        <w:color w:val="55FFA1" w:themeColor="accent1" w:themeTint="80" w:themeShade="95"/>
        <w:sz w:val="22"/>
      </w:rPr>
      <w:tblPr/>
      <w:tcPr>
        <w:tcBorders>
          <w:top w:val="none" w:sz="4" w:space="0" w:color="000000"/>
          <w:left w:val="none" w:sz="4" w:space="0" w:color="000000"/>
          <w:bottom w:val="single" w:sz="4" w:space="0" w:color="55FFA1" w:themeColor="accent1" w:themeTint="80"/>
          <w:right w:val="none" w:sz="4" w:space="0" w:color="000000"/>
        </w:tcBorders>
        <w:shd w:val="clear" w:color="FFFFFF" w:themeColor="light1" w:fill="FFFFFF" w:themeFill="light1"/>
      </w:tcPr>
    </w:tblStylePr>
    <w:tblStylePr w:type="lastRow">
      <w:rPr>
        <w:rFonts w:ascii="Arial" w:hAnsi="Arial"/>
        <w:b/>
        <w:color w:val="55FFA1" w:themeColor="accent1" w:themeTint="80" w:themeShade="95"/>
        <w:sz w:val="22"/>
      </w:rPr>
      <w:tblPr/>
      <w:tcPr>
        <w:tcBorders>
          <w:top w:val="single" w:sz="4" w:space="0" w:color="55FFA1"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55FFA1" w:themeColor="accent1" w:themeTint="80" w:themeShade="95"/>
        <w:sz w:val="22"/>
      </w:rPr>
      <w:tblPr/>
      <w:tcPr>
        <w:tcBorders>
          <w:top w:val="none" w:sz="4" w:space="0" w:color="000000"/>
          <w:left w:val="none" w:sz="4" w:space="0" w:color="000000"/>
          <w:bottom w:val="none" w:sz="4" w:space="0" w:color="000000"/>
          <w:right w:val="single" w:sz="4" w:space="0" w:color="55FFA1" w:themeColor="accent1" w:themeTint="80"/>
        </w:tcBorders>
        <w:shd w:val="clear" w:color="FFFFFF" w:fill="auto"/>
      </w:tcPr>
    </w:tblStylePr>
    <w:tblStylePr w:type="lastCol">
      <w:rPr>
        <w:rFonts w:ascii="Arial" w:hAnsi="Arial"/>
        <w:i/>
        <w:color w:val="55FFA1" w:themeColor="accent1" w:themeTint="80" w:themeShade="95"/>
        <w:sz w:val="22"/>
      </w:rPr>
      <w:tblPr/>
      <w:tcPr>
        <w:tcBorders>
          <w:top w:val="none" w:sz="4" w:space="0" w:color="000000"/>
          <w:left w:val="single" w:sz="4" w:space="0" w:color="55FFA1" w:themeColor="accent1" w:themeTint="80"/>
          <w:bottom w:val="none" w:sz="4" w:space="0" w:color="000000"/>
          <w:right w:val="none" w:sz="4" w:space="0" w:color="000000"/>
        </w:tcBorders>
        <w:shd w:val="clear" w:color="FFFFFF" w:fill="auto"/>
      </w:tcPr>
    </w:tblStylePr>
    <w:tblStylePr w:type="band1Vert">
      <w:tblPr/>
      <w:tcPr>
        <w:shd w:val="clear" w:color="BAFFD9" w:themeColor="accent1" w:themeTint="34" w:fill="BAFFD9" w:themeFill="accent1" w:themeFillTint="34"/>
      </w:tcPr>
    </w:tblStylePr>
    <w:tblStylePr w:type="band1Horz">
      <w:rPr>
        <w:rFonts w:ascii="Arial" w:hAnsi="Arial"/>
        <w:color w:val="55FFA1" w:themeColor="accent1" w:themeTint="80" w:themeShade="95"/>
        <w:sz w:val="22"/>
      </w:rPr>
      <w:tblPr/>
      <w:tcPr>
        <w:shd w:val="clear" w:color="BAFFD9" w:themeColor="accent1" w:themeTint="34" w:fill="BAFFD9" w:themeFill="accent1" w:themeFillTint="34"/>
      </w:tcPr>
    </w:tblStylePr>
    <w:tblStylePr w:type="band2Horz">
      <w:rPr>
        <w:rFonts w:ascii="Arial" w:hAnsi="Arial"/>
        <w:color w:val="55FFA1"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rFonts w:ascii="Arial" w:hAnsi="Arial"/>
        <w:b/>
        <w:color w:val="2BFFE9" w:themeColor="accent2" w:themeTint="97" w:themeShade="95"/>
        <w:sz w:val="22"/>
      </w:rPr>
      <w:tblPr/>
      <w:tcPr>
        <w:tcBorders>
          <w:top w:val="none" w:sz="4" w:space="0" w:color="000000"/>
          <w:left w:val="none" w:sz="4" w:space="0" w:color="000000"/>
          <w:bottom w:val="single" w:sz="4" w:space="0" w:color="2BFFE9" w:themeColor="accent2" w:themeTint="97"/>
          <w:right w:val="none" w:sz="4" w:space="0" w:color="000000"/>
        </w:tcBorders>
        <w:shd w:val="clear" w:color="FFFFFF" w:themeColor="light1" w:fill="FFFFFF" w:themeFill="light1"/>
      </w:tcPr>
    </w:tblStylePr>
    <w:tblStylePr w:type="lastRow">
      <w:rPr>
        <w:rFonts w:ascii="Arial" w:hAnsi="Arial"/>
        <w:b/>
        <w:color w:val="2BFFE9" w:themeColor="accent2" w:themeTint="97" w:themeShade="95"/>
        <w:sz w:val="22"/>
      </w:rPr>
      <w:tblPr/>
      <w:tcPr>
        <w:tcBorders>
          <w:top w:val="single" w:sz="4" w:space="0" w:color="2BFFE9"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4" w:space="0" w:color="000000"/>
          <w:left w:val="none" w:sz="4" w:space="0" w:color="000000"/>
          <w:bottom w:val="none" w:sz="4"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4" w:space="0" w:color="000000"/>
          <w:left w:val="single" w:sz="4" w:space="0" w:color="2BFFE9" w:themeColor="accent2" w:themeTint="97"/>
          <w:bottom w:val="none" w:sz="4" w:space="0" w:color="000000"/>
          <w:right w:val="none" w:sz="4" w:space="0" w:color="000000"/>
        </w:tcBorders>
        <w:shd w:val="clear" w:color="FFFFFF" w:fill="auto"/>
      </w:tc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rFonts w:ascii="Arial" w:hAnsi="Arial"/>
        <w:b/>
        <w:color w:val="283A97" w:themeColor="accent3" w:themeTint="FE" w:themeShade="95"/>
        <w:sz w:val="22"/>
      </w:rPr>
      <w:tblPr/>
      <w:tcPr>
        <w:tcBorders>
          <w:top w:val="none" w:sz="4" w:space="0" w:color="000000"/>
          <w:left w:val="none" w:sz="4" w:space="0" w:color="000000"/>
          <w:bottom w:val="single" w:sz="4" w:space="0" w:color="283A97" w:themeColor="accent3" w:themeTint="FE"/>
          <w:right w:val="none" w:sz="4" w:space="0" w:color="000000"/>
        </w:tcBorders>
        <w:shd w:val="clear" w:color="FFFFFF" w:themeColor="light1" w:fill="FFFFFF" w:themeFill="light1"/>
      </w:tcPr>
    </w:tblStylePr>
    <w:tblStylePr w:type="lastRow">
      <w:rPr>
        <w:rFonts w:ascii="Arial" w:hAnsi="Arial"/>
        <w:b/>
        <w:color w:val="283A97" w:themeColor="accent3" w:themeTint="FE" w:themeShade="95"/>
        <w:sz w:val="22"/>
      </w:rPr>
      <w:tblPr/>
      <w:tcPr>
        <w:tcBorders>
          <w:top w:val="single" w:sz="4" w:space="0" w:color="283A97"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83A97" w:themeColor="accent3" w:themeTint="FE" w:themeShade="95"/>
        <w:sz w:val="22"/>
      </w:rPr>
      <w:tblPr/>
      <w:tcPr>
        <w:tcBorders>
          <w:top w:val="none" w:sz="4" w:space="0" w:color="000000"/>
          <w:left w:val="none" w:sz="4" w:space="0" w:color="000000"/>
          <w:bottom w:val="none" w:sz="4" w:space="0" w:color="000000"/>
          <w:right w:val="single" w:sz="4" w:space="0" w:color="283A97" w:themeColor="accent3" w:themeTint="FE"/>
        </w:tcBorders>
        <w:shd w:val="clear" w:color="FFFFFF" w:fill="auto"/>
      </w:tcPr>
    </w:tblStylePr>
    <w:tblStylePr w:type="lastCol">
      <w:rPr>
        <w:rFonts w:ascii="Arial" w:hAnsi="Arial"/>
        <w:i/>
        <w:color w:val="283A97" w:themeColor="accent3" w:themeTint="FE" w:themeShade="95"/>
        <w:sz w:val="22"/>
      </w:rPr>
      <w:tblPr/>
      <w:tcPr>
        <w:tcBorders>
          <w:top w:val="none" w:sz="4" w:space="0" w:color="000000"/>
          <w:left w:val="single" w:sz="4" w:space="0" w:color="283A97" w:themeColor="accent3" w:themeTint="FE"/>
          <w:bottom w:val="none" w:sz="4" w:space="0" w:color="000000"/>
          <w:right w:val="none" w:sz="4" w:space="0" w:color="000000"/>
        </w:tcBorders>
        <w:shd w:val="clear" w:color="FFFFFF" w:fill="auto"/>
      </w:tc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rFonts w:ascii="Arial" w:hAnsi="Arial"/>
        <w:b/>
        <w:color w:val="BDDD8A" w:themeColor="accent4" w:themeTint="9A" w:themeShade="95"/>
        <w:sz w:val="22"/>
      </w:rPr>
      <w:tblPr/>
      <w:tcPr>
        <w:tcBorders>
          <w:top w:val="none" w:sz="4" w:space="0" w:color="000000"/>
          <w:left w:val="none" w:sz="4" w:space="0" w:color="000000"/>
          <w:bottom w:val="single" w:sz="4" w:space="0" w:color="BDDD8A" w:themeColor="accent4" w:themeTint="9A"/>
          <w:right w:val="none" w:sz="4" w:space="0" w:color="000000"/>
        </w:tcBorders>
        <w:shd w:val="clear" w:color="FFFFFF" w:themeColor="light1" w:fill="FFFFFF" w:themeFill="light1"/>
      </w:tcPr>
    </w:tblStylePr>
    <w:tblStylePr w:type="lastRow">
      <w:rPr>
        <w:rFonts w:ascii="Arial" w:hAnsi="Arial"/>
        <w:b/>
        <w:color w:val="BDDD8A" w:themeColor="accent4" w:themeTint="9A" w:themeShade="95"/>
        <w:sz w:val="22"/>
      </w:rPr>
      <w:tblPr/>
      <w:tcPr>
        <w:tcBorders>
          <w:top w:val="single" w:sz="4" w:space="0" w:color="BDDD8A"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4" w:space="0" w:color="000000"/>
          <w:left w:val="none" w:sz="4" w:space="0" w:color="000000"/>
          <w:bottom w:val="none" w:sz="4"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4" w:space="0" w:color="000000"/>
          <w:left w:val="single" w:sz="4" w:space="0" w:color="BDDD8A" w:themeColor="accent4" w:themeTint="9A"/>
          <w:bottom w:val="none" w:sz="4" w:space="0" w:color="000000"/>
          <w:right w:val="none" w:sz="4" w:space="0" w:color="000000"/>
        </w:tcBorders>
        <w:shd w:val="clear" w:color="FFFFFF" w:fill="auto"/>
      </w:tc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FD5D2" w:themeColor="accent5" w:themeTint="90"/>
        <w:right w:val="single" w:sz="4" w:space="0" w:color="AFD5D2" w:themeColor="accent5" w:themeTint="90"/>
        <w:insideH w:val="single" w:sz="4" w:space="0" w:color="AFD5D2" w:themeColor="accent5" w:themeTint="90"/>
        <w:insideV w:val="single" w:sz="4" w:space="0" w:color="AFD5D2" w:themeColor="accent5" w:themeTint="90"/>
      </w:tblBorders>
    </w:tblPr>
    <w:tblStylePr w:type="firstRow">
      <w:rPr>
        <w:rFonts w:ascii="Arial" w:hAnsi="Arial"/>
        <w:b/>
        <w:color w:val="3B716C" w:themeColor="accent5" w:themeShade="95"/>
        <w:sz w:val="22"/>
      </w:rPr>
      <w:tblPr/>
      <w:tcPr>
        <w:tcBorders>
          <w:top w:val="none" w:sz="4" w:space="0" w:color="000000"/>
          <w:left w:val="none" w:sz="4" w:space="0" w:color="000000"/>
          <w:bottom w:val="single" w:sz="4" w:space="0" w:color="AFD5D2" w:themeColor="accent5" w:themeTint="90"/>
          <w:right w:val="none" w:sz="4" w:space="0" w:color="000000"/>
        </w:tcBorders>
        <w:shd w:val="clear" w:color="FFFFFF" w:themeColor="light1" w:fill="FFFFFF" w:themeFill="light1"/>
      </w:tcPr>
    </w:tblStylePr>
    <w:tblStylePr w:type="lastRow">
      <w:rPr>
        <w:rFonts w:ascii="Arial" w:hAnsi="Arial"/>
        <w:b/>
        <w:color w:val="3B716C" w:themeColor="accent5" w:themeShade="95"/>
        <w:sz w:val="22"/>
      </w:rPr>
      <w:tblPr/>
      <w:tcPr>
        <w:tcBorders>
          <w:top w:val="single" w:sz="4" w:space="0" w:color="AFD5D2"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3B716C" w:themeColor="accent5" w:themeShade="95"/>
        <w:sz w:val="22"/>
      </w:rPr>
      <w:tblPr/>
      <w:tcPr>
        <w:tcBorders>
          <w:top w:val="none" w:sz="4" w:space="0" w:color="000000"/>
          <w:left w:val="none" w:sz="4" w:space="0" w:color="000000"/>
          <w:bottom w:val="none" w:sz="4" w:space="0" w:color="000000"/>
          <w:right w:val="single" w:sz="4" w:space="0" w:color="AFD5D2" w:themeColor="accent5" w:themeTint="90"/>
        </w:tcBorders>
        <w:shd w:val="clear" w:color="FFFFFF" w:fill="auto"/>
      </w:tcPr>
    </w:tblStylePr>
    <w:tblStylePr w:type="lastCol">
      <w:rPr>
        <w:rFonts w:ascii="Arial" w:hAnsi="Arial"/>
        <w:i/>
        <w:color w:val="3B716C" w:themeColor="accent5" w:themeShade="95"/>
        <w:sz w:val="22"/>
      </w:rPr>
      <w:tblPr/>
      <w:tcPr>
        <w:tcBorders>
          <w:top w:val="none" w:sz="4" w:space="0" w:color="000000"/>
          <w:left w:val="single" w:sz="4" w:space="0" w:color="AFD5D2" w:themeColor="accent5" w:themeTint="90"/>
          <w:bottom w:val="none" w:sz="4" w:space="0" w:color="000000"/>
          <w:right w:val="none" w:sz="4" w:space="0" w:color="000000"/>
        </w:tcBorders>
        <w:shd w:val="clear" w:color="FFFFFF" w:fill="auto"/>
      </w:tc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6D294" w:themeColor="accent6" w:themeTint="90"/>
        <w:right w:val="single" w:sz="4" w:space="0" w:color="F6D294" w:themeColor="accent6" w:themeTint="90"/>
        <w:insideH w:val="single" w:sz="4" w:space="0" w:color="F6D294" w:themeColor="accent6" w:themeTint="90"/>
        <w:insideV w:val="single" w:sz="4" w:space="0" w:color="F6D294" w:themeColor="accent6" w:themeTint="90"/>
      </w:tblBorders>
    </w:tblPr>
    <w:tblStylePr w:type="firstRow">
      <w:rPr>
        <w:rFonts w:ascii="Arial" w:hAnsi="Arial"/>
        <w:b/>
        <w:color w:val="A56D0D" w:themeColor="accent6" w:themeShade="95"/>
        <w:sz w:val="22"/>
      </w:rPr>
      <w:tblPr/>
      <w:tcPr>
        <w:tcBorders>
          <w:top w:val="none" w:sz="4" w:space="0" w:color="000000"/>
          <w:left w:val="none" w:sz="4" w:space="0" w:color="000000"/>
          <w:bottom w:val="single" w:sz="4" w:space="0" w:color="F6D294" w:themeColor="accent6" w:themeTint="90"/>
          <w:right w:val="none" w:sz="4" w:space="0" w:color="000000"/>
        </w:tcBorders>
        <w:shd w:val="clear" w:color="FFFFFF" w:themeColor="light1" w:fill="FFFFFF" w:themeFill="light1"/>
      </w:tcPr>
    </w:tblStylePr>
    <w:tblStylePr w:type="lastRow">
      <w:rPr>
        <w:rFonts w:ascii="Arial" w:hAnsi="Arial"/>
        <w:b/>
        <w:color w:val="A56D0D" w:themeColor="accent6" w:themeShade="95"/>
        <w:sz w:val="22"/>
      </w:rPr>
      <w:tblPr/>
      <w:tcPr>
        <w:tcBorders>
          <w:top w:val="single" w:sz="4" w:space="0" w:color="F6D2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6D0D" w:themeColor="accent6" w:themeShade="95"/>
        <w:sz w:val="22"/>
      </w:rPr>
      <w:tblPr/>
      <w:tcPr>
        <w:tcBorders>
          <w:top w:val="none" w:sz="4" w:space="0" w:color="000000"/>
          <w:left w:val="none" w:sz="4" w:space="0" w:color="000000"/>
          <w:bottom w:val="none" w:sz="4" w:space="0" w:color="000000"/>
          <w:right w:val="single" w:sz="4" w:space="0" w:color="F6D294" w:themeColor="accent6" w:themeTint="90"/>
        </w:tcBorders>
        <w:shd w:val="clear" w:color="FFFFFF" w:fill="auto"/>
      </w:tcPr>
    </w:tblStylePr>
    <w:tblStylePr w:type="lastCol">
      <w:rPr>
        <w:rFonts w:ascii="Arial" w:hAnsi="Arial"/>
        <w:i/>
        <w:color w:val="A56D0D" w:themeColor="accent6" w:themeShade="95"/>
        <w:sz w:val="22"/>
      </w:rPr>
      <w:tblPr/>
      <w:tcPr>
        <w:tcBorders>
          <w:top w:val="none" w:sz="4" w:space="0" w:color="000000"/>
          <w:left w:val="single" w:sz="4" w:space="0" w:color="F6D294" w:themeColor="accent6" w:themeTint="90"/>
          <w:bottom w:val="none" w:sz="4" w:space="0" w:color="000000"/>
          <w:right w:val="none" w:sz="4" w:space="0" w:color="000000"/>
        </w:tcBorders>
        <w:shd w:val="clear" w:color="FFFFFF" w:fill="auto"/>
      </w:tcPr>
    </w:tblStylePr>
    <w:tblStylePr w:type="band1Vert">
      <w:tblPr/>
      <w:tcPr>
        <w:shd w:val="clear" w:color="FCEED8" w:themeColor="accent6" w:themeTint="34" w:fill="FCEED8" w:themeFill="accent6" w:themeFillTint="34"/>
      </w:tcPr>
    </w:tblStylePr>
    <w:tblStylePr w:type="band1Horz">
      <w:rPr>
        <w:rFonts w:ascii="Arial" w:hAnsi="Arial"/>
        <w:color w:val="A56D0D" w:themeColor="accent6" w:themeShade="95"/>
        <w:sz w:val="22"/>
      </w:rPr>
      <w:tblPr/>
      <w:tcPr>
        <w:shd w:val="clear" w:color="FCEED8" w:themeColor="accent6" w:themeTint="34" w:fill="FCEED8" w:themeFill="accent6" w:themeFillTint="34"/>
      </w:tcPr>
    </w:tblStylePr>
    <w:tblStylePr w:type="band2Horz">
      <w:rPr>
        <w:rFonts w:ascii="Arial" w:hAnsi="Arial"/>
        <w:color w:val="A56D0D"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8516A" w:themeColor="text1"/>
          <w:right w:val="none" w:sz="4" w:space="0" w:color="000000"/>
        </w:tcBorders>
      </w:tcPr>
    </w:tblStylePr>
    <w:tblStylePr w:type="lastRow">
      <w:rPr>
        <w:b/>
        <w:color w:val="404040"/>
      </w:rPr>
      <w:tblPr/>
      <w:tcPr>
        <w:tcBorders>
          <w:top w:val="single" w:sz="4" w:space="0" w:color="48516A"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DD1DD" w:themeColor="text1" w:themeTint="40" w:fill="CDD1DD" w:themeFill="text1" w:themeFillTint="40"/>
      </w:tcPr>
    </w:tblStylePr>
    <w:tblStylePr w:type="band1Horz">
      <w:tblPr/>
      <w:tcPr>
        <w:shd w:val="clear" w:color="CDD1DD" w:themeColor="text1" w:themeTint="40" w:fill="CDD1DD" w:themeFill="text1" w:themeFillTint="40"/>
      </w:tc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AC4E" w:themeColor="accent1"/>
          <w:right w:val="none" w:sz="4" w:space="0" w:color="000000"/>
        </w:tcBorders>
      </w:tcPr>
    </w:tblStylePr>
    <w:tblStylePr w:type="lastRow">
      <w:rPr>
        <w:b/>
        <w:color w:val="404040"/>
      </w:rPr>
      <w:tblPr/>
      <w:tcPr>
        <w:tcBorders>
          <w:top w:val="single" w:sz="4" w:space="0" w:color="00AC4E"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AFFD0" w:themeColor="accent1" w:themeTint="40" w:fill="AAFFD0" w:themeFill="accent1" w:themeFillTint="40"/>
      </w:tcPr>
    </w:tblStylePr>
    <w:tblStylePr w:type="band1Horz">
      <w:tblPr/>
      <w:tcPr>
        <w:shd w:val="clear" w:color="AAFFD0" w:themeColor="accent1" w:themeTint="40" w:fill="AAFFD0"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889" w:themeColor="accent2"/>
          <w:right w:val="none" w:sz="4" w:space="0" w:color="000000"/>
        </w:tcBorders>
      </w:tcPr>
    </w:tblStylePr>
    <w:tblStylePr w:type="lastRow">
      <w:rPr>
        <w:b/>
        <w:color w:val="404040"/>
      </w:rPr>
      <w:tblPr/>
      <w:tcPr>
        <w:tcBorders>
          <w:top w:val="single" w:sz="4" w:space="0" w:color="00988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5FFF5" w:themeColor="accent2" w:themeTint="40" w:fill="A5FFF5" w:themeFill="accent2" w:themeFillTint="40"/>
      </w:tcPr>
    </w:tblStylePr>
    <w:tblStylePr w:type="band1Horz">
      <w:tblPr/>
      <w:tcPr>
        <w:shd w:val="clear" w:color="A5FFF5" w:themeColor="accent2" w:themeTint="40" w:fill="A5FFF5"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83A97" w:themeColor="accent3"/>
          <w:right w:val="none" w:sz="4" w:space="0" w:color="000000"/>
        </w:tcBorders>
      </w:tcPr>
    </w:tblStylePr>
    <w:tblStylePr w:type="lastRow">
      <w:rPr>
        <w:b/>
        <w:color w:val="404040"/>
      </w:rPr>
      <w:tblPr/>
      <w:tcPr>
        <w:tcBorders>
          <w:top w:val="single" w:sz="4" w:space="0" w:color="283A97"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C6EE" w:themeColor="accent3" w:themeTint="40" w:fill="BFC6EE" w:themeFill="accent3" w:themeFillTint="40"/>
      </w:tcPr>
    </w:tblStylePr>
    <w:tblStylePr w:type="band1Horz">
      <w:tblPr/>
      <w:tcPr>
        <w:shd w:val="clear" w:color="BFC6EE" w:themeColor="accent3" w:themeTint="40" w:fill="BFC6EE"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2C83E" w:themeColor="accent4"/>
          <w:right w:val="none" w:sz="4" w:space="0" w:color="000000"/>
        </w:tcBorders>
      </w:tcPr>
    </w:tblStylePr>
    <w:tblStylePr w:type="lastRow">
      <w:rPr>
        <w:b/>
        <w:color w:val="404040"/>
      </w:rPr>
      <w:tblPr/>
      <w:tcPr>
        <w:tcBorders>
          <w:top w:val="single" w:sz="4" w:space="0" w:color="92C83E"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3F1CE" w:themeColor="accent4" w:themeTint="40" w:fill="E3F1CE" w:themeFill="accent4" w:themeFillTint="40"/>
      </w:tcPr>
    </w:tblStylePr>
    <w:tblStylePr w:type="band1Horz">
      <w:tblPr/>
      <w:tcPr>
        <w:shd w:val="clear" w:color="E3F1CE" w:themeColor="accent4" w:themeTint="40" w:fill="E3F1CE"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2B6B0" w:themeColor="accent5"/>
          <w:right w:val="none" w:sz="4" w:space="0" w:color="000000"/>
        </w:tcBorders>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ECEB" w:themeColor="accent5" w:themeTint="40" w:fill="DBECEB" w:themeFill="accent5" w:themeFillTint="40"/>
      </w:tcPr>
    </w:tblStylePr>
    <w:tblStylePr w:type="band1Horz">
      <w:tblPr/>
      <w:tcPr>
        <w:shd w:val="clear" w:color="DBECEB" w:themeColor="accent5" w:themeTint="40" w:fill="DBECEB"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0B142" w:themeColor="accent6"/>
          <w:right w:val="none" w:sz="4" w:space="0" w:color="000000"/>
        </w:tcBorders>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EBCF" w:themeColor="accent6" w:themeTint="40" w:fill="FBEBCF" w:themeFill="accent6" w:themeFillTint="40"/>
      </w:tcPr>
    </w:tblStylePr>
    <w:tblStylePr w:type="band1Horz">
      <w:tblPr/>
      <w:tcPr>
        <w:shd w:val="clear" w:color="FBEBCF" w:themeColor="accent6" w:themeTint="40" w:fill="FBEBCF" w:themeFill="accent6"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8F98B3" w:themeColor="text1" w:themeTint="90"/>
        <w:bottom w:val="single" w:sz="4" w:space="0" w:color="8F98B3" w:themeColor="text1" w:themeTint="90"/>
        <w:insideH w:val="single" w:sz="4" w:space="0" w:color="8F98B3" w:themeColor="text1" w:themeTint="90"/>
      </w:tblBorders>
    </w:tblPr>
    <w:tblStylePr w:type="fir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la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40FF96" w:themeColor="accent1" w:themeTint="90"/>
        <w:bottom w:val="single" w:sz="4" w:space="0" w:color="40FF96" w:themeColor="accent1" w:themeTint="90"/>
        <w:insideH w:val="single" w:sz="4" w:space="0" w:color="40FF96" w:themeColor="accent1" w:themeTint="90"/>
      </w:tblBorders>
    </w:tblPr>
    <w:tblStylePr w:type="fir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la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34FFEA" w:themeColor="accent2" w:themeTint="90"/>
        <w:bottom w:val="single" w:sz="4" w:space="0" w:color="34FFEA" w:themeColor="accent2" w:themeTint="90"/>
        <w:insideH w:val="single" w:sz="4" w:space="0" w:color="34FFEA" w:themeColor="accent2" w:themeTint="90"/>
      </w:tblBorders>
    </w:tblPr>
    <w:tblStylePr w:type="fir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la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7081D9" w:themeColor="accent3" w:themeTint="90"/>
        <w:bottom w:val="single" w:sz="4" w:space="0" w:color="7081D9" w:themeColor="accent3" w:themeTint="90"/>
        <w:insideH w:val="single" w:sz="4" w:space="0" w:color="7081D9" w:themeColor="accent3" w:themeTint="90"/>
      </w:tblBorders>
    </w:tblPr>
    <w:tblStylePr w:type="fir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la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C1E091" w:themeColor="accent4" w:themeTint="90"/>
        <w:bottom w:val="single" w:sz="4" w:space="0" w:color="C1E091" w:themeColor="accent4" w:themeTint="90"/>
        <w:insideH w:val="single" w:sz="4" w:space="0" w:color="C1E091" w:themeColor="accent4" w:themeTint="90"/>
      </w:tblBorders>
    </w:tblPr>
    <w:tblStylePr w:type="fir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la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FD5D2" w:themeColor="accent5" w:themeTint="90"/>
        <w:bottom w:val="single" w:sz="4" w:space="0" w:color="AFD5D2" w:themeColor="accent5" w:themeTint="90"/>
        <w:insideH w:val="single" w:sz="4" w:space="0" w:color="AFD5D2" w:themeColor="accent5" w:themeTint="90"/>
      </w:tblBorders>
    </w:tblPr>
    <w:tblStylePr w:type="fir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la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6D294" w:themeColor="accent6" w:themeTint="90"/>
        <w:bottom w:val="single" w:sz="4" w:space="0" w:color="F6D294" w:themeColor="accent6" w:themeTint="90"/>
        <w:insideH w:val="single" w:sz="4" w:space="0" w:color="F6D294" w:themeColor="accent6" w:themeTint="90"/>
      </w:tblBorders>
    </w:tblPr>
    <w:tblStylePr w:type="fir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la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3-Accent1">
    <w:name w:val="List Table 3 Accent 1"/>
    <w:basedOn w:val="TableNormal"/>
    <w:uiPriority w:val="48"/>
    <w:tblPr>
      <w:tblStyleRowBandSize w:val="1"/>
      <w:tblStyleColBandSize w:val="1"/>
      <w:tblBorders>
        <w:top w:val="single" w:sz="4" w:space="0" w:color="28708B"/>
        <w:left w:val="single" w:sz="4" w:space="0" w:color="28708B"/>
        <w:bottom w:val="single" w:sz="4" w:space="0" w:color="28708B"/>
        <w:right w:val="single" w:sz="4" w:space="0" w:color="28708B"/>
      </w:tblBorders>
    </w:tblPr>
    <w:tcPr>
      <w:vAlign w:val="center"/>
    </w:tcPr>
    <w:tblStylePr w:type="firstRow">
      <w:rPr>
        <w:b/>
        <w:bCs/>
        <w:color w:val="FFFFFF"/>
      </w:rPr>
      <w:tblPr/>
      <w:tcPr>
        <w:shd w:val="clear" w:color="auto" w:fill="28708B"/>
      </w:tcPr>
    </w:tblStylePr>
    <w:tblStylePr w:type="lastRow">
      <w:rPr>
        <w:b/>
        <w:bCs/>
      </w:rPr>
      <w:tblPr/>
      <w:tcPr>
        <w:tcBorders>
          <w:top w:val="single" w:sz="4" w:space="0" w:color="28708B"/>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28708B"/>
          <w:right w:val="single" w:sz="4" w:space="0" w:color="28708B"/>
        </w:tcBorders>
      </w:tcPr>
    </w:tblStylePr>
    <w:tblStylePr w:type="band1Horz">
      <w:tblPr/>
      <w:tcPr>
        <w:tcBorders>
          <w:top w:val="single" w:sz="4" w:space="0" w:color="28708B"/>
          <w:bottom w:val="single" w:sz="4" w:space="0" w:color="28708B"/>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28708B"/>
          <w:left w:val="none" w:sz="4" w:space="0" w:color="000000"/>
        </w:tcBorders>
      </w:tcPr>
    </w:tblStylePr>
    <w:tblStylePr w:type="swCell">
      <w:tblPr/>
      <w:tcPr>
        <w:tcBorders>
          <w:top w:val="single" w:sz="4" w:space="0" w:color="28708B"/>
          <w:right w:val="none" w:sz="4" w:space="0" w:color="000000"/>
        </w:tcBorders>
      </w:tcPr>
    </w:tblStylePr>
  </w:style>
  <w:style w:type="table" w:styleId="ListTable3-Accent2">
    <w:name w:val="List Table 3 Accent 2"/>
    <w:basedOn w:val="TableNormal"/>
    <w:uiPriority w:val="48"/>
    <w:tblPr>
      <w:tblStyleRowBandSize w:val="1"/>
      <w:tblStyleColBandSize w:val="1"/>
      <w:tblBorders>
        <w:top w:val="single" w:sz="4" w:space="0" w:color="75BC22"/>
        <w:left w:val="single" w:sz="4" w:space="0" w:color="75BC22"/>
        <w:bottom w:val="single" w:sz="4" w:space="0" w:color="75BC22"/>
        <w:right w:val="single" w:sz="4" w:space="0" w:color="75BC22"/>
      </w:tblBorders>
    </w:tblPr>
    <w:tcPr>
      <w:vAlign w:val="center"/>
    </w:tcPr>
    <w:tblStylePr w:type="firstRow">
      <w:rPr>
        <w:b/>
        <w:bCs/>
        <w:color w:val="FFFFFF"/>
      </w:rPr>
      <w:tblPr/>
      <w:tcPr>
        <w:shd w:val="clear" w:color="auto" w:fill="75BC22"/>
      </w:tcPr>
    </w:tblStylePr>
    <w:tblStylePr w:type="lastRow">
      <w:rPr>
        <w:b/>
        <w:bCs/>
      </w:rPr>
      <w:tblPr/>
      <w:tcPr>
        <w:tcBorders>
          <w:top w:val="single" w:sz="4" w:space="0" w:color="75BC22"/>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75BC22"/>
          <w:right w:val="single" w:sz="4" w:space="0" w:color="75BC22"/>
        </w:tcBorders>
      </w:tcPr>
    </w:tblStylePr>
    <w:tblStylePr w:type="band1Horz">
      <w:tblPr/>
      <w:tcPr>
        <w:tcBorders>
          <w:top w:val="single" w:sz="4" w:space="0" w:color="75BC22"/>
          <w:bottom w:val="single" w:sz="4" w:space="0" w:color="75BC22"/>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75BC22"/>
          <w:left w:val="none" w:sz="4" w:space="0" w:color="000000"/>
        </w:tcBorders>
      </w:tcPr>
    </w:tblStylePr>
    <w:tblStylePr w:type="swCell">
      <w:tblPr/>
      <w:tcPr>
        <w:tcBorders>
          <w:top w:val="single" w:sz="4" w:space="0" w:color="75BC22"/>
          <w:right w:val="none" w:sz="4" w:space="0" w:color="000000"/>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687AD7" w:themeColor="accent3" w:themeTint="98"/>
        <w:left w:val="single" w:sz="4" w:space="0" w:color="687AD7" w:themeColor="accent3" w:themeTint="98"/>
        <w:bottom w:val="single" w:sz="4" w:space="0" w:color="687AD7" w:themeColor="accent3" w:themeTint="98"/>
        <w:right w:val="single" w:sz="4" w:space="0" w:color="687AD7" w:themeColor="accent3" w:themeTint="98"/>
      </w:tblBorders>
    </w:tblPr>
    <w:tblStylePr w:type="firstRow">
      <w:rPr>
        <w:rFonts w:ascii="Arial" w:hAnsi="Arial"/>
        <w:b/>
        <w:color w:val="FFFFFF"/>
        <w:sz w:val="22"/>
      </w:rPr>
      <w:tblPr/>
      <w:tcPr>
        <w:shd w:val="clear" w:color="687AD7" w:themeColor="accent3" w:themeTint="98" w:fill="687AD7"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87AD7" w:themeColor="accent3" w:themeTint="98"/>
          <w:right w:val="single" w:sz="4" w:space="0" w:color="687AD7" w:themeColor="accent3" w:themeTint="98"/>
        </w:tcBorders>
      </w:tcPr>
    </w:tblStylePr>
    <w:tblStylePr w:type="band1Horz">
      <w:rPr>
        <w:rFonts w:ascii="Arial" w:hAnsi="Arial"/>
        <w:color w:val="404040"/>
        <w:sz w:val="22"/>
      </w:rPr>
      <w:tblPr/>
      <w:tcPr>
        <w:tcBorders>
          <w:top w:val="single" w:sz="4" w:space="0" w:color="687AD7" w:themeColor="accent3" w:themeTint="98"/>
          <w:bottom w:val="single" w:sz="4" w:space="0" w:color="687AD7"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blBorders>
    </w:tblPr>
    <w:tblStylePr w:type="firstRow">
      <w:rPr>
        <w:rFonts w:ascii="Arial" w:hAnsi="Arial"/>
        <w:b/>
        <w:color w:val="FFFFFF"/>
        <w:sz w:val="22"/>
      </w:rPr>
      <w:tblPr/>
      <w:tcPr>
        <w:shd w:val="clear" w:color="BDDD8A" w:themeColor="accent4" w:themeTint="9A" w:fill="BDDD8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DDD8A" w:themeColor="accent4" w:themeTint="9A"/>
          <w:right w:val="single" w:sz="4" w:space="0" w:color="BDDD8A" w:themeColor="accent4" w:themeTint="9A"/>
        </w:tcBorders>
      </w:tcPr>
    </w:tblStylePr>
    <w:tblStylePr w:type="band1Horz">
      <w:rPr>
        <w:rFonts w:ascii="Arial" w:hAnsi="Arial"/>
        <w:color w:val="404040"/>
        <w:sz w:val="22"/>
      </w:rPr>
      <w:tblPr/>
      <w:tcPr>
        <w:tcBorders>
          <w:top w:val="single" w:sz="4" w:space="0" w:color="BDDD8A" w:themeColor="accent4" w:themeTint="9A"/>
          <w:bottom w:val="single" w:sz="4" w:space="0" w:color="BDDD8A"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9D3CF" w:themeColor="accent5" w:themeTint="9A"/>
        <w:left w:val="single" w:sz="4" w:space="0" w:color="A9D3CF" w:themeColor="accent5" w:themeTint="9A"/>
        <w:bottom w:val="single" w:sz="4" w:space="0" w:color="A9D3CF" w:themeColor="accent5" w:themeTint="9A"/>
        <w:right w:val="single" w:sz="4" w:space="0" w:color="A9D3CF" w:themeColor="accent5" w:themeTint="9A"/>
      </w:tblBorders>
    </w:tblPr>
    <w:tblStylePr w:type="firstRow">
      <w:rPr>
        <w:rFonts w:ascii="Arial" w:hAnsi="Arial"/>
        <w:b/>
        <w:color w:val="FFFFFF"/>
        <w:sz w:val="22"/>
      </w:rPr>
      <w:tblPr/>
      <w:tcPr>
        <w:shd w:val="clear" w:color="A9D3CF" w:themeColor="accent5" w:themeTint="9A" w:fill="A9D3CF"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3CF" w:themeColor="accent5" w:themeTint="9A"/>
          <w:right w:val="single" w:sz="4" w:space="0" w:color="A9D3CF" w:themeColor="accent5" w:themeTint="9A"/>
        </w:tcBorders>
      </w:tcPr>
    </w:tblStylePr>
    <w:tblStylePr w:type="band1Horz">
      <w:rPr>
        <w:rFonts w:ascii="Arial" w:hAnsi="Arial"/>
        <w:color w:val="404040"/>
        <w:sz w:val="22"/>
      </w:rPr>
      <w:tblPr/>
      <w:tcPr>
        <w:tcBorders>
          <w:top w:val="single" w:sz="4" w:space="0" w:color="A9D3CF" w:themeColor="accent5" w:themeTint="9A"/>
          <w:bottom w:val="single" w:sz="4" w:space="0" w:color="A9D3CF"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6D08E" w:themeColor="accent6" w:themeTint="98"/>
        <w:left w:val="single" w:sz="4" w:space="0" w:color="F6D08E" w:themeColor="accent6" w:themeTint="98"/>
        <w:bottom w:val="single" w:sz="4" w:space="0" w:color="F6D08E" w:themeColor="accent6" w:themeTint="98"/>
        <w:right w:val="single" w:sz="4" w:space="0" w:color="F6D08E" w:themeColor="accent6" w:themeTint="98"/>
      </w:tblBorders>
    </w:tblPr>
    <w:tblStylePr w:type="firstRow">
      <w:rPr>
        <w:rFonts w:ascii="Arial" w:hAnsi="Arial"/>
        <w:b/>
        <w:color w:val="FFFFFF"/>
        <w:sz w:val="22"/>
      </w:rPr>
      <w:tblPr/>
      <w:tcPr>
        <w:shd w:val="clear" w:color="F6D08E" w:themeColor="accent6" w:themeTint="98" w:fill="F6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6D08E" w:themeColor="accent6" w:themeTint="98"/>
          <w:right w:val="single" w:sz="4" w:space="0" w:color="F6D08E" w:themeColor="accent6" w:themeTint="98"/>
        </w:tcBorders>
      </w:tcPr>
    </w:tblStylePr>
    <w:tblStylePr w:type="band1Horz">
      <w:rPr>
        <w:rFonts w:ascii="Arial" w:hAnsi="Arial"/>
        <w:color w:val="404040"/>
        <w:sz w:val="22"/>
      </w:rPr>
      <w:tblPr/>
      <w:tcPr>
        <w:tcBorders>
          <w:top w:val="single" w:sz="4" w:space="0" w:color="F6D08E" w:themeColor="accent6" w:themeTint="98"/>
          <w:bottom w:val="single" w:sz="4" w:space="0" w:color="F6D08E"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insideH w:val="single" w:sz="4" w:space="0" w:color="48516A" w:themeColor="text1"/>
      </w:tblBorders>
    </w:tblPr>
    <w:tblStylePr w:type="firstRow">
      <w:rPr>
        <w:rFonts w:ascii="Arial" w:hAnsi="Arial"/>
        <w:b/>
        <w:color w:val="FFFFFF"/>
        <w:sz w:val="22"/>
      </w:rPr>
      <w:tblPr/>
      <w:tcPr>
        <w:shd w:val="clear" w:color="48516A" w:themeColor="text1" w:fill="48516A"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4-Accent1">
    <w:name w:val="List Table 4 Accent 1"/>
    <w:basedOn w:val="TableNormal"/>
    <w:uiPriority w:val="49"/>
    <w:tblPr>
      <w:tblStyleRowBandSize w:val="1"/>
      <w:tblStyleColBandSize w:val="1"/>
      <w:tblBorders>
        <w:top w:val="single" w:sz="4" w:space="0" w:color="64B4D2"/>
        <w:left w:val="single" w:sz="4" w:space="0" w:color="64B4D2"/>
        <w:bottom w:val="single" w:sz="4" w:space="0" w:color="64B4D2"/>
        <w:right w:val="single" w:sz="4" w:space="0" w:color="64B4D2"/>
        <w:insideH w:val="single" w:sz="4" w:space="0" w:color="64B4D2"/>
      </w:tblBorders>
    </w:tblPr>
    <w:tblStylePr w:type="firstRow">
      <w:rPr>
        <w:b/>
        <w:bCs/>
        <w:color w:val="FFFFFF"/>
      </w:rPr>
      <w:tblPr/>
      <w:tcPr>
        <w:tcBorders>
          <w:top w:val="single" w:sz="4" w:space="0" w:color="28708B"/>
          <w:left w:val="single" w:sz="4" w:space="0" w:color="28708B"/>
          <w:bottom w:val="single" w:sz="4" w:space="0" w:color="28708B"/>
          <w:right w:val="single" w:sz="4" w:space="0" w:color="28708B"/>
        </w:tcBorders>
        <w:shd w:val="clear" w:color="auto" w:fill="28708B"/>
      </w:tcPr>
    </w:tblStylePr>
    <w:tblStylePr w:type="lastRow">
      <w:rPr>
        <w:b/>
        <w:bCs/>
      </w:rPr>
      <w:tblPr/>
      <w:tcPr>
        <w:tcBorders>
          <w:top w:val="single" w:sz="4" w:space="0" w:color="64B4D2"/>
        </w:tcBorders>
      </w:tcPr>
    </w:tblStylePr>
    <w:tblStylePr w:type="firstCol">
      <w:rPr>
        <w:b/>
        <w:bCs/>
      </w:rPr>
    </w:tblStylePr>
    <w:tblStylePr w:type="lastCol">
      <w:rPr>
        <w:b/>
        <w:bCs/>
      </w:rPr>
    </w:tblStylePr>
    <w:tblStylePr w:type="band1Vert">
      <w:tblPr/>
      <w:tcPr>
        <w:shd w:val="clear" w:color="auto" w:fill="CBE6F0"/>
      </w:tcPr>
    </w:tblStylePr>
    <w:tblStylePr w:type="band1Horz">
      <w:tblPr/>
      <w:tcPr>
        <w:shd w:val="clear" w:color="auto" w:fill="CBE6F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34FFEA" w:themeColor="accent2" w:themeTint="90"/>
        <w:left w:val="single" w:sz="4" w:space="0" w:color="34FFEA" w:themeColor="accent2" w:themeTint="90"/>
        <w:bottom w:val="single" w:sz="4" w:space="0" w:color="34FFEA" w:themeColor="accent2" w:themeTint="90"/>
        <w:right w:val="single" w:sz="4" w:space="0" w:color="34FFEA" w:themeColor="accent2" w:themeTint="90"/>
        <w:insideH w:val="single" w:sz="4" w:space="0" w:color="34FFEA" w:themeColor="accent2" w:themeTint="90"/>
      </w:tblBorders>
    </w:tblPr>
    <w:tblStylePr w:type="firstRow">
      <w:rPr>
        <w:rFonts w:ascii="Arial" w:hAnsi="Arial"/>
        <w:b/>
        <w:color w:val="FFFFFF"/>
        <w:sz w:val="22"/>
      </w:rPr>
      <w:tblPr/>
      <w:tcPr>
        <w:shd w:val="clear" w:color="009889" w:themeColor="accent2" w:fill="00988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tblBorders>
    </w:tblPr>
    <w:tblStylePr w:type="firstRow">
      <w:rPr>
        <w:rFonts w:ascii="Arial" w:hAnsi="Arial"/>
        <w:b/>
        <w:color w:val="FFFFFF"/>
        <w:sz w:val="22"/>
      </w:rPr>
      <w:tblPr/>
      <w:tcPr>
        <w:shd w:val="clear" w:color="283A97" w:themeColor="accent3" w:fill="283A97"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tblBorders>
    </w:tblPr>
    <w:tblStylePr w:type="firstRow">
      <w:rPr>
        <w:rFonts w:ascii="Arial" w:hAnsi="Arial"/>
        <w:b/>
        <w:color w:val="FFFFFF"/>
        <w:sz w:val="22"/>
      </w:rPr>
      <w:tblPr/>
      <w:tcPr>
        <w:shd w:val="clear" w:color="92C83E" w:themeColor="accent4" w:fill="92C83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FD5D2" w:themeColor="accent5" w:themeTint="90"/>
        <w:left w:val="single" w:sz="4" w:space="0" w:color="AFD5D2" w:themeColor="accent5" w:themeTint="90"/>
        <w:bottom w:val="single" w:sz="4" w:space="0" w:color="AFD5D2" w:themeColor="accent5" w:themeTint="90"/>
        <w:right w:val="single" w:sz="4" w:space="0" w:color="AFD5D2" w:themeColor="accent5" w:themeTint="90"/>
        <w:insideH w:val="single" w:sz="4" w:space="0" w:color="AFD5D2" w:themeColor="accent5" w:themeTint="90"/>
      </w:tblBorders>
    </w:tblPr>
    <w:tblStylePr w:type="firstRow">
      <w:rPr>
        <w:rFonts w:ascii="Arial" w:hAnsi="Arial"/>
        <w:b/>
        <w:color w:val="FFFFFF"/>
        <w:sz w:val="22"/>
      </w:rPr>
      <w:tblPr/>
      <w:tcPr>
        <w:shd w:val="clear" w:color="72B6B0" w:themeColor="accent5" w:fill="72B6B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6D294" w:themeColor="accent6" w:themeTint="90"/>
        <w:left w:val="single" w:sz="4" w:space="0" w:color="F6D294" w:themeColor="accent6" w:themeTint="90"/>
        <w:bottom w:val="single" w:sz="4" w:space="0" w:color="F6D294" w:themeColor="accent6" w:themeTint="90"/>
        <w:right w:val="single" w:sz="4" w:space="0" w:color="F6D294" w:themeColor="accent6" w:themeTint="90"/>
        <w:insideH w:val="single" w:sz="4" w:space="0" w:color="F6D294" w:themeColor="accent6" w:themeTint="90"/>
      </w:tblBorders>
    </w:tblPr>
    <w:tblStylePr w:type="firstRow">
      <w:rPr>
        <w:rFonts w:ascii="Arial" w:hAnsi="Arial"/>
        <w:b/>
        <w:color w:val="FFFFFF"/>
        <w:sz w:val="22"/>
      </w:rPr>
      <w:tblPr/>
      <w:tcPr>
        <w:shd w:val="clear" w:color="F0B142" w:themeColor="accent6" w:fill="F0B142"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9BA4BB" w:themeColor="text1" w:themeTint="80"/>
        <w:left w:val="single" w:sz="32" w:space="0" w:color="9BA4BB" w:themeColor="text1" w:themeTint="80"/>
        <w:bottom w:val="single" w:sz="32" w:space="0" w:color="9BA4BB" w:themeColor="text1" w:themeTint="80"/>
        <w:right w:val="single" w:sz="32" w:space="0" w:color="9BA4BB" w:themeColor="text1" w:themeTint="80"/>
      </w:tblBorders>
      <w:shd w:val="clear" w:color="9BA4BB" w:themeColor="text1" w:themeTint="80" w:fill="9BA4BB" w:themeFill="text1" w:themeFillTint="80"/>
    </w:tblPr>
    <w:tblStylePr w:type="firstRow">
      <w:rPr>
        <w:rFonts w:ascii="Arial" w:hAnsi="Arial"/>
        <w:b/>
        <w:color w:val="FFFFFF" w:themeColor="light1"/>
        <w:sz w:val="22"/>
      </w:rPr>
      <w:tblPr/>
      <w:tcPr>
        <w:tcBorders>
          <w:top w:val="single" w:sz="32" w:space="0" w:color="9BA4BB" w:themeColor="text1" w:themeTint="80"/>
          <w:bottom w:val="single" w:sz="12" w:space="0" w:color="FFFFFF" w:themeColor="light1"/>
        </w:tcBorders>
        <w:shd w:val="clear" w:color="9BA4BB" w:themeColor="text1" w:themeTint="80" w:fill="9BA4BB"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A4BB" w:themeColor="text1" w:themeTint="80"/>
          <w:right w:val="single" w:sz="4" w:space="0" w:color="FFFFFF" w:themeColor="light1"/>
        </w:tcBorders>
      </w:tcPr>
    </w:tblStylePr>
    <w:tblStylePr w:type="lastCol">
      <w:tblPr/>
      <w:tcPr>
        <w:tcBorders>
          <w:left w:val="single" w:sz="4" w:space="0" w:color="FFFFFF" w:themeColor="light1"/>
          <w:right w:val="single" w:sz="32" w:space="0" w:color="9BA4BB" w:themeColor="text1" w:themeTint="80"/>
        </w:tcBorders>
      </w:tcPr>
    </w:tblStylePr>
    <w:tblStylePr w:type="band1Vert">
      <w:tblPr/>
      <w:tcPr>
        <w:tcBorders>
          <w:left w:val="single" w:sz="4" w:space="0" w:color="FFFFFF" w:themeColor="light1"/>
          <w:right w:val="single" w:sz="4" w:space="0" w:color="FFFFFF" w:themeColor="light1"/>
        </w:tcBorders>
        <w:shd w:val="clear" w:color="9BA4BB" w:themeColor="text1" w:themeTint="80" w:fill="9BA4BB"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tblStylePr w:type="band2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AC4E" w:themeColor="accent1"/>
        <w:left w:val="single" w:sz="32" w:space="0" w:color="00AC4E" w:themeColor="accent1"/>
        <w:bottom w:val="single" w:sz="32" w:space="0" w:color="00AC4E" w:themeColor="accent1"/>
        <w:right w:val="single" w:sz="32" w:space="0" w:color="00AC4E" w:themeColor="accent1"/>
      </w:tblBorders>
      <w:shd w:val="clear" w:color="00AC4E" w:themeColor="accent1" w:fill="00AC4E" w:themeFill="accent1"/>
    </w:tblPr>
    <w:tblStylePr w:type="firstRow">
      <w:rPr>
        <w:rFonts w:ascii="Arial" w:hAnsi="Arial"/>
        <w:b/>
        <w:color w:val="FFFFFF" w:themeColor="light1"/>
        <w:sz w:val="22"/>
      </w:rPr>
      <w:tblPr/>
      <w:tcPr>
        <w:tcBorders>
          <w:top w:val="single" w:sz="32" w:space="0" w:color="00AC4E" w:themeColor="accent1"/>
          <w:bottom w:val="single" w:sz="12" w:space="0" w:color="FFFFFF" w:themeColor="light1"/>
        </w:tcBorders>
        <w:shd w:val="clear" w:color="00AC4E" w:themeColor="accent1" w:fill="00AC4E"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AC4E" w:themeColor="accent1"/>
          <w:right w:val="single" w:sz="4" w:space="0" w:color="FFFFFF" w:themeColor="light1"/>
        </w:tcBorders>
      </w:tcPr>
    </w:tblStylePr>
    <w:tblStylePr w:type="lastCol">
      <w:tblPr/>
      <w:tcPr>
        <w:tcBorders>
          <w:left w:val="single" w:sz="4" w:space="0" w:color="FFFFFF" w:themeColor="light1"/>
          <w:right w:val="single" w:sz="32" w:space="0" w:color="00AC4E" w:themeColor="accent1"/>
        </w:tcBorders>
      </w:tcPr>
    </w:tblStylePr>
    <w:tblStylePr w:type="band1Vert">
      <w:tblPr/>
      <w:tcPr>
        <w:tcBorders>
          <w:left w:val="single" w:sz="4" w:space="0" w:color="FFFFFF" w:themeColor="light1"/>
          <w:right w:val="single" w:sz="4" w:space="0" w:color="FFFFFF" w:themeColor="light1"/>
        </w:tcBorders>
        <w:shd w:val="clear" w:color="00AC4E" w:themeColor="accent1" w:fill="00AC4E"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AC4E" w:themeColor="accent1" w:fill="00AC4E" w:themeFill="accent1"/>
      </w:tcPr>
    </w:tblStylePr>
    <w:tblStylePr w:type="band2Horz">
      <w:tblPr/>
      <w:tcPr>
        <w:tcBorders>
          <w:top w:val="single" w:sz="4" w:space="0" w:color="FFFFFF" w:themeColor="light1"/>
          <w:bottom w:val="single" w:sz="4" w:space="0" w:color="FFFFFF" w:themeColor="light1"/>
        </w:tcBorders>
        <w:shd w:val="clear" w:color="00AC4E" w:themeColor="accent1" w:fill="00AC4E" w:themeFill="accent1"/>
      </w:tcPr>
    </w:tblStylePr>
  </w:style>
  <w:style w:type="table" w:styleId="ListTable5Dark-Accent2">
    <w:name w:val="List Table 5 Dark Accent 2"/>
    <w:basedOn w:val="TableNormal"/>
    <w:uiPriority w:val="50"/>
    <w:rPr>
      <w:color w:val="FFFFFF"/>
    </w:rPr>
    <w:tblPr>
      <w:tblStyleRowBandSize w:val="1"/>
      <w:tblStyleColBandSize w:val="1"/>
      <w:tblBorders>
        <w:top w:val="single" w:sz="24" w:space="0" w:color="75BC22"/>
        <w:left w:val="single" w:sz="24" w:space="0" w:color="75BC22"/>
        <w:bottom w:val="single" w:sz="24" w:space="0" w:color="75BC22"/>
        <w:right w:val="single" w:sz="24" w:space="0" w:color="75BC22"/>
      </w:tblBorders>
    </w:tblPr>
    <w:tcPr>
      <w:shd w:val="clear" w:color="auto" w:fill="75BC22"/>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top w:val="none" w:sz="4" w:space="0" w:color="000000"/>
          <w:left w:val="none" w:sz="4" w:space="0" w:color="000000"/>
        </w:tcBorders>
      </w:tcPr>
    </w:tblStylePr>
    <w:tblStylePr w:type="swCell">
      <w:tblPr/>
      <w:tcPr>
        <w:tcBorders>
          <w:top w:val="none" w:sz="4" w:space="0" w:color="000000"/>
          <w:right w:val="none" w:sz="4" w:space="0" w:color="000000"/>
        </w:tcBorders>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687AD7" w:themeColor="accent3" w:themeTint="98"/>
        <w:left w:val="single" w:sz="32" w:space="0" w:color="687AD7" w:themeColor="accent3" w:themeTint="98"/>
        <w:bottom w:val="single" w:sz="32" w:space="0" w:color="687AD7" w:themeColor="accent3" w:themeTint="98"/>
        <w:right w:val="single" w:sz="32" w:space="0" w:color="687AD7" w:themeColor="accent3" w:themeTint="98"/>
      </w:tblBorders>
      <w:shd w:val="clear" w:color="687AD7" w:themeColor="accent3" w:themeTint="98" w:fill="687AD7" w:themeFill="accent3" w:themeFillTint="98"/>
    </w:tblPr>
    <w:tblStylePr w:type="firstRow">
      <w:rPr>
        <w:rFonts w:ascii="Arial" w:hAnsi="Arial"/>
        <w:b/>
        <w:color w:val="FFFFFF" w:themeColor="light1"/>
        <w:sz w:val="22"/>
      </w:rPr>
      <w:tblPr/>
      <w:tcPr>
        <w:tcBorders>
          <w:top w:val="single" w:sz="32" w:space="0" w:color="687AD7" w:themeColor="accent3" w:themeTint="98"/>
          <w:bottom w:val="single" w:sz="12" w:space="0" w:color="FFFFFF" w:themeColor="light1"/>
        </w:tcBorders>
        <w:shd w:val="clear" w:color="687AD7" w:themeColor="accent3" w:themeTint="98" w:fill="687AD7"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87AD7" w:themeColor="accent3" w:themeTint="98"/>
          <w:right w:val="single" w:sz="4" w:space="0" w:color="FFFFFF" w:themeColor="light1"/>
        </w:tcBorders>
      </w:tcPr>
    </w:tblStylePr>
    <w:tblStylePr w:type="lastCol">
      <w:tblPr/>
      <w:tcPr>
        <w:tcBorders>
          <w:left w:val="single" w:sz="4" w:space="0" w:color="FFFFFF" w:themeColor="light1"/>
          <w:right w:val="single" w:sz="32" w:space="0" w:color="687AD7" w:themeColor="accent3" w:themeTint="98"/>
        </w:tcBorders>
      </w:tcPr>
    </w:tblStylePr>
    <w:tblStylePr w:type="band1Vert">
      <w:tblPr/>
      <w:tcPr>
        <w:tcBorders>
          <w:left w:val="single" w:sz="4" w:space="0" w:color="FFFFFF" w:themeColor="light1"/>
          <w:right w:val="single" w:sz="4" w:space="0" w:color="FFFFFF" w:themeColor="light1"/>
        </w:tcBorders>
        <w:shd w:val="clear" w:color="687AD7" w:themeColor="accent3" w:themeTint="98" w:fill="687AD7"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tblStylePr w:type="band2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DDD8A" w:themeColor="accent4" w:themeTint="9A"/>
        <w:left w:val="single" w:sz="32" w:space="0" w:color="BDDD8A" w:themeColor="accent4" w:themeTint="9A"/>
        <w:bottom w:val="single" w:sz="32" w:space="0" w:color="BDDD8A" w:themeColor="accent4" w:themeTint="9A"/>
        <w:right w:val="single" w:sz="32" w:space="0" w:color="BDDD8A" w:themeColor="accent4" w:themeTint="9A"/>
      </w:tblBorders>
      <w:shd w:val="clear" w:color="BDDD8A" w:themeColor="accent4" w:themeTint="9A" w:fill="BDDD8A" w:themeFill="accent4" w:themeFillTint="9A"/>
    </w:tblPr>
    <w:tblStylePr w:type="firstRow">
      <w:rPr>
        <w:rFonts w:ascii="Arial" w:hAnsi="Arial"/>
        <w:b/>
        <w:color w:val="FFFFFF" w:themeColor="light1"/>
        <w:sz w:val="22"/>
      </w:rPr>
      <w:tblPr/>
      <w:tcPr>
        <w:tcBorders>
          <w:top w:val="single" w:sz="32" w:space="0" w:color="BDDD8A" w:themeColor="accent4" w:themeTint="9A"/>
          <w:bottom w:val="single" w:sz="12" w:space="0" w:color="FFFFFF" w:themeColor="light1"/>
        </w:tcBorders>
        <w:shd w:val="clear" w:color="BDDD8A" w:themeColor="accent4" w:themeTint="9A" w:fill="BDDD8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DDD8A" w:themeColor="accent4" w:themeTint="9A"/>
          <w:right w:val="single" w:sz="4" w:space="0" w:color="FFFFFF" w:themeColor="light1"/>
        </w:tcBorders>
      </w:tcPr>
    </w:tblStylePr>
    <w:tblStylePr w:type="lastCol">
      <w:tblPr/>
      <w:tcPr>
        <w:tcBorders>
          <w:left w:val="single" w:sz="4" w:space="0" w:color="FFFFFF" w:themeColor="light1"/>
          <w:right w:val="single" w:sz="32" w:space="0" w:color="BDDD8A" w:themeColor="accent4" w:themeTint="9A"/>
        </w:tcBorders>
      </w:tcPr>
    </w:tblStylePr>
    <w:tblStylePr w:type="band1Vert">
      <w:tblPr/>
      <w:tcPr>
        <w:tcBorders>
          <w:left w:val="single" w:sz="4" w:space="0" w:color="FFFFFF" w:themeColor="light1"/>
          <w:right w:val="single" w:sz="4" w:space="0" w:color="FFFFFF" w:themeColor="light1"/>
        </w:tcBorders>
        <w:shd w:val="clear" w:color="BDDD8A" w:themeColor="accent4" w:themeTint="9A" w:fill="BDDD8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tblStylePr w:type="band2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9D3CF" w:themeColor="accent5" w:themeTint="9A"/>
        <w:left w:val="single" w:sz="32" w:space="0" w:color="A9D3CF" w:themeColor="accent5" w:themeTint="9A"/>
        <w:bottom w:val="single" w:sz="32" w:space="0" w:color="A9D3CF" w:themeColor="accent5" w:themeTint="9A"/>
        <w:right w:val="single" w:sz="32" w:space="0" w:color="A9D3CF" w:themeColor="accent5" w:themeTint="9A"/>
      </w:tblBorders>
      <w:shd w:val="clear" w:color="A9D3CF" w:themeColor="accent5" w:themeTint="9A" w:fill="A9D3CF" w:themeFill="accent5" w:themeFillTint="9A"/>
    </w:tblPr>
    <w:tblStylePr w:type="firstRow">
      <w:rPr>
        <w:rFonts w:ascii="Arial" w:hAnsi="Arial"/>
        <w:b/>
        <w:color w:val="FFFFFF" w:themeColor="light1"/>
        <w:sz w:val="22"/>
      </w:rPr>
      <w:tblPr/>
      <w:tcPr>
        <w:tcBorders>
          <w:top w:val="single" w:sz="32" w:space="0" w:color="A9D3CF" w:themeColor="accent5" w:themeTint="9A"/>
          <w:bottom w:val="single" w:sz="12" w:space="0" w:color="FFFFFF" w:themeColor="light1"/>
        </w:tcBorders>
        <w:shd w:val="clear" w:color="A9D3CF" w:themeColor="accent5" w:themeTint="9A" w:fill="A9D3CF"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3CF" w:themeColor="accent5" w:themeTint="9A"/>
          <w:right w:val="single" w:sz="4" w:space="0" w:color="FFFFFF" w:themeColor="light1"/>
        </w:tcBorders>
      </w:tcPr>
    </w:tblStylePr>
    <w:tblStylePr w:type="lastCol">
      <w:tblPr/>
      <w:tcPr>
        <w:tcBorders>
          <w:left w:val="single" w:sz="4" w:space="0" w:color="FFFFFF" w:themeColor="light1"/>
          <w:right w:val="single" w:sz="32" w:space="0" w:color="A9D3CF" w:themeColor="accent5" w:themeTint="9A"/>
        </w:tcBorders>
      </w:tcPr>
    </w:tblStylePr>
    <w:tblStylePr w:type="band1Vert">
      <w:tblPr/>
      <w:tcPr>
        <w:tcBorders>
          <w:left w:val="single" w:sz="4" w:space="0" w:color="FFFFFF" w:themeColor="light1"/>
          <w:right w:val="single" w:sz="4" w:space="0" w:color="FFFFFF" w:themeColor="light1"/>
        </w:tcBorders>
        <w:shd w:val="clear" w:color="A9D3CF" w:themeColor="accent5" w:themeTint="9A" w:fill="A9D3CF"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tblStylePr w:type="band2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6D08E" w:themeColor="accent6" w:themeTint="98"/>
        <w:left w:val="single" w:sz="32" w:space="0" w:color="F6D08E" w:themeColor="accent6" w:themeTint="98"/>
        <w:bottom w:val="single" w:sz="32" w:space="0" w:color="F6D08E" w:themeColor="accent6" w:themeTint="98"/>
        <w:right w:val="single" w:sz="32" w:space="0" w:color="F6D08E" w:themeColor="accent6" w:themeTint="98"/>
      </w:tblBorders>
      <w:shd w:val="clear" w:color="F6D08E" w:themeColor="accent6" w:themeTint="98" w:fill="F6D08E" w:themeFill="accent6" w:themeFillTint="98"/>
    </w:tblPr>
    <w:tblStylePr w:type="firstRow">
      <w:rPr>
        <w:rFonts w:ascii="Arial" w:hAnsi="Arial"/>
        <w:b/>
        <w:color w:val="FFFFFF" w:themeColor="light1"/>
        <w:sz w:val="22"/>
      </w:rPr>
      <w:tblPr/>
      <w:tcPr>
        <w:tcBorders>
          <w:top w:val="single" w:sz="32" w:space="0" w:color="F6D08E" w:themeColor="accent6" w:themeTint="98"/>
          <w:bottom w:val="single" w:sz="12" w:space="0" w:color="FFFFFF" w:themeColor="light1"/>
        </w:tcBorders>
        <w:shd w:val="clear" w:color="F6D08E" w:themeColor="accent6" w:themeTint="98" w:fill="F6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6D08E" w:themeColor="accent6" w:themeTint="98"/>
          <w:right w:val="single" w:sz="4" w:space="0" w:color="FFFFFF" w:themeColor="light1"/>
        </w:tcBorders>
      </w:tcPr>
    </w:tblStylePr>
    <w:tblStylePr w:type="lastCol">
      <w:tblPr/>
      <w:tcPr>
        <w:tcBorders>
          <w:left w:val="single" w:sz="4" w:space="0" w:color="FFFFFF" w:themeColor="light1"/>
          <w:right w:val="single" w:sz="32" w:space="0" w:color="F6D08E" w:themeColor="accent6" w:themeTint="98"/>
        </w:tcBorders>
      </w:tcPr>
    </w:tblStylePr>
    <w:tblStylePr w:type="band1Vert">
      <w:tblPr/>
      <w:tcPr>
        <w:tcBorders>
          <w:left w:val="single" w:sz="4" w:space="0" w:color="FFFFFF" w:themeColor="light1"/>
          <w:right w:val="single" w:sz="4" w:space="0" w:color="FFFFFF" w:themeColor="light1"/>
        </w:tcBorders>
        <w:shd w:val="clear" w:color="F6D08E" w:themeColor="accent6" w:themeTint="98" w:fill="F6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tblStylePr w:type="band2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9BA4BB" w:themeColor="text1" w:themeTint="80"/>
        <w:bottom w:val="single" w:sz="4" w:space="0" w:color="9BA4BB" w:themeColor="text1" w:themeTint="80"/>
      </w:tblBorders>
    </w:tblPr>
    <w:tblStylePr w:type="firstRow">
      <w:rPr>
        <w:b/>
        <w:color w:val="48516A" w:themeColor="text1"/>
      </w:rPr>
      <w:tblPr/>
      <w:tcPr>
        <w:tcBorders>
          <w:bottom w:val="single" w:sz="4" w:space="0" w:color="9BA4BB" w:themeColor="text1" w:themeTint="80"/>
        </w:tcBorders>
      </w:tcPr>
    </w:tblStylePr>
    <w:tblStylePr w:type="lastRow">
      <w:rPr>
        <w:b/>
        <w:color w:val="48516A" w:themeColor="text1"/>
      </w:rPr>
      <w:tblPr/>
      <w:tcPr>
        <w:tcBorders>
          <w:top w:val="single" w:sz="4" w:space="0" w:color="9BA4BB" w:themeColor="text1" w:themeTint="80"/>
        </w:tcBorders>
      </w:tcPr>
    </w:tblStylePr>
    <w:tblStylePr w:type="firstCol">
      <w:rPr>
        <w:b/>
        <w:color w:val="48516A" w:themeColor="text1"/>
      </w:rPr>
    </w:tblStylePr>
    <w:tblStylePr w:type="lastCol">
      <w:rPr>
        <w:b/>
        <w:color w:val="48516A" w:themeColor="text1"/>
      </w:rPr>
    </w:tblStylePr>
    <w:tblStylePr w:type="band1Vert">
      <w:tblPr/>
      <w:tcPr>
        <w:shd w:val="clear" w:color="CDD1DD" w:themeColor="text1" w:themeTint="40" w:fill="CDD1DD" w:themeFill="text1" w:themeFillTint="40"/>
      </w:tcPr>
    </w:tblStylePr>
    <w:tblStylePr w:type="band1Horz">
      <w:rPr>
        <w:rFonts w:ascii="Arial" w:hAnsi="Arial"/>
        <w:color w:val="48516A" w:themeColor="text1"/>
        <w:sz w:val="22"/>
      </w:rPr>
      <w:tblPr/>
      <w:tcPr>
        <w:shd w:val="clear" w:color="CDD1DD" w:themeColor="text1" w:themeTint="40" w:fill="CDD1DD" w:themeFill="text1" w:themeFillTint="40"/>
      </w:tcPr>
    </w:tblStylePr>
    <w:tblStylePr w:type="band2Horz">
      <w:rPr>
        <w:rFonts w:ascii="Arial" w:hAnsi="Arial"/>
        <w:color w:val="48516A" w:themeColor="text1"/>
        <w:sz w:val="22"/>
      </w:r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AC4E" w:themeColor="accent1"/>
        <w:bottom w:val="single" w:sz="4" w:space="0" w:color="00AC4E" w:themeColor="accent1"/>
      </w:tblBorders>
    </w:tblPr>
    <w:tblStylePr w:type="firstRow">
      <w:rPr>
        <w:b/>
        <w:color w:val="00642D" w:themeColor="accent1" w:themeShade="95"/>
      </w:rPr>
      <w:tblPr/>
      <w:tcPr>
        <w:tcBorders>
          <w:bottom w:val="single" w:sz="4" w:space="0" w:color="00AC4E" w:themeColor="accent1"/>
        </w:tcBorders>
      </w:tcPr>
    </w:tblStylePr>
    <w:tblStylePr w:type="lastRow">
      <w:rPr>
        <w:b/>
        <w:color w:val="00642D" w:themeColor="accent1" w:themeShade="95"/>
      </w:rPr>
      <w:tblPr/>
      <w:tcPr>
        <w:tcBorders>
          <w:top w:val="single" w:sz="4" w:space="0" w:color="00AC4E" w:themeColor="accent1"/>
        </w:tcBorders>
      </w:tcPr>
    </w:tblStylePr>
    <w:tblStylePr w:type="firstCol">
      <w:rPr>
        <w:b/>
        <w:color w:val="00642D" w:themeColor="accent1" w:themeShade="95"/>
      </w:rPr>
    </w:tblStylePr>
    <w:tblStylePr w:type="lastCol">
      <w:rPr>
        <w:b/>
        <w:color w:val="00642D" w:themeColor="accent1" w:themeShade="95"/>
      </w:r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2BFFE9" w:themeColor="accent2" w:themeTint="97"/>
        <w:bottom w:val="single" w:sz="4" w:space="0" w:color="2BFFE9" w:themeColor="accent2" w:themeTint="97"/>
      </w:tblBorders>
    </w:tblPr>
    <w:tblStylePr w:type="firstRow">
      <w:rPr>
        <w:b/>
        <w:color w:val="2BFFE9" w:themeColor="accent2" w:themeTint="97" w:themeShade="95"/>
      </w:rPr>
      <w:tblPr/>
      <w:tcPr>
        <w:tcBorders>
          <w:bottom w:val="single" w:sz="4" w:space="0" w:color="2BFFE9" w:themeColor="accent2" w:themeTint="97"/>
        </w:tcBorders>
      </w:tcPr>
    </w:tblStylePr>
    <w:tblStylePr w:type="lastRow">
      <w:rPr>
        <w:b/>
        <w:color w:val="2BFFE9" w:themeColor="accent2" w:themeTint="97" w:themeShade="95"/>
      </w:rPr>
      <w:tblPr/>
      <w:tcPr>
        <w:tcBorders>
          <w:top w:val="single" w:sz="4" w:space="0" w:color="2BFFE9" w:themeColor="accent2" w:themeTint="97"/>
        </w:tcBorders>
      </w:tc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687AD7" w:themeColor="accent3" w:themeTint="98"/>
        <w:bottom w:val="single" w:sz="4" w:space="0" w:color="687AD7" w:themeColor="accent3" w:themeTint="98"/>
      </w:tblBorders>
    </w:tblPr>
    <w:tblStylePr w:type="firstRow">
      <w:rPr>
        <w:b/>
        <w:color w:val="687AD7" w:themeColor="accent3" w:themeTint="98" w:themeShade="95"/>
      </w:rPr>
      <w:tblPr/>
      <w:tcPr>
        <w:tcBorders>
          <w:bottom w:val="single" w:sz="4" w:space="0" w:color="687AD7" w:themeColor="accent3" w:themeTint="98"/>
        </w:tcBorders>
      </w:tcPr>
    </w:tblStylePr>
    <w:tblStylePr w:type="lastRow">
      <w:rPr>
        <w:b/>
        <w:color w:val="687AD7" w:themeColor="accent3" w:themeTint="98" w:themeShade="95"/>
      </w:rPr>
      <w:tblPr/>
      <w:tcPr>
        <w:tcBorders>
          <w:top w:val="single" w:sz="4" w:space="0" w:color="687AD7" w:themeColor="accent3" w:themeTint="98"/>
        </w:tcBorders>
      </w:tcPr>
    </w:tblStylePr>
    <w:tblStylePr w:type="firstCol">
      <w:rPr>
        <w:b/>
        <w:color w:val="687AD7" w:themeColor="accent3" w:themeTint="98" w:themeShade="95"/>
      </w:rPr>
    </w:tblStylePr>
    <w:tblStylePr w:type="lastCol">
      <w:rPr>
        <w:b/>
        <w:color w:val="687AD7" w:themeColor="accent3" w:themeTint="98" w:themeShade="95"/>
      </w:r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DDD8A" w:themeColor="accent4" w:themeTint="9A"/>
        <w:bottom w:val="single" w:sz="4" w:space="0" w:color="BDDD8A" w:themeColor="accent4" w:themeTint="9A"/>
      </w:tblBorders>
    </w:tblPr>
    <w:tblStylePr w:type="firstRow">
      <w:rPr>
        <w:b/>
        <w:color w:val="BDDD8A" w:themeColor="accent4" w:themeTint="9A" w:themeShade="95"/>
      </w:rPr>
      <w:tblPr/>
      <w:tcPr>
        <w:tcBorders>
          <w:bottom w:val="single" w:sz="4" w:space="0" w:color="BDDD8A" w:themeColor="accent4" w:themeTint="9A"/>
        </w:tcBorders>
      </w:tcPr>
    </w:tblStylePr>
    <w:tblStylePr w:type="lastRow">
      <w:rPr>
        <w:b/>
        <w:color w:val="BDDD8A" w:themeColor="accent4" w:themeTint="9A" w:themeShade="95"/>
      </w:rPr>
      <w:tblPr/>
      <w:tcPr>
        <w:tcBorders>
          <w:top w:val="single" w:sz="4" w:space="0" w:color="BDDD8A" w:themeColor="accent4" w:themeTint="9A"/>
        </w:tcBorders>
      </w:tc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9D3CF" w:themeColor="accent5" w:themeTint="9A"/>
        <w:bottom w:val="single" w:sz="4" w:space="0" w:color="A9D3CF" w:themeColor="accent5" w:themeTint="9A"/>
      </w:tblBorders>
    </w:tblPr>
    <w:tblStylePr w:type="firstRow">
      <w:rPr>
        <w:b/>
        <w:color w:val="A9D3CF" w:themeColor="accent5" w:themeTint="9A" w:themeShade="95"/>
      </w:rPr>
      <w:tblPr/>
      <w:tcPr>
        <w:tcBorders>
          <w:bottom w:val="single" w:sz="4" w:space="0" w:color="A9D3CF" w:themeColor="accent5" w:themeTint="9A"/>
        </w:tcBorders>
      </w:tcPr>
    </w:tblStylePr>
    <w:tblStylePr w:type="lastRow">
      <w:rPr>
        <w:b/>
        <w:color w:val="A9D3CF" w:themeColor="accent5" w:themeTint="9A" w:themeShade="95"/>
      </w:rPr>
      <w:tblPr/>
      <w:tcPr>
        <w:tcBorders>
          <w:top w:val="single" w:sz="4" w:space="0" w:color="A9D3CF" w:themeColor="accent5" w:themeTint="9A"/>
        </w:tcBorders>
      </w:tcPr>
    </w:tblStylePr>
    <w:tblStylePr w:type="firstCol">
      <w:rPr>
        <w:b/>
        <w:color w:val="A9D3CF" w:themeColor="accent5" w:themeTint="9A" w:themeShade="95"/>
      </w:rPr>
    </w:tblStylePr>
    <w:tblStylePr w:type="lastCol">
      <w:rPr>
        <w:b/>
        <w:color w:val="A9D3CF" w:themeColor="accent5" w:themeTint="9A" w:themeShade="95"/>
      </w:r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6D08E" w:themeColor="accent6" w:themeTint="98"/>
        <w:bottom w:val="single" w:sz="4" w:space="0" w:color="F6D08E" w:themeColor="accent6" w:themeTint="98"/>
      </w:tblBorders>
    </w:tblPr>
    <w:tblStylePr w:type="firstRow">
      <w:rPr>
        <w:b/>
        <w:color w:val="F6D08E" w:themeColor="accent6" w:themeTint="98" w:themeShade="95"/>
      </w:rPr>
      <w:tblPr/>
      <w:tcPr>
        <w:tcBorders>
          <w:bottom w:val="single" w:sz="4" w:space="0" w:color="F6D08E" w:themeColor="accent6" w:themeTint="98"/>
        </w:tcBorders>
      </w:tcPr>
    </w:tblStylePr>
    <w:tblStylePr w:type="lastRow">
      <w:rPr>
        <w:b/>
        <w:color w:val="F6D08E" w:themeColor="accent6" w:themeTint="98" w:themeShade="95"/>
      </w:rPr>
      <w:tblPr/>
      <w:tcPr>
        <w:tcBorders>
          <w:top w:val="single" w:sz="4" w:space="0" w:color="F6D08E" w:themeColor="accent6" w:themeTint="98"/>
        </w:tcBorders>
      </w:tcPr>
    </w:tblStylePr>
    <w:tblStylePr w:type="firstCol">
      <w:rPr>
        <w:b/>
        <w:color w:val="F6D08E" w:themeColor="accent6" w:themeTint="98" w:themeShade="95"/>
      </w:rPr>
    </w:tblStylePr>
    <w:tblStylePr w:type="lastCol">
      <w:rPr>
        <w:b/>
        <w:color w:val="F6D08E" w:themeColor="accent6" w:themeTint="98" w:themeShade="95"/>
      </w:r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9BA4BB" w:themeColor="text1" w:themeTint="80"/>
      </w:tblBorders>
    </w:tblPr>
    <w:tblStylePr w:type="firstRow">
      <w:rPr>
        <w:rFonts w:ascii="Arial" w:hAnsi="Arial"/>
        <w:i/>
        <w:color w:val="9BA4BB" w:themeColor="text1" w:themeTint="80" w:themeShade="95"/>
        <w:sz w:val="22"/>
      </w:rPr>
      <w:tblPr/>
      <w:tcPr>
        <w:tcBorders>
          <w:top w:val="none" w:sz="4" w:space="0" w:color="000000"/>
          <w:left w:val="none" w:sz="4" w:space="0" w:color="000000"/>
          <w:bottom w:val="single" w:sz="4" w:space="0" w:color="9BA4BB" w:themeColor="text1" w:themeTint="80"/>
          <w:right w:val="none" w:sz="4" w:space="0" w:color="000000"/>
        </w:tcBorders>
        <w:shd w:val="clear" w:color="FFFFFF" w:themeColor="light1" w:fill="FFFFFF" w:themeFill="light1"/>
      </w:tcPr>
    </w:tblStylePr>
    <w:tblStylePr w:type="lastRow">
      <w:rPr>
        <w:rFonts w:ascii="Arial" w:hAnsi="Arial"/>
        <w:i/>
        <w:color w:val="9BA4BB" w:themeColor="text1" w:themeTint="80" w:themeShade="95"/>
        <w:sz w:val="22"/>
      </w:rPr>
      <w:tblPr/>
      <w:tcPr>
        <w:tcBorders>
          <w:top w:val="single" w:sz="4" w:space="0" w:color="9BA4BB"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4" w:space="0" w:color="000000"/>
          <w:left w:val="none" w:sz="4" w:space="0" w:color="000000"/>
          <w:bottom w:val="none" w:sz="4"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4" w:space="0" w:color="000000"/>
          <w:left w:val="single" w:sz="4" w:space="0" w:color="9BA4BB" w:themeColor="text1" w:themeTint="80"/>
          <w:bottom w:val="none" w:sz="4" w:space="0" w:color="000000"/>
          <w:right w:val="none" w:sz="4" w:space="0" w:color="000000"/>
        </w:tcBorders>
        <w:shd w:val="clear" w:color="FFFFFF" w:fill="auto"/>
      </w:tcPr>
    </w:tblStylePr>
    <w:tblStylePr w:type="band1Vert">
      <w:tblPr/>
      <w:tcPr>
        <w:shd w:val="clear" w:color="CDD1DD" w:themeColor="text1" w:themeTint="40" w:fill="CDD1DD" w:themeFill="text1" w:themeFillTint="40"/>
      </w:tcPr>
    </w:tblStylePr>
    <w:tblStylePr w:type="band1Horz">
      <w:rPr>
        <w:rFonts w:ascii="Arial" w:hAnsi="Arial"/>
        <w:color w:val="9BA4BB" w:themeColor="text1" w:themeTint="80" w:themeShade="95"/>
        <w:sz w:val="22"/>
      </w:rPr>
      <w:tblPr/>
      <w:tcPr>
        <w:shd w:val="clear" w:color="CDD1DD" w:themeColor="text1" w:themeTint="40" w:fill="CDD1DD" w:themeFill="text1" w:themeFillTint="40"/>
      </w:tcPr>
    </w:tblStylePr>
    <w:tblStylePr w:type="band2Horz">
      <w:rPr>
        <w:rFonts w:ascii="Arial" w:hAnsi="Arial"/>
        <w:color w:val="9BA4BB" w:themeColor="text1" w:themeTint="80"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AC4E" w:themeColor="accent1"/>
      </w:tblBorders>
    </w:tblPr>
    <w:tblStylePr w:type="firstRow">
      <w:rPr>
        <w:rFonts w:ascii="Arial" w:hAnsi="Arial"/>
        <w:i/>
        <w:color w:val="00642D" w:themeColor="accent1" w:themeShade="95"/>
        <w:sz w:val="22"/>
      </w:rPr>
      <w:tblPr/>
      <w:tcPr>
        <w:tcBorders>
          <w:top w:val="none" w:sz="4" w:space="0" w:color="000000"/>
          <w:left w:val="none" w:sz="4" w:space="0" w:color="000000"/>
          <w:bottom w:val="single" w:sz="4" w:space="0" w:color="00AC4E" w:themeColor="accent1"/>
          <w:right w:val="none" w:sz="4" w:space="0" w:color="000000"/>
        </w:tcBorders>
        <w:shd w:val="clear" w:color="FFFFFF" w:themeColor="light1" w:fill="FFFFFF" w:themeFill="light1"/>
      </w:tcPr>
    </w:tblStylePr>
    <w:tblStylePr w:type="lastRow">
      <w:rPr>
        <w:rFonts w:ascii="Arial" w:hAnsi="Arial"/>
        <w:i/>
        <w:color w:val="00642D" w:themeColor="accent1" w:themeShade="95"/>
        <w:sz w:val="22"/>
      </w:rPr>
      <w:tblPr/>
      <w:tcPr>
        <w:tcBorders>
          <w:top w:val="single" w:sz="4" w:space="0" w:color="00AC4E"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00642D" w:themeColor="accent1" w:themeShade="95"/>
        <w:sz w:val="22"/>
      </w:rPr>
      <w:tblPr/>
      <w:tcPr>
        <w:tcBorders>
          <w:top w:val="none" w:sz="4" w:space="0" w:color="000000"/>
          <w:left w:val="none" w:sz="4" w:space="0" w:color="000000"/>
          <w:bottom w:val="none" w:sz="4" w:space="0" w:color="000000"/>
          <w:right w:val="single" w:sz="4" w:space="0" w:color="00AC4E" w:themeColor="accent1"/>
        </w:tcBorders>
        <w:shd w:val="clear" w:color="FFFFFF" w:fill="auto"/>
      </w:tcPr>
    </w:tblStylePr>
    <w:tblStylePr w:type="lastCol">
      <w:rPr>
        <w:rFonts w:ascii="Arial" w:hAnsi="Arial"/>
        <w:i/>
        <w:color w:val="00642D" w:themeColor="accent1" w:themeShade="95"/>
        <w:sz w:val="22"/>
      </w:rPr>
      <w:tblPr/>
      <w:tcPr>
        <w:tcBorders>
          <w:top w:val="none" w:sz="4" w:space="0" w:color="000000"/>
          <w:left w:val="single" w:sz="4" w:space="0" w:color="00AC4E" w:themeColor="accent1"/>
          <w:bottom w:val="none" w:sz="4" w:space="0" w:color="000000"/>
          <w:right w:val="none" w:sz="4" w:space="0" w:color="000000"/>
        </w:tcBorders>
        <w:shd w:val="clear" w:color="FFFFFF" w:fill="auto"/>
      </w:tc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2BFFE9" w:themeColor="accent2" w:themeTint="97"/>
      </w:tblBorders>
    </w:tblPr>
    <w:tblStylePr w:type="firstRow">
      <w:rPr>
        <w:rFonts w:ascii="Arial" w:hAnsi="Arial"/>
        <w:i/>
        <w:color w:val="2BFFE9" w:themeColor="accent2" w:themeTint="97" w:themeShade="95"/>
        <w:sz w:val="22"/>
      </w:rPr>
      <w:tblPr/>
      <w:tcPr>
        <w:tcBorders>
          <w:top w:val="none" w:sz="4" w:space="0" w:color="000000"/>
          <w:left w:val="none" w:sz="4" w:space="0" w:color="000000"/>
          <w:bottom w:val="single" w:sz="4" w:space="0" w:color="2BFFE9" w:themeColor="accent2" w:themeTint="97"/>
          <w:right w:val="none" w:sz="4" w:space="0" w:color="000000"/>
        </w:tcBorders>
        <w:shd w:val="clear" w:color="FFFFFF" w:themeColor="light1" w:fill="FFFFFF" w:themeFill="light1"/>
      </w:tcPr>
    </w:tblStylePr>
    <w:tblStylePr w:type="lastRow">
      <w:rPr>
        <w:rFonts w:ascii="Arial" w:hAnsi="Arial"/>
        <w:i/>
        <w:color w:val="2BFFE9" w:themeColor="accent2" w:themeTint="97" w:themeShade="95"/>
        <w:sz w:val="22"/>
      </w:rPr>
      <w:tblPr/>
      <w:tcPr>
        <w:tcBorders>
          <w:top w:val="single" w:sz="4" w:space="0" w:color="2BFFE9"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4" w:space="0" w:color="000000"/>
          <w:left w:val="none" w:sz="4" w:space="0" w:color="000000"/>
          <w:bottom w:val="none" w:sz="4"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4" w:space="0" w:color="000000"/>
          <w:left w:val="single" w:sz="4" w:space="0" w:color="2BFFE9" w:themeColor="accent2" w:themeTint="97"/>
          <w:bottom w:val="none" w:sz="4" w:space="0" w:color="000000"/>
          <w:right w:val="none" w:sz="4" w:space="0" w:color="000000"/>
        </w:tcBorders>
        <w:shd w:val="clear" w:color="FFFFFF" w:fill="auto"/>
      </w:tc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687AD7" w:themeColor="accent3" w:themeTint="98"/>
      </w:tblBorders>
    </w:tblPr>
    <w:tblStylePr w:type="firstRow">
      <w:rPr>
        <w:rFonts w:ascii="Arial" w:hAnsi="Arial"/>
        <w:i/>
        <w:color w:val="687AD7" w:themeColor="accent3" w:themeTint="98" w:themeShade="95"/>
        <w:sz w:val="22"/>
      </w:rPr>
      <w:tblPr/>
      <w:tcPr>
        <w:tcBorders>
          <w:top w:val="none" w:sz="4" w:space="0" w:color="000000"/>
          <w:left w:val="none" w:sz="4" w:space="0" w:color="000000"/>
          <w:bottom w:val="single" w:sz="4" w:space="0" w:color="687AD7" w:themeColor="accent3" w:themeTint="98"/>
          <w:right w:val="none" w:sz="4" w:space="0" w:color="000000"/>
        </w:tcBorders>
        <w:shd w:val="clear" w:color="FFFFFF" w:themeColor="light1" w:fill="FFFFFF" w:themeFill="light1"/>
      </w:tcPr>
    </w:tblStylePr>
    <w:tblStylePr w:type="lastRow">
      <w:rPr>
        <w:rFonts w:ascii="Arial" w:hAnsi="Arial"/>
        <w:i/>
        <w:color w:val="687AD7" w:themeColor="accent3" w:themeTint="98" w:themeShade="95"/>
        <w:sz w:val="22"/>
      </w:rPr>
      <w:tblPr/>
      <w:tcPr>
        <w:tcBorders>
          <w:top w:val="single" w:sz="4" w:space="0" w:color="687AD7"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687AD7" w:themeColor="accent3" w:themeTint="98" w:themeShade="95"/>
        <w:sz w:val="22"/>
      </w:rPr>
      <w:tblPr/>
      <w:tcPr>
        <w:tcBorders>
          <w:top w:val="none" w:sz="4" w:space="0" w:color="000000"/>
          <w:left w:val="none" w:sz="4" w:space="0" w:color="000000"/>
          <w:bottom w:val="none" w:sz="4" w:space="0" w:color="000000"/>
          <w:right w:val="single" w:sz="4" w:space="0" w:color="687AD7" w:themeColor="accent3" w:themeTint="98"/>
        </w:tcBorders>
        <w:shd w:val="clear" w:color="FFFFFF" w:fill="auto"/>
      </w:tcPr>
    </w:tblStylePr>
    <w:tblStylePr w:type="lastCol">
      <w:rPr>
        <w:rFonts w:ascii="Arial" w:hAnsi="Arial"/>
        <w:i/>
        <w:color w:val="687AD7" w:themeColor="accent3" w:themeTint="98" w:themeShade="95"/>
        <w:sz w:val="22"/>
      </w:rPr>
      <w:tblPr/>
      <w:tcPr>
        <w:tcBorders>
          <w:top w:val="none" w:sz="4" w:space="0" w:color="000000"/>
          <w:left w:val="single" w:sz="4" w:space="0" w:color="687AD7" w:themeColor="accent3" w:themeTint="98"/>
          <w:bottom w:val="none" w:sz="4" w:space="0" w:color="000000"/>
          <w:right w:val="none" w:sz="4" w:space="0" w:color="000000"/>
        </w:tcBorders>
        <w:shd w:val="clear" w:color="FFFFFF" w:fill="auto"/>
      </w:tc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DDD8A" w:themeColor="accent4" w:themeTint="9A"/>
      </w:tblBorders>
    </w:tblPr>
    <w:tblStylePr w:type="firstRow">
      <w:rPr>
        <w:rFonts w:ascii="Arial" w:hAnsi="Arial"/>
        <w:i/>
        <w:color w:val="BDDD8A" w:themeColor="accent4" w:themeTint="9A" w:themeShade="95"/>
        <w:sz w:val="22"/>
      </w:rPr>
      <w:tblPr/>
      <w:tcPr>
        <w:tcBorders>
          <w:top w:val="none" w:sz="4" w:space="0" w:color="000000"/>
          <w:left w:val="none" w:sz="4" w:space="0" w:color="000000"/>
          <w:bottom w:val="single" w:sz="4" w:space="0" w:color="BDDD8A" w:themeColor="accent4" w:themeTint="9A"/>
          <w:right w:val="none" w:sz="4" w:space="0" w:color="000000"/>
        </w:tcBorders>
        <w:shd w:val="clear" w:color="FFFFFF" w:themeColor="light1" w:fill="FFFFFF" w:themeFill="light1"/>
      </w:tcPr>
    </w:tblStylePr>
    <w:tblStylePr w:type="lastRow">
      <w:rPr>
        <w:rFonts w:ascii="Arial" w:hAnsi="Arial"/>
        <w:i/>
        <w:color w:val="BDDD8A" w:themeColor="accent4" w:themeTint="9A" w:themeShade="95"/>
        <w:sz w:val="22"/>
      </w:rPr>
      <w:tblPr/>
      <w:tcPr>
        <w:tcBorders>
          <w:top w:val="single" w:sz="4" w:space="0" w:color="BDDD8A"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4" w:space="0" w:color="000000"/>
          <w:left w:val="none" w:sz="4" w:space="0" w:color="000000"/>
          <w:bottom w:val="none" w:sz="4"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4" w:space="0" w:color="000000"/>
          <w:left w:val="single" w:sz="4" w:space="0" w:color="BDDD8A" w:themeColor="accent4" w:themeTint="9A"/>
          <w:bottom w:val="none" w:sz="4" w:space="0" w:color="000000"/>
          <w:right w:val="none" w:sz="4" w:space="0" w:color="000000"/>
        </w:tcBorders>
        <w:shd w:val="clear" w:color="FFFFFF" w:fill="auto"/>
      </w:tc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9D3CF" w:themeColor="accent5" w:themeTint="9A"/>
      </w:tblBorders>
    </w:tblPr>
    <w:tblStylePr w:type="firstRow">
      <w:rPr>
        <w:rFonts w:ascii="Arial" w:hAnsi="Arial"/>
        <w:i/>
        <w:color w:val="A9D3CF" w:themeColor="accent5" w:themeTint="9A" w:themeShade="95"/>
        <w:sz w:val="22"/>
      </w:rPr>
      <w:tblPr/>
      <w:tcPr>
        <w:tcBorders>
          <w:top w:val="none" w:sz="4" w:space="0" w:color="000000"/>
          <w:left w:val="none" w:sz="4" w:space="0" w:color="000000"/>
          <w:bottom w:val="single" w:sz="4" w:space="0" w:color="A9D3CF" w:themeColor="accent5" w:themeTint="9A"/>
          <w:right w:val="none" w:sz="4" w:space="0" w:color="000000"/>
        </w:tcBorders>
        <w:shd w:val="clear" w:color="FFFFFF" w:themeColor="light1" w:fill="FFFFFF" w:themeFill="light1"/>
      </w:tcPr>
    </w:tblStylePr>
    <w:tblStylePr w:type="lastRow">
      <w:rPr>
        <w:rFonts w:ascii="Arial" w:hAnsi="Arial"/>
        <w:i/>
        <w:color w:val="A9D3CF" w:themeColor="accent5" w:themeTint="9A" w:themeShade="95"/>
        <w:sz w:val="22"/>
      </w:rPr>
      <w:tblPr/>
      <w:tcPr>
        <w:tcBorders>
          <w:top w:val="single" w:sz="4" w:space="0" w:color="A9D3CF"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3CF" w:themeColor="accent5" w:themeTint="9A" w:themeShade="95"/>
        <w:sz w:val="22"/>
      </w:rPr>
      <w:tblPr/>
      <w:tcPr>
        <w:tcBorders>
          <w:top w:val="none" w:sz="4" w:space="0" w:color="000000"/>
          <w:left w:val="none" w:sz="4" w:space="0" w:color="000000"/>
          <w:bottom w:val="none" w:sz="4" w:space="0" w:color="000000"/>
          <w:right w:val="single" w:sz="4" w:space="0" w:color="A9D3CF" w:themeColor="accent5" w:themeTint="9A"/>
        </w:tcBorders>
        <w:shd w:val="clear" w:color="FFFFFF" w:fill="auto"/>
      </w:tcPr>
    </w:tblStylePr>
    <w:tblStylePr w:type="lastCol">
      <w:rPr>
        <w:rFonts w:ascii="Arial" w:hAnsi="Arial"/>
        <w:i/>
        <w:color w:val="A9D3CF" w:themeColor="accent5" w:themeTint="9A" w:themeShade="95"/>
        <w:sz w:val="22"/>
      </w:rPr>
      <w:tblPr/>
      <w:tcPr>
        <w:tcBorders>
          <w:top w:val="none" w:sz="4" w:space="0" w:color="000000"/>
          <w:left w:val="single" w:sz="4" w:space="0" w:color="A9D3CF" w:themeColor="accent5" w:themeTint="9A"/>
          <w:bottom w:val="none" w:sz="4" w:space="0" w:color="000000"/>
          <w:right w:val="none" w:sz="4" w:space="0" w:color="000000"/>
        </w:tcBorders>
        <w:shd w:val="clear" w:color="FFFFFF" w:fill="auto"/>
      </w:tc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6D08E" w:themeColor="accent6" w:themeTint="98"/>
      </w:tblBorders>
    </w:tblPr>
    <w:tblStylePr w:type="firstRow">
      <w:rPr>
        <w:rFonts w:ascii="Arial" w:hAnsi="Arial"/>
        <w:i/>
        <w:color w:val="F6D08E" w:themeColor="accent6" w:themeTint="98" w:themeShade="95"/>
        <w:sz w:val="22"/>
      </w:rPr>
      <w:tblPr/>
      <w:tcPr>
        <w:tcBorders>
          <w:top w:val="none" w:sz="4" w:space="0" w:color="000000"/>
          <w:left w:val="none" w:sz="4" w:space="0" w:color="000000"/>
          <w:bottom w:val="single" w:sz="4" w:space="0" w:color="F6D08E" w:themeColor="accent6" w:themeTint="98"/>
          <w:right w:val="none" w:sz="4" w:space="0" w:color="000000"/>
        </w:tcBorders>
        <w:shd w:val="clear" w:color="FFFFFF" w:themeColor="light1" w:fill="FFFFFF" w:themeFill="light1"/>
      </w:tcPr>
    </w:tblStylePr>
    <w:tblStylePr w:type="lastRow">
      <w:rPr>
        <w:rFonts w:ascii="Arial" w:hAnsi="Arial"/>
        <w:i/>
        <w:color w:val="F6D08E" w:themeColor="accent6" w:themeTint="98" w:themeShade="95"/>
        <w:sz w:val="22"/>
      </w:rPr>
      <w:tblPr/>
      <w:tcPr>
        <w:tcBorders>
          <w:top w:val="single" w:sz="4" w:space="0" w:color="F6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6D08E" w:themeColor="accent6" w:themeTint="98" w:themeShade="95"/>
        <w:sz w:val="22"/>
      </w:rPr>
      <w:tblPr/>
      <w:tcPr>
        <w:tcBorders>
          <w:top w:val="none" w:sz="4" w:space="0" w:color="000000"/>
          <w:left w:val="none" w:sz="4" w:space="0" w:color="000000"/>
          <w:bottom w:val="none" w:sz="4" w:space="0" w:color="000000"/>
          <w:right w:val="single" w:sz="4" w:space="0" w:color="F6D08E" w:themeColor="accent6" w:themeTint="98"/>
        </w:tcBorders>
        <w:shd w:val="clear" w:color="FFFFFF" w:fill="auto"/>
      </w:tcPr>
    </w:tblStylePr>
    <w:tblStylePr w:type="lastCol">
      <w:rPr>
        <w:rFonts w:ascii="Arial" w:hAnsi="Arial"/>
        <w:i/>
        <w:color w:val="F6D08E" w:themeColor="accent6" w:themeTint="98" w:themeShade="95"/>
        <w:sz w:val="22"/>
      </w:rPr>
      <w:tblPr/>
      <w:tcPr>
        <w:tcBorders>
          <w:top w:val="none" w:sz="4" w:space="0" w:color="000000"/>
          <w:left w:val="single" w:sz="4" w:space="0" w:color="F6D08E" w:themeColor="accent6" w:themeTint="98"/>
          <w:bottom w:val="none" w:sz="4" w:space="0" w:color="000000"/>
          <w:right w:val="none" w:sz="4" w:space="0" w:color="000000"/>
        </w:tcBorders>
        <w:shd w:val="clear" w:color="FFFFFF" w:fill="auto"/>
      </w:tc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val="hr-HR" w:eastAsia="hr-HR"/>
    </w:rPr>
    <w:tblPr>
      <w:tblStyleRowBandSize w:val="1"/>
      <w:tblStyleColBandSize w:val="1"/>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7E89A7" w:themeColor="text1" w:themeTint="A6"/>
        <w:left w:val="single" w:sz="4" w:space="0" w:color="7E89A7" w:themeColor="text1" w:themeTint="A6"/>
        <w:bottom w:val="single" w:sz="4" w:space="0" w:color="7E89A7" w:themeColor="text1" w:themeTint="A6"/>
        <w:right w:val="single" w:sz="4" w:space="0" w:color="7E89A7" w:themeColor="text1" w:themeTint="A6"/>
        <w:insideH w:val="single" w:sz="4" w:space="0" w:color="7E89A7" w:themeColor="text1" w:themeTint="A6"/>
        <w:insideV w:val="single" w:sz="4" w:space="0" w:color="7E89A7" w:themeColor="text1" w:themeTint="A6"/>
      </w:tblBorders>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00642D" w:themeColor="accent1" w:themeShade="95"/>
        <w:left w:val="single" w:sz="4" w:space="0" w:color="00642D" w:themeColor="accent1" w:themeShade="95"/>
        <w:bottom w:val="single" w:sz="4" w:space="0" w:color="00642D" w:themeColor="accent1" w:themeShade="95"/>
        <w:right w:val="single" w:sz="4" w:space="0" w:color="00642D" w:themeColor="accent1" w:themeShade="95"/>
        <w:insideH w:val="single" w:sz="4" w:space="0" w:color="00642D" w:themeColor="accent1" w:themeShade="95"/>
        <w:insideV w:val="single" w:sz="4" w:space="0" w:color="00642D" w:themeColor="accent1" w:themeShade="95"/>
      </w:tblBorders>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00584F" w:themeColor="accent2" w:themeShade="95"/>
        <w:left w:val="single" w:sz="4" w:space="0" w:color="00584F" w:themeColor="accent2" w:themeShade="95"/>
        <w:bottom w:val="single" w:sz="4" w:space="0" w:color="00584F" w:themeColor="accent2" w:themeShade="95"/>
        <w:right w:val="single" w:sz="4" w:space="0" w:color="00584F" w:themeColor="accent2" w:themeShade="95"/>
        <w:insideH w:val="single" w:sz="4" w:space="0" w:color="00584F" w:themeColor="accent2" w:themeShade="95"/>
        <w:insideV w:val="single" w:sz="4" w:space="0" w:color="00584F" w:themeColor="accent2" w:themeShade="95"/>
      </w:tblBorders>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172158" w:themeColor="accent3" w:themeShade="95"/>
        <w:left w:val="single" w:sz="4" w:space="0" w:color="172158" w:themeColor="accent3" w:themeShade="95"/>
        <w:bottom w:val="single" w:sz="4" w:space="0" w:color="172158" w:themeColor="accent3" w:themeShade="95"/>
        <w:right w:val="single" w:sz="4" w:space="0" w:color="172158" w:themeColor="accent3" w:themeShade="95"/>
        <w:insideH w:val="single" w:sz="4" w:space="0" w:color="172158" w:themeColor="accent3" w:themeShade="95"/>
        <w:insideV w:val="single" w:sz="4" w:space="0" w:color="172158" w:themeColor="accent3" w:themeShade="95"/>
      </w:tblBorders>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557722" w:themeColor="accent4" w:themeShade="95"/>
        <w:left w:val="single" w:sz="4" w:space="0" w:color="557722" w:themeColor="accent4" w:themeShade="95"/>
        <w:bottom w:val="single" w:sz="4" w:space="0" w:color="557722" w:themeColor="accent4" w:themeShade="95"/>
        <w:right w:val="single" w:sz="4" w:space="0" w:color="557722" w:themeColor="accent4" w:themeShade="95"/>
        <w:insideH w:val="single" w:sz="4" w:space="0" w:color="557722" w:themeColor="accent4" w:themeShade="95"/>
        <w:insideV w:val="single" w:sz="4" w:space="0" w:color="557722" w:themeColor="accent4" w:themeShade="95"/>
      </w:tblBorders>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3B716C" w:themeColor="accent5" w:themeShade="95"/>
        <w:left w:val="single" w:sz="4" w:space="0" w:color="3B716C" w:themeColor="accent5" w:themeShade="95"/>
        <w:bottom w:val="single" w:sz="4" w:space="0" w:color="3B716C" w:themeColor="accent5" w:themeShade="95"/>
        <w:right w:val="single" w:sz="4" w:space="0" w:color="3B716C" w:themeColor="accent5" w:themeShade="95"/>
        <w:insideH w:val="single" w:sz="4" w:space="0" w:color="3B716C" w:themeColor="accent5" w:themeShade="95"/>
        <w:insideV w:val="single" w:sz="4" w:space="0" w:color="3B716C" w:themeColor="accent5" w:themeShade="95"/>
      </w:tblBorders>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val="hr-HR" w:eastAsia="hr-HR"/>
    </w:rPr>
    <w:tblPr>
      <w:tblStyleRowBandSize w:val="1"/>
      <w:tblStyleColBandSize w:val="1"/>
      <w:tblBorders>
        <w:top w:val="single" w:sz="4" w:space="0" w:color="A56D0D" w:themeColor="accent6" w:themeShade="95"/>
        <w:left w:val="single" w:sz="4" w:space="0" w:color="A56D0D" w:themeColor="accent6" w:themeShade="95"/>
        <w:bottom w:val="single" w:sz="4" w:space="0" w:color="A56D0D" w:themeColor="accent6" w:themeShade="95"/>
        <w:right w:val="single" w:sz="4" w:space="0" w:color="A56D0D" w:themeColor="accent6" w:themeShade="95"/>
        <w:insideH w:val="single" w:sz="4" w:space="0" w:color="A56D0D" w:themeColor="accent6" w:themeShade="95"/>
        <w:insideV w:val="single" w:sz="4" w:space="0" w:color="A56D0D" w:themeColor="accent6" w:themeShade="95"/>
      </w:tblBorders>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insideH w:val="single" w:sz="4" w:space="0" w:color="E1E3EB" w:themeColor="text1" w:themeTint="26"/>
        <w:insideV w:val="single" w:sz="4" w:space="0" w:color="E1E3EB" w:themeColor="text1" w:themeTint="26"/>
      </w:tblBorders>
    </w:tblPr>
    <w:tblStylePr w:type="firstRow">
      <w:rPr>
        <w:rFonts w:ascii="Arial" w:hAnsi="Arial"/>
        <w:color w:val="404040"/>
        <w:sz w:val="22"/>
      </w:rPr>
      <w:tblPr/>
      <w:tcPr>
        <w:tcBorders>
          <w:bottom w:val="single" w:sz="12" w:space="0" w:color="9BA4BB" w:themeColor="text1" w:themeTint="80"/>
        </w:tcBorders>
      </w:tcPr>
    </w:tblStylePr>
    <w:tblStylePr w:type="lastRow">
      <w:rPr>
        <w:rFonts w:ascii="Arial" w:hAnsi="Arial"/>
        <w:color w:val="404040"/>
        <w:sz w:val="22"/>
      </w:rPr>
      <w:tblPr/>
      <w:tcPr>
        <w:tcBorders>
          <w:top w:val="single" w:sz="12" w:space="0" w:color="9BA4BB"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A4BB" w:themeColor="text1" w:themeTint="80"/>
        </w:tcBorders>
      </w:tcPr>
    </w:tblStylePr>
    <w:tblStylePr w:type="band1Horz">
      <w:rPr>
        <w:rFonts w:ascii="Arial" w:hAnsi="Arial"/>
        <w:color w:val="404040"/>
        <w:sz w:val="22"/>
      </w:rPr>
      <w:tblPr/>
      <w:tcPr>
        <w:tc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rFonts w:ascii="Arial" w:hAnsi="Arial"/>
        <w:color w:val="404040"/>
        <w:sz w:val="22"/>
      </w:rPr>
      <w:tblPr/>
      <w:tcPr>
        <w:tcBorders>
          <w:bottom w:val="single" w:sz="12" w:space="0" w:color="00AC4E" w:themeColor="accent1"/>
        </w:tcBorders>
      </w:tcPr>
    </w:tblStylePr>
    <w:tblStylePr w:type="lastRow">
      <w:rPr>
        <w:rFonts w:ascii="Arial" w:hAnsi="Arial"/>
        <w:color w:val="404040"/>
        <w:sz w:val="22"/>
      </w:rPr>
      <w:tblPr/>
      <w:tcPr>
        <w:tcBorders>
          <w:top w:val="single" w:sz="12" w:space="0" w:color="00AC4E"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AC4E" w:themeColor="accent1"/>
        </w:tcBorders>
      </w:tc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rFonts w:ascii="Arial" w:hAnsi="Arial"/>
        <w:color w:val="404040"/>
        <w:sz w:val="22"/>
      </w:rPr>
      <w:tblPr/>
      <w:tcPr>
        <w:tcBorders>
          <w:bottom w:val="single" w:sz="12" w:space="0" w:color="2BFFE9" w:themeColor="accent2" w:themeTint="97"/>
        </w:tcBorders>
      </w:tcPr>
    </w:tblStylePr>
    <w:tblStylePr w:type="lastRow">
      <w:rPr>
        <w:rFonts w:ascii="Arial" w:hAnsi="Arial"/>
        <w:color w:val="404040"/>
        <w:sz w:val="22"/>
      </w:rPr>
      <w:tblPr/>
      <w:tcPr>
        <w:tcBorders>
          <w:top w:val="single" w:sz="12" w:space="0" w:color="2BFFE9"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2BFFE9" w:themeColor="accent2" w:themeTint="97"/>
        </w:tcBorders>
      </w:tc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rFonts w:ascii="Arial" w:hAnsi="Arial"/>
        <w:color w:val="404040"/>
        <w:sz w:val="22"/>
      </w:rPr>
      <w:tblPr/>
      <w:tcPr>
        <w:tcBorders>
          <w:bottom w:val="single" w:sz="12" w:space="0" w:color="687AD7" w:themeColor="accent3" w:themeTint="98"/>
        </w:tcBorders>
      </w:tcPr>
    </w:tblStylePr>
    <w:tblStylePr w:type="lastRow">
      <w:rPr>
        <w:rFonts w:ascii="Arial" w:hAnsi="Arial"/>
        <w:color w:val="404040"/>
        <w:sz w:val="22"/>
      </w:rPr>
      <w:tblPr/>
      <w:tcPr>
        <w:tcBorders>
          <w:top w:val="single" w:sz="12" w:space="0" w:color="687AD7"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87AD7" w:themeColor="accent3" w:themeTint="98"/>
        </w:tcBorders>
      </w:tc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rFonts w:ascii="Arial" w:hAnsi="Arial"/>
        <w:color w:val="404040"/>
        <w:sz w:val="22"/>
      </w:rPr>
      <w:tblPr/>
      <w:tcPr>
        <w:tcBorders>
          <w:bottom w:val="single" w:sz="12" w:space="0" w:color="BDDD8A" w:themeColor="accent4" w:themeTint="9A"/>
        </w:tcBorders>
      </w:tcPr>
    </w:tblStylePr>
    <w:tblStylePr w:type="lastRow">
      <w:rPr>
        <w:rFonts w:ascii="Arial" w:hAnsi="Arial"/>
        <w:color w:val="404040"/>
        <w:sz w:val="22"/>
      </w:rPr>
      <w:tblPr/>
      <w:tcPr>
        <w:tcBorders>
          <w:top w:val="single" w:sz="12" w:space="0" w:color="BDDD8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DDD8A" w:themeColor="accent4" w:themeTint="9A"/>
        </w:tcBorders>
      </w:tc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rFonts w:ascii="Arial" w:hAnsi="Arial"/>
        <w:color w:val="404040"/>
        <w:sz w:val="22"/>
      </w:rPr>
      <w:tblPr/>
      <w:tcPr>
        <w:tcBorders>
          <w:bottom w:val="single" w:sz="12" w:space="0" w:color="A9D3CF" w:themeColor="accent5" w:themeTint="9A"/>
        </w:tcBorders>
      </w:tcPr>
    </w:tblStylePr>
    <w:tblStylePr w:type="lastRow">
      <w:rPr>
        <w:rFonts w:ascii="Arial" w:hAnsi="Arial"/>
        <w:color w:val="404040"/>
        <w:sz w:val="22"/>
      </w:rPr>
      <w:tblPr/>
      <w:tcPr>
        <w:tcBorders>
          <w:top w:val="single" w:sz="12" w:space="0" w:color="A9D3CF"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3CF" w:themeColor="accent5" w:themeTint="9A"/>
        </w:tcBorders>
      </w:tc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rFonts w:ascii="Arial" w:hAnsi="Arial"/>
        <w:color w:val="404040"/>
        <w:sz w:val="22"/>
      </w:rPr>
      <w:tblPr/>
      <w:tcPr>
        <w:tcBorders>
          <w:bottom w:val="single" w:sz="12" w:space="0" w:color="F6D08E" w:themeColor="accent6" w:themeTint="98"/>
        </w:tcBorders>
      </w:tcPr>
    </w:tblStylePr>
    <w:tblStylePr w:type="lastRow">
      <w:rPr>
        <w:rFonts w:ascii="Arial" w:hAnsi="Arial"/>
        <w:color w:val="404040"/>
        <w:sz w:val="22"/>
      </w:rPr>
      <w:tblPr/>
      <w:tcPr>
        <w:tcBorders>
          <w:top w:val="single" w:sz="12" w:space="0" w:color="F6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6D08E" w:themeColor="accent6" w:themeTint="98"/>
        </w:tcBorders>
      </w:tc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ableofFigures">
    <w:name w:val="table of figures"/>
    <w:basedOn w:val="Normal"/>
    <w:next w:val="Normal"/>
    <w:uiPriority w:val="99"/>
    <w:unhideWhenUsed/>
    <w:pPr>
      <w:spacing w:after="0"/>
    </w:p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Header">
    <w:name w:val="header"/>
    <w:basedOn w:val="Normal"/>
    <w:link w:val="HeaderChar"/>
    <w:uiPriority w:val="99"/>
    <w:unhideWhenUsed/>
    <w:pPr>
      <w:tabs>
        <w:tab w:val="center" w:pos="4819"/>
        <w:tab w:val="right" w:pos="9638"/>
      </w:tabs>
      <w:spacing w:after="0" w:line="240" w:lineRule="auto"/>
    </w:pPr>
  </w:style>
  <w:style w:type="character" w:customStyle="1" w:styleId="HeaderChar">
    <w:name w:val="Header Char"/>
    <w:link w:val="Header"/>
    <w:uiPriority w:val="99"/>
    <w:rPr>
      <w:sz w:val="20"/>
    </w:rPr>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link w:val="Footer"/>
    <w:uiPriority w:val="99"/>
    <w:rPr>
      <w:sz w:val="20"/>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AC4E" w:themeColor="accent1"/>
      <w:sz w:val="52"/>
      <w:szCs w:val="76"/>
    </w:rPr>
  </w:style>
  <w:style w:type="character" w:customStyle="1" w:styleId="TitleChar">
    <w:name w:val="Title Char"/>
    <w:basedOn w:val="DefaultParagraphFont"/>
    <w:link w:val="Title"/>
    <w:uiPriority w:val="10"/>
    <w:rPr>
      <w:rFonts w:asciiTheme="majorHAnsi" w:eastAsiaTheme="majorEastAsia" w:hAnsiTheme="majorHAnsi" w:cstheme="majorBidi"/>
      <w:color w:val="00AC4E" w:themeColor="accent1"/>
      <w:sz w:val="52"/>
      <w:szCs w:val="76"/>
    </w:rPr>
  </w:style>
  <w:style w:type="paragraph" w:styleId="ListParagraph">
    <w:name w:val="List Paragraph"/>
    <w:basedOn w:val="Normal"/>
    <w:uiPriority w:val="34"/>
    <w:qFormat/>
    <w:pPr>
      <w:ind w:left="720"/>
      <w:contextualSpacing/>
    </w:pPr>
  </w:style>
  <w:style w:type="paragraph" w:customStyle="1" w:styleId="Default">
    <w:name w:val="Default"/>
    <w:rPr>
      <w:rFonts w:ascii="Arial" w:hAnsi="Arial" w:cs="Arial"/>
      <w:color w:val="000000"/>
      <w:sz w:val="24"/>
      <w:szCs w:val="24"/>
      <w:lang w:eastAsia="en-US"/>
    </w:rPr>
  </w:style>
  <w:style w:type="character" w:styleId="PlaceholderText">
    <w:name w:val="Placeholder Text"/>
    <w:uiPriority w:val="99"/>
    <w:semiHidden/>
    <w:rPr>
      <w:color w:val="80808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0AC4E" w:themeColor="accent1"/>
      <w:sz w:val="46"/>
      <w:szCs w:val="52"/>
      <w:lang w:val="en-US"/>
    </w:rPr>
  </w:style>
  <w:style w:type="character" w:customStyle="1" w:styleId="Heading2Char">
    <w:name w:val="Heading 2 Char"/>
    <w:basedOn w:val="DefaultParagraphFont"/>
    <w:link w:val="Heading2"/>
    <w:uiPriority w:val="9"/>
    <w:rPr>
      <w:rFonts w:asciiTheme="majorHAnsi" w:eastAsiaTheme="majorEastAsia" w:hAnsiTheme="majorHAnsi" w:cstheme="majorBidi"/>
      <w:iCs/>
      <w:color w:val="283A97" w:themeColor="accent3"/>
      <w:spacing w:val="8"/>
      <w:sz w:val="32"/>
      <w:szCs w:val="32"/>
      <w:lang w:val="en-GB"/>
    </w:rPr>
  </w:style>
  <w:style w:type="character" w:customStyle="1" w:styleId="Heading3Char">
    <w:name w:val="Heading 3 Char"/>
    <w:basedOn w:val="DefaultParagraphFont"/>
    <w:link w:val="Heading3"/>
    <w:uiPriority w:val="9"/>
    <w:rPr>
      <w:rFonts w:asciiTheme="majorHAnsi" w:eastAsiaTheme="majorEastAsia" w:hAnsiTheme="majorHAnsi" w:cstheme="majorBidi"/>
      <w:b/>
      <w:bCs/>
      <w:spacing w:val="7"/>
      <w:sz w:val="28"/>
      <w:szCs w:val="28"/>
      <w:lang w:val="en-GB"/>
    </w:rPr>
  </w:style>
  <w:style w:type="character" w:customStyle="1" w:styleId="Heading4Char">
    <w:name w:val="Heading 4 Char"/>
    <w:basedOn w:val="DefaultParagraphFont"/>
    <w:link w:val="Heading4"/>
    <w:uiPriority w:val="9"/>
    <w:rPr>
      <w:rFonts w:asciiTheme="majorHAnsi" w:eastAsiaTheme="majorEastAsia" w:hAnsiTheme="majorHAnsi" w:cstheme="majorBidi"/>
      <w:iCs/>
      <w:color w:val="1E2B71" w:themeColor="accent3" w:themeShade="BF"/>
      <w:spacing w:val="8"/>
      <w:sz w:val="26"/>
      <w:szCs w:val="28"/>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6779D7" w:themeColor="accent3" w:themeTint="99"/>
      <w:sz w:val="24"/>
      <w:szCs w:val="24"/>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6779D7" w:themeColor="accent3" w:themeTint="99"/>
      <w:sz w:val="24"/>
      <w:szCs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color w:val="282B35" w:themeColor="text2"/>
      <w:sz w:val="24"/>
      <w:szCs w:val="24"/>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aps/>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20"/>
    </w:rPr>
  </w:style>
  <w:style w:type="paragraph" w:styleId="Caption">
    <w:name w:val="caption"/>
    <w:basedOn w:val="Normal"/>
    <w:next w:val="Normal"/>
    <w:uiPriority w:val="35"/>
    <w:semiHidden/>
    <w:unhideWhenUsed/>
    <w:qFormat/>
    <w:pPr>
      <w:spacing w:line="240" w:lineRule="auto"/>
    </w:pPr>
    <w:rPr>
      <w:b/>
      <w:bCs/>
      <w:color w:val="009889" w:themeColor="accent2"/>
      <w:spacing w:val="10"/>
      <w:sz w:val="16"/>
      <w:szCs w:val="16"/>
    </w:rPr>
  </w:style>
  <w:style w:type="paragraph" w:styleId="Subtitle">
    <w:name w:val="Subtitle"/>
    <w:basedOn w:val="Normal"/>
    <w:next w:val="Normal"/>
    <w:link w:val="SubtitleChar"/>
    <w:uiPriority w:val="11"/>
    <w:qFormat/>
    <w:pPr>
      <w:numPr>
        <w:ilvl w:val="1"/>
      </w:numPr>
      <w:spacing w:after="240"/>
    </w:pPr>
    <w:rPr>
      <w:rFonts w:ascii="Poppins Medium" w:hAnsi="Poppins Medium" w:cs="Poppins Medium"/>
      <w:color w:val="48516A" w:themeColor="text1"/>
      <w:sz w:val="24"/>
      <w:szCs w:val="24"/>
    </w:rPr>
  </w:style>
  <w:style w:type="character" w:customStyle="1" w:styleId="SubtitleChar">
    <w:name w:val="Subtitle Char"/>
    <w:basedOn w:val="DefaultParagraphFont"/>
    <w:link w:val="Subtitle"/>
    <w:uiPriority w:val="11"/>
    <w:rPr>
      <w:rFonts w:ascii="Poppins Medium" w:hAnsi="Poppins Medium" w:cs="Poppins Medium"/>
      <w:color w:val="48516A" w:themeColor="text1"/>
      <w:sz w:val="24"/>
      <w:szCs w:val="24"/>
    </w:rPr>
  </w:style>
  <w:style w:type="character" w:styleId="Strong">
    <w:name w:val="Strong"/>
    <w:basedOn w:val="DefaultParagraphFont"/>
    <w:uiPriority w:val="22"/>
    <w:qFormat/>
    <w:rPr>
      <w:rFonts w:asciiTheme="minorHAnsi" w:eastAsiaTheme="minorEastAsia" w:hAnsiTheme="minorHAnsi" w:cstheme="minorBidi"/>
      <w:b/>
      <w:bCs/>
      <w:spacing w:val="0"/>
      <w:position w:val="0"/>
      <w:sz w:val="20"/>
      <w:szCs w:val="20"/>
    </w:rPr>
  </w:style>
  <w:style w:type="character" w:styleId="Emphasis">
    <w:name w:val="Emphasis"/>
    <w:basedOn w:val="DefaultParagraphFont"/>
    <w:uiPriority w:val="20"/>
    <w:qFormat/>
    <w:rPr>
      <w:rFonts w:asciiTheme="minorHAnsi" w:eastAsiaTheme="minorEastAsia" w:hAnsiTheme="minorHAnsi" w:cstheme="minorBidi"/>
      <w:i/>
      <w:iCs/>
      <w:color w:val="92C83E" w:themeColor="accent4"/>
      <w:sz w:val="20"/>
      <w:szCs w:val="20"/>
    </w:rPr>
  </w:style>
  <w:style w:type="paragraph" w:styleId="Quote">
    <w:name w:val="Quote"/>
    <w:basedOn w:val="Normal"/>
    <w:next w:val="Normal"/>
    <w:link w:val="QuoteChar"/>
    <w:uiPriority w:val="29"/>
    <w:qFormat/>
    <w:pPr>
      <w:pBdr>
        <w:left w:val="single" w:sz="18" w:space="4" w:color="00AC4E" w:themeColor="accent1"/>
      </w:pBdr>
      <w:spacing w:before="160" w:after="0"/>
      <w:ind w:left="227"/>
    </w:pPr>
    <w:rPr>
      <w:rFonts w:ascii="Poppins SemiBold" w:eastAsiaTheme="majorEastAsia" w:hAnsi="Poppins SemiBold" w:cstheme="majorBidi"/>
      <w:i/>
      <w:sz w:val="22"/>
      <w:szCs w:val="24"/>
    </w:rPr>
  </w:style>
  <w:style w:type="character" w:customStyle="1" w:styleId="QuoteChar">
    <w:name w:val="Quote Char"/>
    <w:basedOn w:val="DefaultParagraphFont"/>
    <w:link w:val="Quote"/>
    <w:uiPriority w:val="29"/>
    <w:rPr>
      <w:rFonts w:ascii="Poppins SemiBold" w:eastAsiaTheme="majorEastAsia" w:hAnsi="Poppins SemiBold" w:cstheme="majorBidi"/>
      <w:i/>
      <w:sz w:val="22"/>
      <w:szCs w:val="24"/>
    </w:rPr>
  </w:style>
  <w:style w:type="paragraph" w:styleId="IntenseQuote">
    <w:name w:val="Intense Quote"/>
    <w:basedOn w:val="Normal"/>
    <w:next w:val="Normal"/>
    <w:link w:val="IntenseQuoteChar"/>
    <w:uiPriority w:val="30"/>
    <w:qFormat/>
    <w:pPr>
      <w:spacing w:before="100" w:beforeAutospacing="1" w:after="240"/>
      <w:ind w:left="936" w:right="936"/>
      <w:jc w:val="center"/>
    </w:pPr>
    <w:rPr>
      <w:rFonts w:asciiTheme="majorHAnsi" w:eastAsiaTheme="majorEastAsia" w:hAnsiTheme="majorHAnsi" w:cstheme="majorBidi"/>
      <w:caps/>
      <w:color w:val="00AC4E" w:themeColor="accent1"/>
      <w:spacing w:val="10"/>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00AC4E" w:themeColor="accent1"/>
      <w:spacing w:val="10"/>
      <w:sz w:val="28"/>
      <w:szCs w:val="28"/>
    </w:rPr>
  </w:style>
  <w:style w:type="character" w:styleId="SubtleEmphasis">
    <w:name w:val="Subtle Emphasis"/>
    <w:basedOn w:val="DefaultParagraphFont"/>
    <w:uiPriority w:val="19"/>
    <w:qFormat/>
    <w:rPr>
      <w:rFonts w:ascii="Poppins Medium" w:hAnsi="Poppins Medium" w:cs="Poppins Medium"/>
      <w:i/>
      <w:iCs/>
    </w:rPr>
  </w:style>
  <w:style w:type="character" w:styleId="IntenseEmphasis">
    <w:name w:val="Intense Emphasis"/>
    <w:basedOn w:val="DefaultParagraphFont"/>
    <w:uiPriority w:val="21"/>
    <w:qFormat/>
    <w:rPr>
      <w:rFonts w:asciiTheme="minorHAnsi" w:eastAsiaTheme="minorEastAsia" w:hAnsiTheme="minorHAnsi" w:cstheme="minorBidi"/>
      <w:b/>
      <w:bCs/>
      <w:i/>
      <w:iCs/>
      <w:color w:val="92C83E" w:themeColor="accent4"/>
      <w:spacing w:val="0"/>
      <w:position w:val="0"/>
      <w:sz w:val="20"/>
      <w:szCs w:val="20"/>
    </w:rPr>
  </w:style>
  <w:style w:type="character" w:styleId="SubtleReference">
    <w:name w:val="Subtle Reference"/>
    <w:basedOn w:val="DefaultParagraphFont"/>
    <w:uiPriority w:val="31"/>
    <w:qFormat/>
    <w:rPr>
      <w:rFonts w:asciiTheme="minorHAnsi" w:eastAsiaTheme="minorEastAsia" w:hAnsiTheme="minorHAnsi" w:cstheme="minorBidi"/>
      <w:caps w:val="0"/>
      <w:smallCaps/>
      <w:color w:val="auto"/>
      <w:spacing w:val="10"/>
      <w:sz w:val="20"/>
      <w:szCs w:val="20"/>
      <w:u w:val="single"/>
    </w:rPr>
  </w:style>
  <w:style w:type="character" w:styleId="IntenseReference">
    <w:name w:val="Intense Reference"/>
    <w:basedOn w:val="DefaultParagraphFont"/>
    <w:uiPriority w:val="32"/>
    <w:qFormat/>
    <w:rPr>
      <w:rFonts w:asciiTheme="minorHAnsi" w:eastAsiaTheme="minorEastAsia" w:hAnsiTheme="minorHAnsi" w:cstheme="minorBidi"/>
      <w:b/>
      <w:bCs/>
      <w:caps w:val="0"/>
      <w:smallCaps/>
      <w:color w:val="555F7D" w:themeColor="text1" w:themeTint="E6"/>
      <w:spacing w:val="10"/>
      <w:position w:val="0"/>
      <w:sz w:val="20"/>
      <w:szCs w:val="20"/>
      <w:u w:val="single"/>
    </w:rPr>
  </w:style>
  <w:style w:type="character" w:styleId="BookTitle">
    <w:name w:val="Book Title"/>
    <w:basedOn w:val="DefaultParagraphFont"/>
    <w:uiPriority w:val="33"/>
    <w:qFormat/>
    <w:rPr>
      <w:rFonts w:asciiTheme="minorHAnsi" w:eastAsiaTheme="minorEastAsia" w:hAnsiTheme="minorHAnsi" w:cstheme="minorBidi"/>
      <w:b/>
      <w:bCs/>
      <w:i/>
      <w:iCs/>
      <w:caps w:val="0"/>
      <w:smallCaps w:val="0"/>
      <w:color w:val="auto"/>
      <w:spacing w:val="10"/>
      <w:sz w:val="20"/>
      <w:szCs w:val="20"/>
    </w:rPr>
  </w:style>
  <w:style w:type="paragraph" w:styleId="TOCHeading">
    <w:name w:val="TOC Heading"/>
    <w:basedOn w:val="Heading1"/>
    <w:next w:val="Normal"/>
    <w:uiPriority w:val="39"/>
    <w:unhideWhenUsed/>
    <w:qFormat/>
    <w:pPr>
      <w:ind w:left="426"/>
      <w:outlineLvl w:val="9"/>
    </w:pPr>
  </w:style>
  <w:style w:type="table" w:styleId="TableGrid">
    <w:name w:val="Table Grid"/>
    <w:basedOn w:val="TableNormal"/>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Table3">
    <w:name w:val="List Table 3"/>
    <w:basedOn w:val="TableNormal"/>
    <w:uiPriority w:val="48"/>
    <w:tblPr>
      <w:tblStyleRowBandSize w:val="1"/>
      <w:tblStyleColBandSize w:val="1"/>
      <w:tblBorders>
        <w:top w:val="single" w:sz="4" w:space="0" w:color="0A2134"/>
        <w:left w:val="single" w:sz="4" w:space="0" w:color="0A2134"/>
        <w:bottom w:val="single" w:sz="4" w:space="0" w:color="0A2134"/>
        <w:right w:val="single" w:sz="4" w:space="0" w:color="0A2134"/>
      </w:tblBorders>
    </w:tblPr>
    <w:tblStylePr w:type="firstRow">
      <w:rPr>
        <w:b/>
        <w:bCs/>
        <w:color w:val="FFFFFF"/>
      </w:rPr>
      <w:tblPr/>
      <w:tcPr>
        <w:shd w:val="clear" w:color="auto" w:fill="0A2134"/>
      </w:tcPr>
    </w:tblStylePr>
    <w:tblStylePr w:type="lastRow">
      <w:rPr>
        <w:b/>
        <w:bCs/>
      </w:rPr>
      <w:tblPr/>
      <w:tcPr>
        <w:tcBorders>
          <w:top w:val="single" w:sz="4" w:space="0" w:color="0A2134"/>
        </w:tcBorders>
        <w:shd w:val="clear" w:color="auto" w:fill="FFFFFF"/>
      </w:tcPr>
    </w:tblStylePr>
    <w:tblStylePr w:type="firstCol">
      <w:rPr>
        <w:b/>
        <w:bCs/>
      </w:rPr>
      <w:tblPr/>
      <w:tcPr>
        <w:tcBorders>
          <w:right w:val="none" w:sz="4" w:space="0" w:color="000000"/>
        </w:tcBorders>
        <w:shd w:val="clear" w:color="auto" w:fill="FFFFFF"/>
      </w:tcPr>
    </w:tblStylePr>
    <w:tblStylePr w:type="lastCol">
      <w:rPr>
        <w:b/>
        <w:bCs/>
      </w:rPr>
      <w:tblPr/>
      <w:tcPr>
        <w:tcBorders>
          <w:left w:val="none" w:sz="4" w:space="0" w:color="000000"/>
        </w:tcBorders>
        <w:shd w:val="clear" w:color="auto" w:fill="FFFFFF"/>
      </w:tcPr>
    </w:tblStylePr>
    <w:tblStylePr w:type="band1Vert">
      <w:tblPr/>
      <w:tcPr>
        <w:tcBorders>
          <w:left w:val="single" w:sz="4" w:space="0" w:color="0A2134"/>
          <w:right w:val="single" w:sz="4" w:space="0" w:color="0A2134"/>
        </w:tcBorders>
      </w:tcPr>
    </w:tblStylePr>
    <w:tblStylePr w:type="band1Horz">
      <w:tblPr/>
      <w:tcPr>
        <w:tcBorders>
          <w:top w:val="single" w:sz="4" w:space="0" w:color="0A2134"/>
          <w:bottom w:val="single" w:sz="4" w:space="0" w:color="0A2134"/>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A2134"/>
          <w:left w:val="none" w:sz="4" w:space="0" w:color="000000"/>
        </w:tcBorders>
      </w:tcPr>
    </w:tblStylePr>
    <w:tblStylePr w:type="swCell">
      <w:tblPr/>
      <w:tcPr>
        <w:tcBorders>
          <w:top w:val="single" w:sz="4" w:space="0" w:color="0A2134"/>
          <w:right w:val="none" w:sz="4" w:space="0" w:color="000000"/>
        </w:tcBorders>
      </w:tcPr>
    </w:tblStylePr>
  </w:style>
  <w:style w:type="table" w:styleId="PlainTable4">
    <w:name w:val="Plain Table 4"/>
    <w:basedOn w:val="TableNormal"/>
    <w:uiPriority w:val="44"/>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FFFFF"/>
      </w:tcPr>
    </w:tblStylePr>
  </w:style>
  <w:style w:type="table" w:styleId="GridTable5Dark-Accent10">
    <w:name w:val="Grid Table 5 Dark Accent 1"/>
    <w:basedOn w:val="TableNormal"/>
    <w:uiPriority w:val="5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BE6F0"/>
    </w:tcPr>
    <w:tblStylePr w:type="firstRow">
      <w:rPr>
        <w:b/>
        <w:bCs/>
        <w:color w:val="FFFFFF"/>
      </w:rPr>
      <w:tblPr/>
      <w:tcPr>
        <w:tcBorders>
          <w:top w:val="single" w:sz="4" w:space="0" w:color="FFFFFF"/>
          <w:left w:val="single" w:sz="4" w:space="0" w:color="FFFFFF"/>
          <w:right w:val="single" w:sz="4" w:space="0" w:color="FFFFFF"/>
        </w:tcBorders>
        <w:shd w:val="clear" w:color="auto" w:fill="28708B"/>
      </w:tcPr>
    </w:tblStylePr>
    <w:tblStylePr w:type="lastRow">
      <w:rPr>
        <w:b/>
        <w:bCs/>
        <w:color w:val="FFFFFF"/>
      </w:rPr>
      <w:tblPr/>
      <w:tcPr>
        <w:tcBorders>
          <w:left w:val="single" w:sz="4" w:space="0" w:color="FFFFFF"/>
          <w:bottom w:val="single" w:sz="4" w:space="0" w:color="FFFFFF"/>
          <w:right w:val="single" w:sz="4" w:space="0" w:color="FFFFFF"/>
        </w:tcBorders>
        <w:shd w:val="clear" w:color="auto" w:fill="28708B"/>
      </w:tcPr>
    </w:tblStylePr>
    <w:tblStylePr w:type="firstCol">
      <w:rPr>
        <w:b/>
        <w:bCs/>
        <w:color w:val="FFFFFF"/>
      </w:rPr>
      <w:tblPr/>
      <w:tcPr>
        <w:tcBorders>
          <w:top w:val="single" w:sz="4" w:space="0" w:color="FFFFFF"/>
          <w:left w:val="single" w:sz="4" w:space="0" w:color="FFFFFF"/>
          <w:bottom w:val="single" w:sz="4" w:space="0" w:color="FFFFFF"/>
        </w:tcBorders>
        <w:shd w:val="clear" w:color="auto" w:fill="28708B"/>
      </w:tcPr>
    </w:tblStylePr>
    <w:tblStylePr w:type="lastCol">
      <w:rPr>
        <w:b/>
        <w:bCs/>
        <w:color w:val="FFFFFF"/>
      </w:rPr>
      <w:tblPr/>
      <w:tcPr>
        <w:tcBorders>
          <w:top w:val="single" w:sz="4" w:space="0" w:color="FFFFFF"/>
          <w:bottom w:val="single" w:sz="4" w:space="0" w:color="FFFFFF"/>
          <w:right w:val="single" w:sz="4" w:space="0" w:color="FFFFFF"/>
        </w:tcBorders>
        <w:shd w:val="clear" w:color="auto" w:fill="28708B"/>
      </w:tcPr>
    </w:tblStylePr>
    <w:tblStylePr w:type="band1Vert">
      <w:tblPr/>
      <w:tcPr>
        <w:shd w:val="clear" w:color="auto" w:fill="97CDE1"/>
      </w:tcPr>
    </w:tblStylePr>
    <w:tblStylePr w:type="band1Horz">
      <w:tblPr/>
      <w:tcPr>
        <w:shd w:val="clear" w:color="auto" w:fill="97CDE1"/>
      </w:tcPr>
    </w:tblStylePr>
  </w:style>
  <w:style w:type="paragraph" w:styleId="TOC2">
    <w:name w:val="toc 2"/>
    <w:basedOn w:val="Normal"/>
    <w:next w:val="Normal"/>
    <w:uiPriority w:val="39"/>
    <w:unhideWhenUsed/>
    <w:pPr>
      <w:spacing w:after="100"/>
      <w:ind w:left="200"/>
    </w:pPr>
    <w:rPr>
      <w:color w:val="3B3B3B"/>
      <w:sz w:val="24"/>
    </w:rPr>
  </w:style>
  <w:style w:type="paragraph" w:styleId="TOC1">
    <w:name w:val="toc 1"/>
    <w:basedOn w:val="Normal"/>
    <w:next w:val="Normal"/>
    <w:uiPriority w:val="39"/>
    <w:unhideWhenUsed/>
    <w:pPr>
      <w:spacing w:after="100"/>
    </w:pPr>
    <w:rPr>
      <w:b/>
      <w:spacing w:val="14"/>
      <w:sz w:val="22"/>
    </w:rPr>
  </w:style>
  <w:style w:type="paragraph" w:styleId="TOC3">
    <w:name w:val="toc 3"/>
    <w:basedOn w:val="Normal"/>
    <w:next w:val="Normal"/>
    <w:uiPriority w:val="39"/>
    <w:unhideWhenUsed/>
    <w:pPr>
      <w:spacing w:after="100"/>
      <w:ind w:left="400"/>
    </w:pPr>
  </w:style>
  <w:style w:type="character" w:styleId="Hyperlink">
    <w:name w:val="Hyperlink"/>
    <w:uiPriority w:val="99"/>
    <w:unhideWhenUsed/>
    <w:rPr>
      <w:color w:val="75BC22"/>
      <w:u w:val="single"/>
    </w:rPr>
  </w:style>
  <w:style w:type="table" w:customStyle="1" w:styleId="Workpackage6">
    <w:name w:val="Work package 6"/>
    <w:basedOn w:val="TableNormal"/>
    <w:uiPriority w:val="99"/>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tblPr>
      <w:tblStyleRowBandSize w:val="1"/>
    </w:tblPr>
    <w:tcPr>
      <w:vAlign w:val="center"/>
    </w:tcPr>
    <w:tblStylePr w:type="firstRow">
      <w:rPr>
        <w:color w:val="FFFFFF"/>
      </w:rPr>
      <w:tblPr/>
      <w:tcPr>
        <w:shd w:val="clear" w:color="auto" w:fill="2C4D75"/>
      </w:tcPr>
    </w:tblStylePr>
    <w:tblStylePr w:type="band2Horz">
      <w:tblPr/>
      <w:tcPr>
        <w:shd w:val="clear" w:color="auto" w:fill="E4E9EE"/>
      </w:tcPr>
    </w:tblStylePr>
  </w:style>
  <w:style w:type="table" w:customStyle="1" w:styleId="Workpackage5">
    <w:name w:val="Work package 5"/>
    <w:basedOn w:val="TableNormal"/>
    <w:uiPriority w:val="99"/>
    <w:tblPr>
      <w:tblStyleRowBandSize w:val="1"/>
    </w:tblPr>
    <w:tcPr>
      <w:vAlign w:val="center"/>
    </w:tcPr>
    <w:tblStylePr w:type="firstRow">
      <w:tblPr/>
      <w:tcPr>
        <w:shd w:val="clear" w:color="auto" w:fill="FEC111"/>
      </w:tcPr>
    </w:tblStylePr>
    <w:tblStylePr w:type="band2Horz">
      <w:tblPr/>
      <w:tcPr>
        <w:shd w:val="clear" w:color="auto" w:fill="F3F3B8"/>
      </w:tcPr>
    </w:tblStylePr>
  </w:style>
  <w:style w:type="table" w:customStyle="1" w:styleId="Workpackage3">
    <w:name w:val="Work package 3"/>
    <w:basedOn w:val="TableNormal"/>
    <w:uiPriority w:val="99"/>
    <w:tblPr>
      <w:tblStyleRowBandSize w:val="1"/>
    </w:tblPr>
    <w:tcPr>
      <w:vAlign w:val="center"/>
    </w:tcPr>
    <w:tblStylePr w:type="firstRow">
      <w:tblPr/>
      <w:tcPr>
        <w:shd w:val="clear" w:color="auto" w:fill="ED7D30"/>
      </w:tcPr>
    </w:tblStylePr>
    <w:tblStylePr w:type="band2Horz">
      <w:tblPr/>
      <w:tcPr>
        <w:shd w:val="clear" w:color="auto" w:fill="FBDFCB"/>
        <w:vAlign w:val="center"/>
      </w:tcPr>
    </w:tblStylePr>
  </w:style>
  <w:style w:type="table" w:customStyle="1" w:styleId="Workpackage2">
    <w:name w:val="Work package 2"/>
    <w:basedOn w:val="TableNormal"/>
    <w:uiPriority w:val="99"/>
    <w:tblPr>
      <w:tblStyleRowBandSize w:val="1"/>
    </w:tblPr>
    <w:tcPr>
      <w:vAlign w:val="center"/>
    </w:tcPr>
    <w:tblStylePr w:type="firstRow">
      <w:rPr>
        <w:color w:val="ECECEC"/>
      </w:rPr>
      <w:tblPr/>
      <w:tcPr>
        <w:shd w:val="clear" w:color="auto" w:fill="75BC22"/>
      </w:tcPr>
    </w:tblStylePr>
    <w:tblStylePr w:type="band2Horz">
      <w:tblPr/>
      <w:tcPr>
        <w:shd w:val="clear" w:color="auto" w:fill="E3F6CE"/>
      </w:tcPr>
    </w:tblStylePr>
  </w:style>
  <w:style w:type="table" w:customStyle="1" w:styleId="Workpackage1">
    <w:name w:val="Work package 1"/>
    <w:basedOn w:val="TableNormal"/>
    <w:uiPriority w:val="99"/>
    <w:tblPr>
      <w:tblStyleRowBandSize w:val="1"/>
    </w:tblPr>
    <w:tblStylePr w:type="firstRow">
      <w:tblPr/>
      <w:tcPr>
        <w:shd w:val="clear" w:color="auto" w:fill="75BC43"/>
      </w:tcPr>
    </w:tblStylePr>
    <w:tblStylePr w:type="band2Horz">
      <w:tblPr/>
      <w:tcPr>
        <w:shd w:val="clear" w:color="auto" w:fill="DDEED0"/>
      </w:tcPr>
    </w:tblStylePr>
  </w:style>
  <w:style w:type="paragraph" w:styleId="NormalWeb">
    <w:name w:val="Normal (Web)"/>
    <w:basedOn w:val="Normal"/>
    <w:link w:val="NormalWebChar"/>
    <w:uiPriority w:val="99"/>
    <w:semiHidden/>
    <w:unhideWhenUsed/>
    <w:pPr>
      <w:spacing w:before="100" w:beforeAutospacing="1" w:after="100" w:afterAutospacing="1" w:line="240" w:lineRule="auto"/>
    </w:pPr>
    <w:rPr>
      <w:rFonts w:ascii="Times New Roman" w:hAnsi="Times New Roman"/>
      <w:sz w:val="24"/>
      <w:szCs w:val="24"/>
      <w:lang w:eastAsia="en-IE"/>
    </w:rPr>
  </w:style>
  <w:style w:type="paragraph" w:customStyle="1" w:styleId="Quote2">
    <w:name w:val="Quote2"/>
    <w:basedOn w:val="NormalWeb"/>
    <w:link w:val="Quote2Char"/>
    <w:pPr>
      <w:spacing w:before="0" w:beforeAutospacing="0" w:after="160" w:afterAutospacing="0"/>
    </w:pPr>
    <w:rPr>
      <w:rFonts w:ascii="Work Sans" w:hAnsi="Work Sans"/>
      <w:i/>
      <w:iCs/>
      <w:color w:val="22404D"/>
      <w:shd w:val="clear" w:color="auto" w:fill="D9D2E9"/>
    </w:rPr>
  </w:style>
  <w:style w:type="character" w:customStyle="1" w:styleId="NormalWebChar">
    <w:name w:val="Normal (Web) Char"/>
    <w:link w:val="NormalWeb"/>
    <w:uiPriority w:val="99"/>
    <w:semiHidden/>
    <w:rPr>
      <w:rFonts w:ascii="Times New Roman" w:eastAsia="Times New Roman" w:hAnsi="Times New Roman" w:cs="Times New Roman"/>
      <w:sz w:val="24"/>
      <w:szCs w:val="24"/>
      <w:lang w:eastAsia="en-IE"/>
    </w:rPr>
  </w:style>
  <w:style w:type="character" w:customStyle="1" w:styleId="Quote2Char">
    <w:name w:val="Quote2 Char"/>
    <w:link w:val="Quote2"/>
    <w:rPr>
      <w:rFonts w:ascii="Work Sans" w:eastAsia="Times New Roman" w:hAnsi="Work Sans" w:cs="Times New Roman"/>
      <w:i/>
      <w:iCs/>
      <w:color w:val="22404D"/>
      <w:sz w:val="24"/>
      <w:szCs w:val="24"/>
      <w:lang w:eastAsia="en-IE"/>
    </w:rPr>
  </w:style>
  <w:style w:type="character" w:styleId="UnresolvedMention">
    <w:name w:val="Unresolved Mention"/>
    <w:uiPriority w:val="99"/>
    <w:semiHidden/>
    <w:unhideWhenUsed/>
    <w:rPr>
      <w:color w:val="605E5C"/>
      <w:shd w:val="clear" w:color="auto" w:fill="E1DFDD"/>
    </w:rPr>
  </w:style>
  <w:style w:type="numbering" w:customStyle="1" w:styleId="Digital4Business">
    <w:name w:val="Digital4Business"/>
    <w:uiPriority w:val="99"/>
    <w:pPr>
      <w:numPr>
        <w:numId w:val="1"/>
      </w:numPr>
    </w:pPr>
  </w:style>
  <w:style w:type="table" w:customStyle="1" w:styleId="GridTable4-Accent22">
    <w:name w:val="Grid Table 4 - Accent 22"/>
    <w:basedOn w:val="TableNormal"/>
    <w:next w:val="GridTable4-Accent2"/>
    <w:uiPriority w:val="49"/>
    <w:tblPr>
      <w:tblStyleRowBandSize w:val="1"/>
      <w:tblStyleColBandSize w:val="1"/>
    </w:tblPr>
    <w:tcPr>
      <w:shd w:val="clear" w:color="auto" w:fill="ECECEC"/>
    </w:tcPr>
    <w:tblStylePr w:type="firstRow">
      <w:rPr>
        <w:b/>
        <w:bCs/>
        <w:color w:val="FFFFFF"/>
      </w:rPr>
      <w:tblPr/>
      <w:tcPr>
        <w:tcBorders>
          <w:top w:val="single" w:sz="4" w:space="0" w:color="75BC22"/>
          <w:left w:val="single" w:sz="4" w:space="0" w:color="75BC22"/>
          <w:bottom w:val="single" w:sz="4" w:space="0" w:color="75BC22"/>
          <w:right w:val="single" w:sz="4" w:space="0" w:color="75BC22"/>
        </w:tcBorders>
        <w:shd w:val="clear" w:color="auto" w:fill="75BC22"/>
      </w:tcPr>
    </w:tblStylePr>
    <w:tblStylePr w:type="lastRow">
      <w:rPr>
        <w:b/>
        <w:bCs/>
      </w:rPr>
      <w:tblPr/>
      <w:tcPr>
        <w:tcBorders>
          <w:top w:val="single" w:sz="4" w:space="0" w:color="75BC22"/>
        </w:tcBorders>
      </w:tcPr>
    </w:tblStylePr>
    <w:tblStylePr w:type="firstCol">
      <w:rPr>
        <w:b/>
        <w:bCs/>
      </w:rPr>
    </w:tblStylePr>
    <w:tblStylePr w:type="lastCol">
      <w:rPr>
        <w:b/>
        <w:bCs/>
      </w:rPr>
    </w:tblStylePr>
    <w:tblStylePr w:type="band2Horz">
      <w:tblPr/>
      <w:tcPr>
        <w:shd w:val="clear" w:color="auto" w:fill="FFFFFF"/>
      </w:tcPr>
    </w:tblStylePr>
  </w:style>
  <w:style w:type="paragraph" w:customStyle="1" w:styleId="TableParagraph">
    <w:name w:val="Table Paragraph"/>
    <w:basedOn w:val="Normal"/>
    <w:uiPriority w:val="1"/>
    <w:qFormat/>
    <w:pPr>
      <w:widowControl w:val="0"/>
      <w:spacing w:after="0" w:line="240" w:lineRule="auto"/>
    </w:pPr>
    <w:rPr>
      <w:rFonts w:ascii="Arial" w:eastAsia="Arial" w:hAnsi="Arial" w:cs="Arial"/>
      <w:sz w:val="22"/>
      <w:szCs w:val="22"/>
      <w:lang w:val="en-US"/>
    </w:rPr>
  </w:style>
  <w:style w:type="table" w:customStyle="1" w:styleId="WorkPackage60">
    <w:name w:val="WorkPackage6"/>
    <w:basedOn w:val="TableNormal"/>
    <w:uiPriority w:val="99"/>
    <w:tblPr>
      <w:tblStyleRowBandSize w:val="1"/>
    </w:tblPr>
    <w:tcPr>
      <w:vAlign w:val="center"/>
    </w:tcPr>
    <w:tblStylePr w:type="firstRow">
      <w:rPr>
        <w:color w:val="FFFFFF"/>
      </w:rPr>
      <w:tblPr/>
      <w:tcPr>
        <w:shd w:val="clear" w:color="auto" w:fill="28708B"/>
      </w:tcPr>
    </w:tblStylePr>
    <w:tblStylePr w:type="band2Horz">
      <w:tblPr/>
      <w:tcPr>
        <w:shd w:val="clear" w:color="auto" w:fill="C2EDF0"/>
      </w:tcPr>
    </w:tblStylePr>
  </w:style>
  <w:style w:type="character" w:styleId="FollowedHyperlink">
    <w:name w:val="FollowedHyperlink"/>
    <w:uiPriority w:val="99"/>
    <w:semiHidden/>
    <w:unhideWhenUsed/>
    <w:rPr>
      <w:color w:val="ACD68E"/>
      <w:u w:val="singl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rPr>
      <w:sz w:val="20"/>
    </w:rPr>
  </w:style>
  <w:style w:type="paragraph" w:styleId="FootnoteText">
    <w:name w:val="footnote text"/>
    <w:basedOn w:val="Normal"/>
    <w:link w:val="FootnoteTextChar"/>
    <w:uiPriority w:val="99"/>
    <w:semiHidden/>
    <w:unhideWhenUsed/>
    <w:pPr>
      <w:spacing w:after="0" w:line="240" w:lineRule="auto"/>
    </w:pPr>
    <w:rPr>
      <w:szCs w:val="20"/>
    </w:rPr>
  </w:style>
  <w:style w:type="character" w:customStyle="1" w:styleId="FootnoteTextChar">
    <w:name w:val="Footnote Text Char"/>
    <w:basedOn w:val="DefaultParagraphFont"/>
    <w:link w:val="FootnoteText"/>
    <w:uiPriority w:val="99"/>
    <w:semiHidden/>
    <w:rPr>
      <w:sz w:val="20"/>
      <w:szCs w:val="20"/>
    </w:rPr>
  </w:style>
  <w:style w:type="character" w:styleId="FootnoteReference">
    <w:name w:val="footnote reference"/>
    <w:basedOn w:val="DefaultParagraphFont"/>
    <w:uiPriority w:val="99"/>
    <w:semiHidden/>
    <w:unhideWhenUs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Digital4Sustainability">
  <a:themeElements>
    <a:clrScheme name="Digital4Sustainability">
      <a:dk1>
        <a:srgbClr val="48516A"/>
      </a:dk1>
      <a:lt1>
        <a:sysClr val="window" lastClr="FFFFFF"/>
      </a:lt1>
      <a:dk2>
        <a:srgbClr val="282B35"/>
      </a:dk2>
      <a:lt2>
        <a:srgbClr val="F5F5F6"/>
      </a:lt2>
      <a:accent1>
        <a:srgbClr val="00AC4E"/>
      </a:accent1>
      <a:accent2>
        <a:srgbClr val="009889"/>
      </a:accent2>
      <a:accent3>
        <a:srgbClr val="283A97"/>
      </a:accent3>
      <a:accent4>
        <a:srgbClr val="92C83E"/>
      </a:accent4>
      <a:accent5>
        <a:srgbClr val="72B6B0"/>
      </a:accent5>
      <a:accent6>
        <a:srgbClr val="F0B142"/>
      </a:accent6>
      <a:hlink>
        <a:srgbClr val="009889"/>
      </a:hlink>
      <a:folHlink>
        <a:srgbClr val="FDDEA8"/>
      </a:folHlink>
    </a:clrScheme>
    <a:fontScheme name="Digital4Sustainability">
      <a:majorFont>
        <a:latin typeface="Titillium Web Bold"/>
        <a:ea typeface="Arial"/>
        <a:cs typeface="Arial"/>
      </a:majorFont>
      <a:minorFont>
        <a:latin typeface="Poppin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0EF1C2E6C65AD40805337159C5ABA90" ma:contentTypeVersion="7" ma:contentTypeDescription="Loo uus dokument" ma:contentTypeScope="" ma:versionID="c24e8bed3b4b7d3794e910adb7268794">
  <xsd:schema xmlns:xsd="http://www.w3.org/2001/XMLSchema" xmlns:xs="http://www.w3.org/2001/XMLSchema" xmlns:p="http://schemas.microsoft.com/office/2006/metadata/properties" xmlns:ns2="f696adf8-2fb9-42c5-9d5b-36e94f4f5ead" targetNamespace="http://schemas.microsoft.com/office/2006/metadata/properties" ma:root="true" ma:fieldsID="207cb55ad783bac46ea312698c3a422d" ns2:_="">
    <xsd:import namespace="f696adf8-2fb9-42c5-9d5b-36e94f4f5ea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96adf8-2fb9-42c5-9d5b-36e94f4f5e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customXml/itemProps3.xml><?xml version="1.0" encoding="utf-8"?>
<ds:datastoreItem xmlns:ds="http://schemas.openxmlformats.org/officeDocument/2006/customXml" ds:itemID="{3DD770C7-A831-4ACA-B9C3-0E9B7B44F2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96adf8-2fb9-42c5-9d5b-36e94f4f5e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5.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1875</Words>
  <Characters>10693</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Ferara Blašković</dc:creator>
  <cp:keywords/>
  <dc:description/>
  <cp:lastModifiedBy>Katarina Cicvarić</cp:lastModifiedBy>
  <cp:revision>5</cp:revision>
  <dcterms:created xsi:type="dcterms:W3CDTF">2026-04-25T06:51:00Z</dcterms:created>
  <dcterms:modified xsi:type="dcterms:W3CDTF">2026-04-25T06:59:00Z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0x010100F0EF1C2E6C65AD40805337159C5ABA90</vt:lpwstr>
  </property>
</Properties>
</file>