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EF521E" w:rsidRDefault="00E04709" w:rsidP="00413340">
      <w:pPr>
        <w:pStyle w:val="NoSpacing"/>
        <w:spacing w:after="120"/>
        <w:rPr>
          <w:lang w:val="en-GB"/>
        </w:rPr>
      </w:pPr>
    </w:p>
    <w:p w14:paraId="3316F77B" w14:textId="77777777" w:rsidR="00E04709" w:rsidRPr="00EF521E" w:rsidRDefault="00000000" w:rsidP="00413340">
      <w:pPr>
        <w:pStyle w:val="NoSpacing"/>
        <w:tabs>
          <w:tab w:val="left" w:pos="3488"/>
        </w:tabs>
        <w:spacing w:after="120"/>
        <w:rPr>
          <w:lang w:val="en-GB"/>
        </w:rPr>
      </w:pPr>
      <w:r w:rsidRPr="00EF521E">
        <w:rPr>
          <w:lang w:val="en-GB"/>
        </w:rPr>
        <w:tab/>
      </w:r>
    </w:p>
    <w:p w14:paraId="75C8651F" w14:textId="77777777" w:rsidR="0097137C" w:rsidRPr="00EF521E" w:rsidRDefault="0097137C" w:rsidP="00413340">
      <w:pPr>
        <w:pStyle w:val="NoSpacing"/>
        <w:rPr>
          <w:rFonts w:ascii="Titillium Web Light" w:eastAsiaTheme="majorEastAsia" w:hAnsi="Titillium Web Light" w:cstheme="majorBidi"/>
          <w:color w:val="48516A" w:themeColor="text1"/>
          <w:sz w:val="72"/>
          <w:szCs w:val="72"/>
          <w:lang w:val="en-GB"/>
        </w:rPr>
      </w:pPr>
      <w:r w:rsidRPr="00EF521E">
        <w:rPr>
          <w:rFonts w:ascii="Titillium Web Light" w:eastAsiaTheme="majorEastAsia" w:hAnsi="Titillium Web Light" w:cstheme="majorBidi"/>
          <w:color w:val="48516A" w:themeColor="text1"/>
          <w:sz w:val="72"/>
          <w:szCs w:val="72"/>
          <w:lang w:val="en-GB"/>
        </w:rPr>
        <w:t xml:space="preserve">Sustainability Data Essentials </w:t>
      </w:r>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3B1D801B" w:rsidR="00E04709" w:rsidRPr="00EF521E" w:rsidRDefault="00980D68" w:rsidP="00413340">
              <w:pPr>
                <w:pStyle w:val="NoSpacing"/>
                <w:rPr>
                  <w:color w:val="FFFFFF" w:themeColor="background1"/>
                  <w:sz w:val="44"/>
                  <w:szCs w:val="44"/>
                  <w:lang w:val="en-GB"/>
                </w:rPr>
              </w:pPr>
              <w:r w:rsidRPr="00EF521E">
                <w:rPr>
                  <w:rFonts w:asciiTheme="majorHAnsi" w:hAnsiTheme="majorHAnsi"/>
                  <w:color w:val="00AC4E" w:themeColor="accent1"/>
                  <w:sz w:val="54"/>
                  <w:szCs w:val="200"/>
                  <w:lang w:val="en-GB"/>
                </w:rPr>
                <w:t xml:space="preserve">Learner </w:t>
              </w:r>
              <w:r w:rsidR="001B6962" w:rsidRPr="00EF521E">
                <w:rPr>
                  <w:rFonts w:asciiTheme="majorHAnsi" w:hAnsiTheme="majorHAnsi"/>
                  <w:color w:val="00AC4E" w:themeColor="accent1"/>
                  <w:sz w:val="54"/>
                  <w:szCs w:val="200"/>
                  <w:lang w:val="en-GB"/>
                </w:rPr>
                <w:t xml:space="preserve">Handbook </w:t>
              </w:r>
            </w:p>
          </w:sdtContent>
        </w:sdt>
        <w:p w14:paraId="3C8BEC80" w14:textId="77777777" w:rsidR="00E04709" w:rsidRPr="00EF521E" w:rsidRDefault="00E04709" w:rsidP="00413340">
          <w:pPr>
            <w:pStyle w:val="NoSpacing"/>
            <w:rPr>
              <w:color w:val="FFFFFF" w:themeColor="background1"/>
              <w:sz w:val="28"/>
              <w:szCs w:val="28"/>
              <w:lang w:val="en-GB"/>
            </w:rPr>
          </w:pPr>
        </w:p>
        <w:p w14:paraId="5EFCD0A0" w14:textId="77777777" w:rsidR="00E04709" w:rsidRPr="00EF521E" w:rsidRDefault="00E04709" w:rsidP="00413340">
          <w:pPr>
            <w:pStyle w:val="NoSpacing"/>
            <w:rPr>
              <w:color w:val="FFFFFF" w:themeColor="background1"/>
              <w:sz w:val="28"/>
              <w:szCs w:val="28"/>
              <w:lang w:val="en-GB"/>
            </w:rPr>
          </w:pPr>
        </w:p>
        <w:p w14:paraId="23DC7A12" w14:textId="77777777" w:rsidR="00E04709" w:rsidRPr="00EF521E" w:rsidRDefault="00E04709" w:rsidP="00413340">
          <w:pPr>
            <w:spacing w:line="240" w:lineRule="auto"/>
          </w:pPr>
        </w:p>
        <w:p w14:paraId="5C43C640" w14:textId="77777777" w:rsidR="00E04709" w:rsidRPr="00EF521E" w:rsidRDefault="00E04709" w:rsidP="00413340">
          <w:pPr>
            <w:pStyle w:val="NoSpacing"/>
            <w:rPr>
              <w:color w:val="FFFFFF" w:themeColor="background1"/>
              <w:sz w:val="28"/>
              <w:szCs w:val="28"/>
              <w:lang w:val="en-GB"/>
            </w:rPr>
          </w:pPr>
        </w:p>
        <w:p w14:paraId="2F196A8E" w14:textId="77777777" w:rsidR="00E04709" w:rsidRPr="00EF521E" w:rsidRDefault="00E04709" w:rsidP="00413340">
          <w:pPr>
            <w:pStyle w:val="NoSpacing"/>
            <w:rPr>
              <w:color w:val="FFFFFF" w:themeColor="background1"/>
              <w:sz w:val="28"/>
              <w:szCs w:val="28"/>
              <w:lang w:val="en-GB"/>
            </w:rPr>
          </w:pPr>
        </w:p>
        <w:p w14:paraId="7D19933D" w14:textId="77777777" w:rsidR="00E04709" w:rsidRPr="00EF521E" w:rsidRDefault="00E04709" w:rsidP="00413340">
          <w:pPr>
            <w:pStyle w:val="NoSpacing"/>
            <w:rPr>
              <w:color w:val="FFFFFF" w:themeColor="background1"/>
              <w:sz w:val="28"/>
              <w:szCs w:val="28"/>
              <w:lang w:val="en-GB"/>
            </w:rPr>
          </w:pPr>
        </w:p>
        <w:p w14:paraId="59327A34" w14:textId="77777777" w:rsidR="00E04709" w:rsidRPr="00EF521E" w:rsidRDefault="00E04709" w:rsidP="00413340">
          <w:pPr>
            <w:pStyle w:val="NoSpacing"/>
            <w:rPr>
              <w:color w:val="808080" w:themeColor="background1" w:themeShade="80"/>
              <w:sz w:val="28"/>
              <w:szCs w:val="28"/>
              <w:lang w:val="en-GB"/>
            </w:rPr>
          </w:pPr>
        </w:p>
        <w:p w14:paraId="0086FE3A" w14:textId="77777777" w:rsidR="00E04709" w:rsidRPr="00EF521E" w:rsidRDefault="00E04709" w:rsidP="00413340">
          <w:pPr>
            <w:pStyle w:val="NoSpacing"/>
            <w:rPr>
              <w:color w:val="808080" w:themeColor="background1" w:themeShade="80"/>
              <w:sz w:val="28"/>
              <w:szCs w:val="28"/>
              <w:lang w:val="en-GB"/>
            </w:rPr>
          </w:pPr>
        </w:p>
        <w:p w14:paraId="55D3A8AC" w14:textId="77777777" w:rsidR="00E04709" w:rsidRPr="00EF521E" w:rsidRDefault="00E04709" w:rsidP="00413340">
          <w:pPr>
            <w:spacing w:line="240" w:lineRule="auto"/>
            <w:rPr>
              <w:rFonts w:ascii="Arial" w:hAnsi="Arial" w:cs="Arial"/>
              <w:sz w:val="18"/>
              <w:szCs w:val="18"/>
            </w:rPr>
          </w:pPr>
        </w:p>
        <w:p w14:paraId="33FAB1C4" w14:textId="77777777" w:rsidR="00E04709" w:rsidRPr="00EF521E" w:rsidRDefault="00000000" w:rsidP="00413340">
          <w:pPr>
            <w:spacing w:line="240" w:lineRule="auto"/>
          </w:pPr>
        </w:p>
      </w:sdtContent>
    </w:sdt>
    <w:p w14:paraId="338284FF" w14:textId="77777777" w:rsidR="00E04709" w:rsidRPr="00EF521E" w:rsidRDefault="00000000" w:rsidP="00413340">
      <w:pPr>
        <w:spacing w:line="240" w:lineRule="auto"/>
      </w:pPr>
      <w:r w:rsidRPr="00EF521E">
        <w:br w:type="page" w:clear="all"/>
      </w:r>
    </w:p>
    <w:p w14:paraId="21F0095B" w14:textId="77777777" w:rsidR="0079138D" w:rsidRPr="00EF521E" w:rsidRDefault="00000000" w:rsidP="00413340">
      <w:pPr>
        <w:spacing w:line="240" w:lineRule="auto"/>
      </w:pPr>
      <w:r w:rsidRPr="00EF521E">
        <w:lastRenderedPageBreak/>
        <w:t>Copyright © 2024 Digital4Sustainability. The project resources contained herein are publicly available under the Creative Commons license 4.0 B.Y.</w:t>
      </w:r>
      <w:bookmarkStart w:id="0" w:name="_Toc170486835"/>
    </w:p>
    <w:p w14:paraId="55A1200A" w14:textId="5FC4F4CB" w:rsidR="00E04709" w:rsidRPr="00EF521E" w:rsidRDefault="00000000" w:rsidP="00413340">
      <w:pPr>
        <w:spacing w:line="240" w:lineRule="auto"/>
      </w:pPr>
      <w:r w:rsidRPr="00EF521E">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Pr="00EF521E"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Pr="00EF521E"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E04709" w:rsidRPr="00EF521E" w14:paraId="5884787F" w14:textId="77777777" w:rsidTr="00DB51DC">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21570EFA" w14:textId="77777777" w:rsidR="00E04709" w:rsidRPr="00EF521E" w:rsidRDefault="00000000" w:rsidP="00E661A9">
            <w:r w:rsidRPr="00EF521E">
              <w:t>Project</w:t>
            </w:r>
          </w:p>
        </w:tc>
        <w:tc>
          <w:tcPr>
            <w:tcW w:w="6369" w:type="dxa"/>
          </w:tcPr>
          <w:p w14:paraId="23E66384" w14:textId="77777777" w:rsidR="00E04709" w:rsidRPr="00EF521E" w:rsidRDefault="00000000" w:rsidP="00E661A9">
            <w:pPr>
              <w:cnfStyle w:val="100000000000" w:firstRow="1" w:lastRow="0" w:firstColumn="0" w:lastColumn="0" w:oddVBand="0" w:evenVBand="0" w:oddHBand="0" w:evenHBand="0" w:firstRowFirstColumn="0" w:firstRowLastColumn="0" w:lastRowFirstColumn="0" w:lastRowLastColumn="0"/>
            </w:pPr>
            <w:r w:rsidRPr="00EF521E">
              <w:t>Digital4Sustainability</w:t>
            </w:r>
          </w:p>
        </w:tc>
      </w:tr>
      <w:tr w:rsidR="00E04709" w:rsidRPr="00EF521E" w14:paraId="0DF8C853" w14:textId="77777777" w:rsidTr="00DB51DC">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6D0F8D28" w14:textId="77777777" w:rsidR="00E04709" w:rsidRPr="00EF521E" w:rsidRDefault="00000000" w:rsidP="00E661A9">
            <w:r w:rsidRPr="00EF521E">
              <w:t>Project number</w:t>
            </w:r>
          </w:p>
        </w:tc>
        <w:tc>
          <w:tcPr>
            <w:tcW w:w="6369" w:type="dxa"/>
          </w:tcPr>
          <w:p w14:paraId="08A71C63" w14:textId="77777777" w:rsidR="00E04709" w:rsidRPr="00EF521E" w:rsidRDefault="00000000" w:rsidP="00E661A9">
            <w:pPr>
              <w:cnfStyle w:val="000000000000" w:firstRow="0" w:lastRow="0" w:firstColumn="0" w:lastColumn="0" w:oddVBand="0" w:evenVBand="0" w:oddHBand="0" w:evenHBand="0" w:firstRowFirstColumn="0" w:firstRowLastColumn="0" w:lastRowFirstColumn="0" w:lastRowLastColumn="0"/>
            </w:pPr>
            <w:r w:rsidRPr="00EF521E">
              <w:t>101140316</w:t>
            </w:r>
          </w:p>
        </w:tc>
      </w:tr>
      <w:tr w:rsidR="00E04709" w:rsidRPr="00EF521E" w14:paraId="010B01E9" w14:textId="77777777" w:rsidTr="00DB51D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1C29E123" w14:textId="77777777" w:rsidR="00E04709" w:rsidRPr="00EF521E" w:rsidRDefault="00000000" w:rsidP="00E661A9">
            <w:r w:rsidRPr="00EF521E">
              <w:t>Document Title</w:t>
            </w:r>
          </w:p>
        </w:tc>
        <w:tc>
          <w:tcPr>
            <w:tcW w:w="6369" w:type="dxa"/>
          </w:tcPr>
          <w:p w14:paraId="0DAEAC0C" w14:textId="4DFBCC2C" w:rsidR="00E04709" w:rsidRPr="00EF521E" w:rsidRDefault="00725F35" w:rsidP="00E661A9">
            <w:pPr>
              <w:cnfStyle w:val="000000010000" w:firstRow="0" w:lastRow="0" w:firstColumn="0" w:lastColumn="0" w:oddVBand="0" w:evenVBand="0" w:oddHBand="0" w:evenHBand="1" w:firstRowFirstColumn="0" w:firstRowLastColumn="0" w:lastRowFirstColumn="0" w:lastRowLastColumn="0"/>
            </w:pPr>
            <w:r w:rsidRPr="00EF521E">
              <w:t xml:space="preserve">Green Software Fundamentals – </w:t>
            </w:r>
            <w:r w:rsidR="009E2B70" w:rsidRPr="00EF521E">
              <w:t>Learner</w:t>
            </w:r>
            <w:r w:rsidR="00FF0F54" w:rsidRPr="00EF521E">
              <w:t xml:space="preserve"> </w:t>
            </w:r>
            <w:r w:rsidR="001B6962" w:rsidRPr="00EF521E">
              <w:t>handbook</w:t>
            </w:r>
          </w:p>
        </w:tc>
      </w:tr>
      <w:tr w:rsidR="00E04709" w:rsidRPr="00EF521E" w14:paraId="006792DD" w14:textId="77777777" w:rsidTr="00DB51DC">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1EFCBB37" w14:textId="77777777" w:rsidR="00E04709" w:rsidRPr="00EF521E" w:rsidRDefault="00000000" w:rsidP="00E661A9">
            <w:r w:rsidRPr="00EF521E">
              <w:rPr>
                <w:rFonts w:eastAsia="Times New Roman"/>
                <w:lang w:eastAsia="en-IE"/>
              </w:rPr>
              <w:t>Authors </w:t>
            </w:r>
          </w:p>
        </w:tc>
        <w:tc>
          <w:tcPr>
            <w:tcW w:w="6369" w:type="dxa"/>
          </w:tcPr>
          <w:p w14:paraId="63A9DE43" w14:textId="77777777" w:rsidR="0050484C" w:rsidRPr="00EF521E" w:rsidRDefault="0050484C" w:rsidP="00E661A9">
            <w:pPr>
              <w:cnfStyle w:val="000000000000" w:firstRow="0" w:lastRow="0" w:firstColumn="0" w:lastColumn="0" w:oddVBand="0" w:evenVBand="0" w:oddHBand="0" w:evenHBand="0" w:firstRowFirstColumn="0" w:firstRowLastColumn="0" w:lastRowFirstColumn="0" w:lastRowLastColumn="0"/>
            </w:pPr>
            <w:r w:rsidRPr="00EF521E">
              <w:t xml:space="preserve">Margus Sakk; BCS </w:t>
            </w:r>
            <w:proofErr w:type="spellStart"/>
            <w:r w:rsidRPr="00EF521E">
              <w:t>Koolitus</w:t>
            </w:r>
            <w:proofErr w:type="spellEnd"/>
          </w:p>
          <w:p w14:paraId="06C08E61" w14:textId="66BE2ADE" w:rsidR="0050484C" w:rsidRPr="00EF521E" w:rsidRDefault="0050484C" w:rsidP="00E661A9">
            <w:pPr>
              <w:cnfStyle w:val="000000000000" w:firstRow="0" w:lastRow="0" w:firstColumn="0" w:lastColumn="0" w:oddVBand="0" w:evenVBand="0" w:oddHBand="0" w:evenHBand="0" w:firstRowFirstColumn="0" w:firstRowLastColumn="0" w:lastRowFirstColumn="0" w:lastRowLastColumn="0"/>
            </w:pPr>
            <w:r w:rsidRPr="00EF521E">
              <w:t xml:space="preserve">Virve Räni, BCS </w:t>
            </w:r>
            <w:proofErr w:type="spellStart"/>
            <w:r w:rsidRPr="00EF521E">
              <w:t>Koolitus</w:t>
            </w:r>
            <w:proofErr w:type="spellEnd"/>
          </w:p>
          <w:p w14:paraId="60A6F73C" w14:textId="0D570429" w:rsidR="00E04709" w:rsidRPr="00EF521E" w:rsidRDefault="0050484C" w:rsidP="00E661A9">
            <w:pPr>
              <w:cnfStyle w:val="000000000000" w:firstRow="0" w:lastRow="0" w:firstColumn="0" w:lastColumn="0" w:oddVBand="0" w:evenVBand="0" w:oddHBand="0" w:evenHBand="0" w:firstRowFirstColumn="0" w:firstRowLastColumn="0" w:lastRowFirstColumn="0" w:lastRowLastColumn="0"/>
            </w:pPr>
            <w:r w:rsidRPr="00EF521E">
              <w:t xml:space="preserve">Katarina Cicvarić, </w:t>
            </w:r>
            <w:proofErr w:type="spellStart"/>
            <w:r w:rsidRPr="00EF521E">
              <w:t>Profil</w:t>
            </w:r>
            <w:proofErr w:type="spellEnd"/>
            <w:r w:rsidRPr="00EF521E">
              <w:t xml:space="preserve"> Klett</w:t>
            </w:r>
          </w:p>
        </w:tc>
      </w:tr>
      <w:tr w:rsidR="00E04709" w:rsidRPr="00EF521E" w14:paraId="4D006FC7" w14:textId="77777777" w:rsidTr="00DB51DC">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079E880" w14:textId="77777777" w:rsidR="00E04709" w:rsidRPr="00EF521E" w:rsidRDefault="00000000" w:rsidP="00E661A9">
            <w:r w:rsidRPr="00EF521E">
              <w:rPr>
                <w:rFonts w:eastAsia="Times New Roman"/>
                <w:lang w:eastAsia="en-IE"/>
              </w:rPr>
              <w:t>Reviewers </w:t>
            </w:r>
          </w:p>
        </w:tc>
        <w:tc>
          <w:tcPr>
            <w:tcW w:w="6369" w:type="dxa"/>
          </w:tcPr>
          <w:p w14:paraId="701076AD" w14:textId="50123996" w:rsidR="0050484C" w:rsidRPr="00EF521E" w:rsidRDefault="0050484C" w:rsidP="00E661A9">
            <w:pPr>
              <w:cnfStyle w:val="000000010000" w:firstRow="0" w:lastRow="0" w:firstColumn="0" w:lastColumn="0" w:oddVBand="0" w:evenVBand="0" w:oddHBand="0" w:evenHBand="1" w:firstRowFirstColumn="0" w:firstRowLastColumn="0" w:lastRowFirstColumn="0" w:lastRowLastColumn="0"/>
            </w:pPr>
            <w:r w:rsidRPr="00EF521E">
              <w:t xml:space="preserve">Francesco Abbita; ADECCO </w:t>
            </w:r>
            <w:proofErr w:type="spellStart"/>
            <w:r w:rsidRPr="00EF521E">
              <w:t>Fomazione</w:t>
            </w:r>
            <w:proofErr w:type="spellEnd"/>
          </w:p>
          <w:p w14:paraId="7FD94386" w14:textId="50B77E93" w:rsidR="00725F35" w:rsidRPr="00EF521E" w:rsidRDefault="0050484C" w:rsidP="00E661A9">
            <w:pPr>
              <w:cnfStyle w:val="000000010000" w:firstRow="0" w:lastRow="0" w:firstColumn="0" w:lastColumn="0" w:oddVBand="0" w:evenVBand="0" w:oddHBand="0" w:evenHBand="1" w:firstRowFirstColumn="0" w:firstRowLastColumn="0" w:lastRowFirstColumn="0" w:lastRowLastColumn="0"/>
            </w:pPr>
            <w:r w:rsidRPr="00EF521E">
              <w:t xml:space="preserve">Filippo Chiarello; ADECCO </w:t>
            </w:r>
            <w:proofErr w:type="spellStart"/>
            <w:r w:rsidRPr="00EF521E">
              <w:t>Fomazione</w:t>
            </w:r>
            <w:proofErr w:type="spellEnd"/>
          </w:p>
        </w:tc>
      </w:tr>
      <w:tr w:rsidR="00DB51DC" w:rsidRPr="00B51613" w14:paraId="52E2E88C" w14:textId="77777777" w:rsidTr="00DB51DC">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62275662" w14:textId="77777777" w:rsidR="00DB51DC" w:rsidRPr="00B51613" w:rsidRDefault="00DB51DC" w:rsidP="00E661A9">
            <w:pPr>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1A29DBD3" w14:textId="77777777" w:rsidR="00DB51DC" w:rsidRPr="00B51613" w:rsidRDefault="00DB51DC" w:rsidP="00E661A9">
            <w:pPr>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DB51DC" w:rsidRPr="00B51613" w14:paraId="15336D52" w14:textId="77777777" w:rsidTr="00DB51DC">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660013DB" w14:textId="77777777" w:rsidR="00DB51DC" w:rsidRPr="00B51613" w:rsidRDefault="00DB51DC" w:rsidP="00E661A9">
            <w:pPr>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2C069FF6" w14:textId="77777777" w:rsidR="00DB51DC" w:rsidRPr="00B51613" w:rsidRDefault="00DB51DC" w:rsidP="00E661A9">
            <w:pPr>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DB51DC" w:rsidRPr="00B51613" w14:paraId="0A989360" w14:textId="77777777" w:rsidTr="00DB51DC">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0F5AB2B" w14:textId="77777777" w:rsidR="00DB51DC" w:rsidRPr="00B51613" w:rsidRDefault="00DB51DC" w:rsidP="00E661A9">
            <w:pPr>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1BB47C4C" w14:textId="77777777" w:rsidR="00DB51DC" w:rsidRPr="00B51613" w:rsidRDefault="00DB51DC" w:rsidP="00E661A9">
            <w:pPr>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761123D5" w14:textId="77777777" w:rsidR="00DB51DC" w:rsidRPr="00B51613" w:rsidRDefault="00DB51DC" w:rsidP="00E661A9">
            <w:pPr>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2658C49F" w14:textId="77777777" w:rsidR="00E04709" w:rsidRPr="00EF521E" w:rsidRDefault="00E04709" w:rsidP="00413340">
      <w:pPr>
        <w:spacing w:line="240" w:lineRule="auto"/>
      </w:pPr>
    </w:p>
    <w:p w14:paraId="3B2137C8" w14:textId="77777777" w:rsidR="0079138D" w:rsidRPr="00EF521E" w:rsidRDefault="0079138D" w:rsidP="00413340">
      <w:pPr>
        <w:spacing w:line="240" w:lineRule="auto"/>
        <w:jc w:val="both"/>
      </w:pPr>
      <w:r w:rsidRPr="00EF521E">
        <w:t>This handbook serves as the comprehensive learning material for the entire upskilling curriculum, covering all modules in a single document. It is structured into Modules and thematic Topics, each designed to achieve specific learning outcomes. The learning content is supported by multimedia elements, self-assessment quizzes, and additional learning resources.</w:t>
      </w:r>
    </w:p>
    <w:p w14:paraId="5A5B6C75" w14:textId="77777777" w:rsidR="00091F56" w:rsidRPr="00EF521E" w:rsidRDefault="00091F56" w:rsidP="00413340">
      <w:pPr>
        <w:spacing w:line="240" w:lineRule="auto"/>
        <w:rPr>
          <w:b/>
          <w:bCs/>
        </w:rPr>
      </w:pPr>
    </w:p>
    <w:p w14:paraId="4CA6F253" w14:textId="77777777" w:rsidR="009759FE" w:rsidRPr="00EF521E" w:rsidRDefault="009759FE" w:rsidP="00413340">
      <w:pPr>
        <w:spacing w:line="240" w:lineRule="auto"/>
        <w:rPr>
          <w:b/>
          <w:bCs/>
        </w:rPr>
      </w:pPr>
    </w:p>
    <w:p w14:paraId="36D70A54" w14:textId="77777777" w:rsidR="009759FE" w:rsidRPr="00EF521E" w:rsidRDefault="009759FE" w:rsidP="00413340">
      <w:pPr>
        <w:spacing w:line="240" w:lineRule="auto"/>
        <w:rPr>
          <w:b/>
          <w:bCs/>
        </w:rPr>
      </w:pPr>
    </w:p>
    <w:p w14:paraId="7F552470" w14:textId="77777777" w:rsidR="00B5045A" w:rsidRPr="00EF521E" w:rsidRDefault="00B5045A" w:rsidP="00413340">
      <w:pPr>
        <w:spacing w:line="240" w:lineRule="auto"/>
        <w:rPr>
          <w:b/>
          <w:bCs/>
        </w:rPr>
      </w:pPr>
    </w:p>
    <w:p w14:paraId="1414F205" w14:textId="77777777" w:rsidR="00B5045A" w:rsidRPr="00EF521E" w:rsidRDefault="00B5045A" w:rsidP="00413340">
      <w:pPr>
        <w:spacing w:line="240" w:lineRule="auto"/>
        <w:rPr>
          <w:b/>
          <w:bCs/>
        </w:rPr>
      </w:pPr>
    </w:p>
    <w:p w14:paraId="4F054444" w14:textId="77777777" w:rsidR="0079138D" w:rsidRPr="00EF521E" w:rsidRDefault="0079138D" w:rsidP="00413340">
      <w:pPr>
        <w:spacing w:line="240" w:lineRule="auto"/>
        <w:rPr>
          <w:b/>
          <w:bCs/>
        </w:rPr>
      </w:pPr>
    </w:p>
    <w:p w14:paraId="0B242BB6" w14:textId="77777777" w:rsidR="0079138D" w:rsidRPr="00EF521E" w:rsidRDefault="0079138D" w:rsidP="00413340">
      <w:pPr>
        <w:spacing w:line="240" w:lineRule="auto"/>
        <w:rPr>
          <w:b/>
          <w:bCs/>
        </w:rPr>
      </w:pPr>
    </w:p>
    <w:p w14:paraId="6FE92F35" w14:textId="77777777" w:rsidR="0079138D" w:rsidRPr="00EF521E" w:rsidRDefault="0079138D" w:rsidP="00413340">
      <w:pPr>
        <w:spacing w:line="240" w:lineRule="auto"/>
        <w:rPr>
          <w:b/>
          <w:bCs/>
        </w:rPr>
      </w:pPr>
    </w:p>
    <w:p w14:paraId="473A7D42" w14:textId="31737EDF" w:rsidR="00E04709" w:rsidRPr="00EF521E" w:rsidRDefault="00000000" w:rsidP="00413340">
      <w:pPr>
        <w:spacing w:line="240" w:lineRule="auto"/>
        <w:rPr>
          <w:b/>
          <w:bCs/>
        </w:rPr>
      </w:pPr>
      <w:r w:rsidRPr="00EF521E">
        <w:rPr>
          <w:b/>
          <w:bCs/>
        </w:rPr>
        <w:t xml:space="preserve">Disclaimer </w:t>
      </w:r>
    </w:p>
    <w:p w14:paraId="51716B44" w14:textId="77777777" w:rsidR="001B6962" w:rsidRPr="00EF521E" w:rsidRDefault="00000000" w:rsidP="00413340">
      <w:pPr>
        <w:spacing w:line="240" w:lineRule="auto"/>
        <w:jc w:val="both"/>
      </w:pPr>
      <w:r w:rsidRPr="00EF521E">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767A07" w14:textId="2C12A1F0" w:rsidR="001B6962" w:rsidRPr="00EF521E" w:rsidRDefault="001B6962" w:rsidP="00413340">
      <w:pPr>
        <w:spacing w:line="240" w:lineRule="auto"/>
        <w:jc w:val="both"/>
      </w:pPr>
      <w:r w:rsidRPr="00EF521E">
        <w:rPr>
          <w:b/>
          <w:bCs/>
        </w:rPr>
        <w:t xml:space="preserve"> </w:t>
      </w:r>
    </w:p>
    <w:p w14:paraId="5818C53C" w14:textId="3371D7E0" w:rsidR="00E04709" w:rsidRPr="00EF521E" w:rsidRDefault="00E04709" w:rsidP="00413340">
      <w:pPr>
        <w:spacing w:line="240" w:lineRule="auto"/>
        <w:jc w:val="both"/>
        <w:rPr>
          <w:szCs w:val="20"/>
        </w:rPr>
      </w:pPr>
    </w:p>
    <w:sdt>
      <w:sdtPr>
        <w:rPr>
          <w:rFonts w:asciiTheme="minorHAnsi" w:eastAsiaTheme="minorEastAsia" w:hAnsiTheme="minorHAnsi" w:cstheme="minorBidi"/>
          <w:color w:val="auto"/>
          <w:sz w:val="20"/>
          <w:szCs w:val="21"/>
        </w:rPr>
        <w:id w:val="526991240"/>
        <w:docPartObj>
          <w:docPartGallery w:val="Table of Contents"/>
          <w:docPartUnique/>
        </w:docPartObj>
      </w:sdtPr>
      <w:sdtEndPr>
        <w:rPr>
          <w:b/>
          <w:bCs/>
        </w:rPr>
      </w:sdtEndPr>
      <w:sdtContent>
        <w:p w14:paraId="0D19506B" w14:textId="10A3BA55" w:rsidR="00BD0CF5" w:rsidRPr="00EF521E" w:rsidRDefault="00BD0CF5" w:rsidP="00413340">
          <w:pPr>
            <w:pStyle w:val="TOCHeading"/>
            <w:numPr>
              <w:ilvl w:val="0"/>
              <w:numId w:val="0"/>
            </w:numPr>
            <w:ind w:left="426" w:hanging="360"/>
            <w:rPr>
              <w:sz w:val="40"/>
              <w:szCs w:val="40"/>
            </w:rPr>
          </w:pPr>
          <w:r w:rsidRPr="00EF521E">
            <w:rPr>
              <w:sz w:val="40"/>
              <w:szCs w:val="40"/>
            </w:rPr>
            <w:t>Table of Contents</w:t>
          </w:r>
        </w:p>
        <w:p w14:paraId="6F259FE2" w14:textId="14907C80" w:rsidR="00D135B0" w:rsidRDefault="00BD0CF5">
          <w:pPr>
            <w:pStyle w:val="TOC1"/>
            <w:tabs>
              <w:tab w:val="right" w:leader="dot" w:pos="9628"/>
            </w:tabs>
            <w:rPr>
              <w:rFonts w:cstheme="minorBidi"/>
              <w:b w:val="0"/>
              <w:bCs w:val="0"/>
              <w:i w:val="0"/>
              <w:iCs w:val="0"/>
              <w:noProof/>
              <w:kern w:val="2"/>
              <w:lang w:val="hr-HR" w:eastAsia="hr-HR"/>
              <w14:ligatures w14:val="standardContextual"/>
            </w:rPr>
          </w:pPr>
          <w:r w:rsidRPr="00EF521E">
            <w:fldChar w:fldCharType="begin"/>
          </w:r>
          <w:r w:rsidRPr="00EF521E">
            <w:instrText xml:space="preserve"> TOC \o "1-3" \h \z \u </w:instrText>
          </w:r>
          <w:r w:rsidRPr="00EF521E">
            <w:fldChar w:fldCharType="separate"/>
          </w:r>
          <w:hyperlink w:anchor="_Toc227485157" w:history="1">
            <w:r w:rsidR="00D135B0" w:rsidRPr="00F745A1">
              <w:rPr>
                <w:rStyle w:val="Hyperlink"/>
                <w:noProof/>
              </w:rPr>
              <w:t>Introduction to Upskilling Curricula: Sustainability Data Essentials</w:t>
            </w:r>
            <w:r w:rsidR="00D135B0">
              <w:rPr>
                <w:noProof/>
                <w:webHidden/>
              </w:rPr>
              <w:tab/>
            </w:r>
            <w:r w:rsidR="00D135B0">
              <w:rPr>
                <w:noProof/>
                <w:webHidden/>
              </w:rPr>
              <w:fldChar w:fldCharType="begin"/>
            </w:r>
            <w:r w:rsidR="00D135B0">
              <w:rPr>
                <w:noProof/>
                <w:webHidden/>
              </w:rPr>
              <w:instrText xml:space="preserve"> PAGEREF _Toc227485157 \h </w:instrText>
            </w:r>
            <w:r w:rsidR="00D135B0">
              <w:rPr>
                <w:noProof/>
                <w:webHidden/>
              </w:rPr>
            </w:r>
            <w:r w:rsidR="00D135B0">
              <w:rPr>
                <w:noProof/>
                <w:webHidden/>
              </w:rPr>
              <w:fldChar w:fldCharType="separate"/>
            </w:r>
            <w:r w:rsidR="001B29F2">
              <w:rPr>
                <w:noProof/>
                <w:webHidden/>
              </w:rPr>
              <w:t>5</w:t>
            </w:r>
            <w:r w:rsidR="00D135B0">
              <w:rPr>
                <w:noProof/>
                <w:webHidden/>
              </w:rPr>
              <w:fldChar w:fldCharType="end"/>
            </w:r>
          </w:hyperlink>
        </w:p>
        <w:p w14:paraId="11739C49" w14:textId="08410971" w:rsidR="00D135B0" w:rsidRDefault="00D135B0">
          <w:pPr>
            <w:pStyle w:val="TOC1"/>
            <w:tabs>
              <w:tab w:val="right" w:leader="dot" w:pos="9628"/>
            </w:tabs>
            <w:rPr>
              <w:rFonts w:cstheme="minorBidi"/>
              <w:b w:val="0"/>
              <w:bCs w:val="0"/>
              <w:i w:val="0"/>
              <w:iCs w:val="0"/>
              <w:noProof/>
              <w:kern w:val="2"/>
              <w:lang w:val="hr-HR" w:eastAsia="hr-HR"/>
              <w14:ligatures w14:val="standardContextual"/>
            </w:rPr>
          </w:pPr>
          <w:hyperlink w:anchor="_Toc227485158" w:history="1">
            <w:r w:rsidRPr="00F745A1">
              <w:rPr>
                <w:rStyle w:val="Hyperlink"/>
                <w:noProof/>
              </w:rPr>
              <w:t>MODULE 1: Sustainability Reporting Fundamentals</w:t>
            </w:r>
            <w:r>
              <w:rPr>
                <w:noProof/>
                <w:webHidden/>
              </w:rPr>
              <w:tab/>
            </w:r>
            <w:r>
              <w:rPr>
                <w:noProof/>
                <w:webHidden/>
              </w:rPr>
              <w:fldChar w:fldCharType="begin"/>
            </w:r>
            <w:r>
              <w:rPr>
                <w:noProof/>
                <w:webHidden/>
              </w:rPr>
              <w:instrText xml:space="preserve"> PAGEREF _Toc227485158 \h </w:instrText>
            </w:r>
            <w:r>
              <w:rPr>
                <w:noProof/>
                <w:webHidden/>
              </w:rPr>
            </w:r>
            <w:r>
              <w:rPr>
                <w:noProof/>
                <w:webHidden/>
              </w:rPr>
              <w:fldChar w:fldCharType="separate"/>
            </w:r>
            <w:r w:rsidR="001B29F2">
              <w:rPr>
                <w:noProof/>
                <w:webHidden/>
              </w:rPr>
              <w:t>6</w:t>
            </w:r>
            <w:r>
              <w:rPr>
                <w:noProof/>
                <w:webHidden/>
              </w:rPr>
              <w:fldChar w:fldCharType="end"/>
            </w:r>
          </w:hyperlink>
        </w:p>
        <w:p w14:paraId="1B3F67AD" w14:textId="10B17733" w:rsidR="00D135B0" w:rsidRDefault="00D135B0" w:rsidP="00D135B0">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485159" w:history="1">
            <w:r w:rsidRPr="00F745A1">
              <w:rPr>
                <w:rStyle w:val="Hyperlink"/>
                <w:noProof/>
              </w:rPr>
              <w:t>Topic 1.1: Sustainability Reporting Landscape and ESG Frameworks (CSRD, ESRS, GRI)</w:t>
            </w:r>
            <w:r>
              <w:rPr>
                <w:noProof/>
                <w:webHidden/>
              </w:rPr>
              <w:tab/>
            </w:r>
            <w:r>
              <w:rPr>
                <w:noProof/>
                <w:webHidden/>
              </w:rPr>
              <w:fldChar w:fldCharType="begin"/>
            </w:r>
            <w:r>
              <w:rPr>
                <w:noProof/>
                <w:webHidden/>
              </w:rPr>
              <w:instrText xml:space="preserve"> PAGEREF _Toc227485159 \h </w:instrText>
            </w:r>
            <w:r>
              <w:rPr>
                <w:noProof/>
                <w:webHidden/>
              </w:rPr>
            </w:r>
            <w:r>
              <w:rPr>
                <w:noProof/>
                <w:webHidden/>
              </w:rPr>
              <w:fldChar w:fldCharType="separate"/>
            </w:r>
            <w:r w:rsidR="001B29F2">
              <w:rPr>
                <w:noProof/>
                <w:webHidden/>
              </w:rPr>
              <w:t>7</w:t>
            </w:r>
            <w:r>
              <w:rPr>
                <w:noProof/>
                <w:webHidden/>
              </w:rPr>
              <w:fldChar w:fldCharType="end"/>
            </w:r>
          </w:hyperlink>
        </w:p>
        <w:p w14:paraId="6A791270" w14:textId="62E87A0C" w:rsidR="00D135B0" w:rsidRDefault="00D135B0" w:rsidP="00D135B0">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485160" w:history="1">
            <w:r w:rsidRPr="00F745A1">
              <w:rPr>
                <w:rStyle w:val="Hyperlink"/>
                <w:noProof/>
              </w:rPr>
              <w:t>Topic 1.2: ESG Metrics and KPIs: What to Measure and Why</w:t>
            </w:r>
            <w:r>
              <w:rPr>
                <w:noProof/>
                <w:webHidden/>
              </w:rPr>
              <w:tab/>
            </w:r>
            <w:r>
              <w:rPr>
                <w:noProof/>
                <w:webHidden/>
              </w:rPr>
              <w:fldChar w:fldCharType="begin"/>
            </w:r>
            <w:r>
              <w:rPr>
                <w:noProof/>
                <w:webHidden/>
              </w:rPr>
              <w:instrText xml:space="preserve"> PAGEREF _Toc227485160 \h </w:instrText>
            </w:r>
            <w:r>
              <w:rPr>
                <w:noProof/>
                <w:webHidden/>
              </w:rPr>
            </w:r>
            <w:r>
              <w:rPr>
                <w:noProof/>
                <w:webHidden/>
              </w:rPr>
              <w:fldChar w:fldCharType="separate"/>
            </w:r>
            <w:r w:rsidR="001B29F2">
              <w:rPr>
                <w:noProof/>
                <w:webHidden/>
              </w:rPr>
              <w:t>12</w:t>
            </w:r>
            <w:r>
              <w:rPr>
                <w:noProof/>
                <w:webHidden/>
              </w:rPr>
              <w:fldChar w:fldCharType="end"/>
            </w:r>
          </w:hyperlink>
        </w:p>
        <w:p w14:paraId="4A4903A8" w14:textId="6E2B939D" w:rsidR="00D135B0" w:rsidRDefault="00D135B0" w:rsidP="00D135B0">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485162" w:history="1">
            <w:r w:rsidRPr="00F745A1">
              <w:rPr>
                <w:rStyle w:val="Hyperlink"/>
                <w:noProof/>
              </w:rPr>
              <w:t>Topic 1.3: Double Materiality and Stakeholder Information Requirements</w:t>
            </w:r>
            <w:r>
              <w:rPr>
                <w:noProof/>
                <w:webHidden/>
              </w:rPr>
              <w:tab/>
            </w:r>
            <w:r>
              <w:rPr>
                <w:noProof/>
                <w:webHidden/>
              </w:rPr>
              <w:fldChar w:fldCharType="begin"/>
            </w:r>
            <w:r>
              <w:rPr>
                <w:noProof/>
                <w:webHidden/>
              </w:rPr>
              <w:instrText xml:space="preserve"> PAGEREF _Toc227485162 \h </w:instrText>
            </w:r>
            <w:r>
              <w:rPr>
                <w:noProof/>
                <w:webHidden/>
              </w:rPr>
            </w:r>
            <w:r>
              <w:rPr>
                <w:noProof/>
                <w:webHidden/>
              </w:rPr>
              <w:fldChar w:fldCharType="separate"/>
            </w:r>
            <w:r w:rsidR="001B29F2">
              <w:rPr>
                <w:noProof/>
                <w:webHidden/>
              </w:rPr>
              <w:t>18</w:t>
            </w:r>
            <w:r>
              <w:rPr>
                <w:noProof/>
                <w:webHidden/>
              </w:rPr>
              <w:fldChar w:fldCharType="end"/>
            </w:r>
          </w:hyperlink>
        </w:p>
        <w:p w14:paraId="6E1E0F7B" w14:textId="3734849B" w:rsidR="00D135B0" w:rsidRDefault="00D135B0" w:rsidP="00D135B0">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485163" w:history="1">
            <w:r w:rsidRPr="00F745A1">
              <w:rPr>
                <w:rStyle w:val="Hyperlink"/>
                <w:noProof/>
              </w:rPr>
              <w:t>Topic 1.4:  Reporting Architecture and Sustainability Data Flows</w:t>
            </w:r>
            <w:r>
              <w:rPr>
                <w:noProof/>
                <w:webHidden/>
              </w:rPr>
              <w:tab/>
            </w:r>
            <w:r>
              <w:rPr>
                <w:noProof/>
                <w:webHidden/>
              </w:rPr>
              <w:fldChar w:fldCharType="begin"/>
            </w:r>
            <w:r>
              <w:rPr>
                <w:noProof/>
                <w:webHidden/>
              </w:rPr>
              <w:instrText xml:space="preserve"> PAGEREF _Toc227485163 \h </w:instrText>
            </w:r>
            <w:r>
              <w:rPr>
                <w:noProof/>
                <w:webHidden/>
              </w:rPr>
            </w:r>
            <w:r>
              <w:rPr>
                <w:noProof/>
                <w:webHidden/>
              </w:rPr>
              <w:fldChar w:fldCharType="separate"/>
            </w:r>
            <w:r w:rsidR="001B29F2">
              <w:rPr>
                <w:noProof/>
                <w:webHidden/>
              </w:rPr>
              <w:t>23</w:t>
            </w:r>
            <w:r>
              <w:rPr>
                <w:noProof/>
                <w:webHidden/>
              </w:rPr>
              <w:fldChar w:fldCharType="end"/>
            </w:r>
          </w:hyperlink>
        </w:p>
        <w:p w14:paraId="1244DE84" w14:textId="6CAD01C6" w:rsidR="00D135B0" w:rsidRDefault="00D135B0" w:rsidP="00D135B0">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485164" w:history="1">
            <w:r w:rsidRPr="00F745A1">
              <w:rPr>
                <w:rStyle w:val="Hyperlink"/>
                <w:noProof/>
              </w:rPr>
              <w:t>Module 1: Conclusion and Self-Assessment</w:t>
            </w:r>
            <w:r>
              <w:rPr>
                <w:noProof/>
                <w:webHidden/>
              </w:rPr>
              <w:tab/>
            </w:r>
            <w:r>
              <w:rPr>
                <w:noProof/>
                <w:webHidden/>
              </w:rPr>
              <w:fldChar w:fldCharType="begin"/>
            </w:r>
            <w:r>
              <w:rPr>
                <w:noProof/>
                <w:webHidden/>
              </w:rPr>
              <w:instrText xml:space="preserve"> PAGEREF _Toc227485164 \h </w:instrText>
            </w:r>
            <w:r>
              <w:rPr>
                <w:noProof/>
                <w:webHidden/>
              </w:rPr>
            </w:r>
            <w:r>
              <w:rPr>
                <w:noProof/>
                <w:webHidden/>
              </w:rPr>
              <w:fldChar w:fldCharType="separate"/>
            </w:r>
            <w:r w:rsidR="001B29F2">
              <w:rPr>
                <w:noProof/>
                <w:webHidden/>
              </w:rPr>
              <w:t>28</w:t>
            </w:r>
            <w:r>
              <w:rPr>
                <w:noProof/>
                <w:webHidden/>
              </w:rPr>
              <w:fldChar w:fldCharType="end"/>
            </w:r>
          </w:hyperlink>
        </w:p>
        <w:p w14:paraId="7719391A" w14:textId="1B4B737F" w:rsidR="00D135B0" w:rsidRDefault="00D135B0">
          <w:pPr>
            <w:pStyle w:val="TOC1"/>
            <w:tabs>
              <w:tab w:val="right" w:leader="dot" w:pos="9628"/>
            </w:tabs>
            <w:rPr>
              <w:rFonts w:cstheme="minorBidi"/>
              <w:b w:val="0"/>
              <w:bCs w:val="0"/>
              <w:i w:val="0"/>
              <w:iCs w:val="0"/>
              <w:noProof/>
              <w:kern w:val="2"/>
              <w:lang w:val="hr-HR" w:eastAsia="hr-HR"/>
              <w14:ligatures w14:val="standardContextual"/>
            </w:rPr>
          </w:pPr>
          <w:hyperlink w:anchor="_Toc227485165" w:history="1">
            <w:r w:rsidRPr="00F745A1">
              <w:rPr>
                <w:rStyle w:val="Hyperlink"/>
                <w:noProof/>
              </w:rPr>
              <w:t>MODULE 2: Energy-Efficient Architecture</w:t>
            </w:r>
            <w:r>
              <w:rPr>
                <w:noProof/>
                <w:webHidden/>
              </w:rPr>
              <w:tab/>
            </w:r>
            <w:r>
              <w:rPr>
                <w:noProof/>
                <w:webHidden/>
              </w:rPr>
              <w:fldChar w:fldCharType="begin"/>
            </w:r>
            <w:r>
              <w:rPr>
                <w:noProof/>
                <w:webHidden/>
              </w:rPr>
              <w:instrText xml:space="preserve"> PAGEREF _Toc227485165 \h </w:instrText>
            </w:r>
            <w:r>
              <w:rPr>
                <w:noProof/>
                <w:webHidden/>
              </w:rPr>
            </w:r>
            <w:r>
              <w:rPr>
                <w:noProof/>
                <w:webHidden/>
              </w:rPr>
              <w:fldChar w:fldCharType="separate"/>
            </w:r>
            <w:r w:rsidR="001B29F2">
              <w:rPr>
                <w:noProof/>
                <w:webHidden/>
              </w:rPr>
              <w:t>30</w:t>
            </w:r>
            <w:r>
              <w:rPr>
                <w:noProof/>
                <w:webHidden/>
              </w:rPr>
              <w:fldChar w:fldCharType="end"/>
            </w:r>
          </w:hyperlink>
        </w:p>
        <w:p w14:paraId="1DB0A1C5" w14:textId="1F4BBC43" w:rsidR="00D135B0" w:rsidRPr="00D135B0" w:rsidRDefault="00D135B0" w:rsidP="00D135B0">
          <w:pPr>
            <w:pStyle w:val="TOC3"/>
            <w:tabs>
              <w:tab w:val="right" w:leader="dot" w:pos="9628"/>
            </w:tabs>
            <w:ind w:left="200"/>
            <w:rPr>
              <w:rFonts w:cstheme="minorBidi"/>
              <w:b/>
              <w:bCs/>
              <w:noProof/>
              <w:kern w:val="2"/>
              <w:sz w:val="24"/>
              <w:szCs w:val="24"/>
              <w:lang w:val="hr-HR" w:eastAsia="hr-HR"/>
              <w14:ligatures w14:val="standardContextual"/>
            </w:rPr>
          </w:pPr>
          <w:hyperlink w:anchor="_Toc227485166" w:history="1">
            <w:r w:rsidRPr="00D135B0">
              <w:rPr>
                <w:rStyle w:val="Hyperlink"/>
                <w:b/>
                <w:bCs/>
                <w:noProof/>
              </w:rPr>
              <w:t>Topic 2.1: Data Governance and Management</w:t>
            </w:r>
            <w:r w:rsidRPr="00D135B0">
              <w:rPr>
                <w:b/>
                <w:bCs/>
                <w:noProof/>
                <w:webHidden/>
              </w:rPr>
              <w:tab/>
            </w:r>
            <w:r w:rsidRPr="00D135B0">
              <w:rPr>
                <w:b/>
                <w:bCs/>
                <w:noProof/>
                <w:webHidden/>
              </w:rPr>
              <w:fldChar w:fldCharType="begin"/>
            </w:r>
            <w:r w:rsidRPr="00D135B0">
              <w:rPr>
                <w:b/>
                <w:bCs/>
                <w:noProof/>
                <w:webHidden/>
              </w:rPr>
              <w:instrText xml:space="preserve"> PAGEREF _Toc227485166 \h </w:instrText>
            </w:r>
            <w:r w:rsidRPr="00D135B0">
              <w:rPr>
                <w:b/>
                <w:bCs/>
                <w:noProof/>
                <w:webHidden/>
              </w:rPr>
            </w:r>
            <w:r w:rsidRPr="00D135B0">
              <w:rPr>
                <w:b/>
                <w:bCs/>
                <w:noProof/>
                <w:webHidden/>
              </w:rPr>
              <w:fldChar w:fldCharType="separate"/>
            </w:r>
            <w:r w:rsidR="001B29F2">
              <w:rPr>
                <w:b/>
                <w:bCs/>
                <w:noProof/>
                <w:webHidden/>
              </w:rPr>
              <w:t>31</w:t>
            </w:r>
            <w:r w:rsidRPr="00D135B0">
              <w:rPr>
                <w:b/>
                <w:bCs/>
                <w:noProof/>
                <w:webHidden/>
              </w:rPr>
              <w:fldChar w:fldCharType="end"/>
            </w:r>
          </w:hyperlink>
        </w:p>
        <w:p w14:paraId="13AB9291" w14:textId="17235609"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68" w:history="1">
            <w:r w:rsidRPr="00F745A1">
              <w:rPr>
                <w:rStyle w:val="Hyperlink"/>
                <w:noProof/>
              </w:rPr>
              <w:t>Topic 2.1: Data Collection Workflows</w:t>
            </w:r>
            <w:r>
              <w:rPr>
                <w:noProof/>
                <w:webHidden/>
              </w:rPr>
              <w:tab/>
            </w:r>
            <w:r>
              <w:rPr>
                <w:noProof/>
                <w:webHidden/>
              </w:rPr>
              <w:fldChar w:fldCharType="begin"/>
            </w:r>
            <w:r>
              <w:rPr>
                <w:noProof/>
                <w:webHidden/>
              </w:rPr>
              <w:instrText xml:space="preserve"> PAGEREF _Toc227485168 \h </w:instrText>
            </w:r>
            <w:r>
              <w:rPr>
                <w:noProof/>
                <w:webHidden/>
              </w:rPr>
            </w:r>
            <w:r>
              <w:rPr>
                <w:noProof/>
                <w:webHidden/>
              </w:rPr>
              <w:fldChar w:fldCharType="separate"/>
            </w:r>
            <w:r w:rsidR="001B29F2">
              <w:rPr>
                <w:noProof/>
                <w:webHidden/>
              </w:rPr>
              <w:t>40</w:t>
            </w:r>
            <w:r>
              <w:rPr>
                <w:noProof/>
                <w:webHidden/>
              </w:rPr>
              <w:fldChar w:fldCharType="end"/>
            </w:r>
          </w:hyperlink>
        </w:p>
        <w:p w14:paraId="1FC3E6AF" w14:textId="703433F6"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0" w:history="1">
            <w:r w:rsidRPr="00F745A1">
              <w:rPr>
                <w:rStyle w:val="Hyperlink"/>
                <w:noProof/>
              </w:rPr>
              <w:t>TOPIC 2.3: Data Quality Assurance and Validation</w:t>
            </w:r>
            <w:r>
              <w:rPr>
                <w:noProof/>
                <w:webHidden/>
              </w:rPr>
              <w:tab/>
            </w:r>
            <w:r>
              <w:rPr>
                <w:noProof/>
                <w:webHidden/>
              </w:rPr>
              <w:fldChar w:fldCharType="begin"/>
            </w:r>
            <w:r>
              <w:rPr>
                <w:noProof/>
                <w:webHidden/>
              </w:rPr>
              <w:instrText xml:space="preserve"> PAGEREF _Toc227485170 \h </w:instrText>
            </w:r>
            <w:r>
              <w:rPr>
                <w:noProof/>
                <w:webHidden/>
              </w:rPr>
            </w:r>
            <w:r>
              <w:rPr>
                <w:noProof/>
                <w:webHidden/>
              </w:rPr>
              <w:fldChar w:fldCharType="separate"/>
            </w:r>
            <w:r w:rsidR="001B29F2">
              <w:rPr>
                <w:noProof/>
                <w:webHidden/>
              </w:rPr>
              <w:t>46</w:t>
            </w:r>
            <w:r>
              <w:rPr>
                <w:noProof/>
                <w:webHidden/>
              </w:rPr>
              <w:fldChar w:fldCharType="end"/>
            </w:r>
          </w:hyperlink>
        </w:p>
        <w:p w14:paraId="39758B89" w14:textId="1132B810"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1" w:history="1">
            <w:r w:rsidRPr="00F745A1">
              <w:rPr>
                <w:rStyle w:val="Hyperlink"/>
                <w:noProof/>
              </w:rPr>
              <w:t>Module 2: Conclusion and Assessment</w:t>
            </w:r>
            <w:r>
              <w:rPr>
                <w:noProof/>
                <w:webHidden/>
              </w:rPr>
              <w:tab/>
            </w:r>
            <w:r>
              <w:rPr>
                <w:noProof/>
                <w:webHidden/>
              </w:rPr>
              <w:fldChar w:fldCharType="begin"/>
            </w:r>
            <w:r>
              <w:rPr>
                <w:noProof/>
                <w:webHidden/>
              </w:rPr>
              <w:instrText xml:space="preserve"> PAGEREF _Toc227485171 \h </w:instrText>
            </w:r>
            <w:r>
              <w:rPr>
                <w:noProof/>
                <w:webHidden/>
              </w:rPr>
            </w:r>
            <w:r>
              <w:rPr>
                <w:noProof/>
                <w:webHidden/>
              </w:rPr>
              <w:fldChar w:fldCharType="separate"/>
            </w:r>
            <w:r w:rsidR="001B29F2">
              <w:rPr>
                <w:noProof/>
                <w:webHidden/>
              </w:rPr>
              <w:t>50</w:t>
            </w:r>
            <w:r>
              <w:rPr>
                <w:noProof/>
                <w:webHidden/>
              </w:rPr>
              <w:fldChar w:fldCharType="end"/>
            </w:r>
          </w:hyperlink>
        </w:p>
        <w:p w14:paraId="6D76D6F1" w14:textId="6BA06B43" w:rsidR="00D135B0" w:rsidRDefault="00D135B0">
          <w:pPr>
            <w:pStyle w:val="TOC1"/>
            <w:tabs>
              <w:tab w:val="right" w:leader="dot" w:pos="9628"/>
            </w:tabs>
            <w:rPr>
              <w:rFonts w:cstheme="minorBidi"/>
              <w:b w:val="0"/>
              <w:bCs w:val="0"/>
              <w:i w:val="0"/>
              <w:iCs w:val="0"/>
              <w:noProof/>
              <w:kern w:val="2"/>
              <w:lang w:val="hr-HR" w:eastAsia="hr-HR"/>
              <w14:ligatures w14:val="standardContextual"/>
            </w:rPr>
          </w:pPr>
          <w:hyperlink w:anchor="_Toc227485172" w:history="1">
            <w:r w:rsidRPr="00F745A1">
              <w:rPr>
                <w:rStyle w:val="Hyperlink"/>
                <w:noProof/>
              </w:rPr>
              <w:t>MODULE 3: Data Visualisation &amp; Dashboard Design</w:t>
            </w:r>
            <w:r>
              <w:rPr>
                <w:noProof/>
                <w:webHidden/>
              </w:rPr>
              <w:tab/>
            </w:r>
            <w:r>
              <w:rPr>
                <w:noProof/>
                <w:webHidden/>
              </w:rPr>
              <w:fldChar w:fldCharType="begin"/>
            </w:r>
            <w:r>
              <w:rPr>
                <w:noProof/>
                <w:webHidden/>
              </w:rPr>
              <w:instrText xml:space="preserve"> PAGEREF _Toc227485172 \h </w:instrText>
            </w:r>
            <w:r>
              <w:rPr>
                <w:noProof/>
                <w:webHidden/>
              </w:rPr>
            </w:r>
            <w:r>
              <w:rPr>
                <w:noProof/>
                <w:webHidden/>
              </w:rPr>
              <w:fldChar w:fldCharType="separate"/>
            </w:r>
            <w:r w:rsidR="001B29F2">
              <w:rPr>
                <w:noProof/>
                <w:webHidden/>
              </w:rPr>
              <w:t>53</w:t>
            </w:r>
            <w:r>
              <w:rPr>
                <w:noProof/>
                <w:webHidden/>
              </w:rPr>
              <w:fldChar w:fldCharType="end"/>
            </w:r>
          </w:hyperlink>
        </w:p>
        <w:p w14:paraId="0320C308" w14:textId="2223345A"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3" w:history="1">
            <w:r w:rsidRPr="00F745A1">
              <w:rPr>
                <w:rStyle w:val="Hyperlink"/>
                <w:noProof/>
              </w:rPr>
              <w:t>Topic 3.1: Principles of Effective Data Visualization</w:t>
            </w:r>
            <w:r>
              <w:rPr>
                <w:noProof/>
                <w:webHidden/>
              </w:rPr>
              <w:tab/>
            </w:r>
            <w:r>
              <w:rPr>
                <w:noProof/>
                <w:webHidden/>
              </w:rPr>
              <w:fldChar w:fldCharType="begin"/>
            </w:r>
            <w:r>
              <w:rPr>
                <w:noProof/>
                <w:webHidden/>
              </w:rPr>
              <w:instrText xml:space="preserve"> PAGEREF _Toc227485173 \h </w:instrText>
            </w:r>
            <w:r>
              <w:rPr>
                <w:noProof/>
                <w:webHidden/>
              </w:rPr>
            </w:r>
            <w:r>
              <w:rPr>
                <w:noProof/>
                <w:webHidden/>
              </w:rPr>
              <w:fldChar w:fldCharType="separate"/>
            </w:r>
            <w:r w:rsidR="001B29F2">
              <w:rPr>
                <w:noProof/>
                <w:webHidden/>
              </w:rPr>
              <w:t>54</w:t>
            </w:r>
            <w:r>
              <w:rPr>
                <w:noProof/>
                <w:webHidden/>
              </w:rPr>
              <w:fldChar w:fldCharType="end"/>
            </w:r>
          </w:hyperlink>
        </w:p>
        <w:p w14:paraId="1AE6B78A" w14:textId="714824EA"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4" w:history="1">
            <w:r w:rsidRPr="00F745A1">
              <w:rPr>
                <w:rStyle w:val="Hyperlink"/>
                <w:noProof/>
              </w:rPr>
              <w:t>Topic 3.2: Building Interactive Dashboards with BI Tools (Power BI)</w:t>
            </w:r>
            <w:r>
              <w:rPr>
                <w:noProof/>
                <w:webHidden/>
              </w:rPr>
              <w:tab/>
            </w:r>
            <w:r>
              <w:rPr>
                <w:noProof/>
                <w:webHidden/>
              </w:rPr>
              <w:fldChar w:fldCharType="begin"/>
            </w:r>
            <w:r>
              <w:rPr>
                <w:noProof/>
                <w:webHidden/>
              </w:rPr>
              <w:instrText xml:space="preserve"> PAGEREF _Toc227485174 \h </w:instrText>
            </w:r>
            <w:r>
              <w:rPr>
                <w:noProof/>
                <w:webHidden/>
              </w:rPr>
            </w:r>
            <w:r>
              <w:rPr>
                <w:noProof/>
                <w:webHidden/>
              </w:rPr>
              <w:fldChar w:fldCharType="separate"/>
            </w:r>
            <w:r w:rsidR="001B29F2">
              <w:rPr>
                <w:noProof/>
                <w:webHidden/>
              </w:rPr>
              <w:t>62</w:t>
            </w:r>
            <w:r>
              <w:rPr>
                <w:noProof/>
                <w:webHidden/>
              </w:rPr>
              <w:fldChar w:fldCharType="end"/>
            </w:r>
          </w:hyperlink>
        </w:p>
        <w:p w14:paraId="201BF45E" w14:textId="2F26B055"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5" w:history="1">
            <w:r w:rsidRPr="00F745A1">
              <w:rPr>
                <w:rStyle w:val="Hyperlink"/>
                <w:noProof/>
              </w:rPr>
              <w:t>Topic 3.3: Communicating Sustainability Performance to Stakeholders</w:t>
            </w:r>
            <w:r>
              <w:rPr>
                <w:noProof/>
                <w:webHidden/>
              </w:rPr>
              <w:tab/>
            </w:r>
            <w:r>
              <w:rPr>
                <w:noProof/>
                <w:webHidden/>
              </w:rPr>
              <w:fldChar w:fldCharType="begin"/>
            </w:r>
            <w:r>
              <w:rPr>
                <w:noProof/>
                <w:webHidden/>
              </w:rPr>
              <w:instrText xml:space="preserve"> PAGEREF _Toc227485175 \h </w:instrText>
            </w:r>
            <w:r>
              <w:rPr>
                <w:noProof/>
                <w:webHidden/>
              </w:rPr>
            </w:r>
            <w:r>
              <w:rPr>
                <w:noProof/>
                <w:webHidden/>
              </w:rPr>
              <w:fldChar w:fldCharType="separate"/>
            </w:r>
            <w:r w:rsidR="001B29F2">
              <w:rPr>
                <w:noProof/>
                <w:webHidden/>
              </w:rPr>
              <w:t>65</w:t>
            </w:r>
            <w:r>
              <w:rPr>
                <w:noProof/>
                <w:webHidden/>
              </w:rPr>
              <w:fldChar w:fldCharType="end"/>
            </w:r>
          </w:hyperlink>
        </w:p>
        <w:p w14:paraId="6B7A6C59" w14:textId="236A2524"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6" w:history="1">
            <w:r w:rsidRPr="00F745A1">
              <w:rPr>
                <w:rStyle w:val="Hyperlink"/>
                <w:noProof/>
              </w:rPr>
              <w:t>Topic 3.4: Dashboard Evaluation and Performance Review</w:t>
            </w:r>
            <w:r>
              <w:rPr>
                <w:noProof/>
                <w:webHidden/>
              </w:rPr>
              <w:tab/>
            </w:r>
            <w:r>
              <w:rPr>
                <w:noProof/>
                <w:webHidden/>
              </w:rPr>
              <w:fldChar w:fldCharType="begin"/>
            </w:r>
            <w:r>
              <w:rPr>
                <w:noProof/>
                <w:webHidden/>
              </w:rPr>
              <w:instrText xml:space="preserve"> PAGEREF _Toc227485176 \h </w:instrText>
            </w:r>
            <w:r>
              <w:rPr>
                <w:noProof/>
                <w:webHidden/>
              </w:rPr>
            </w:r>
            <w:r>
              <w:rPr>
                <w:noProof/>
                <w:webHidden/>
              </w:rPr>
              <w:fldChar w:fldCharType="separate"/>
            </w:r>
            <w:r w:rsidR="001B29F2">
              <w:rPr>
                <w:noProof/>
                <w:webHidden/>
              </w:rPr>
              <w:t>69</w:t>
            </w:r>
            <w:r>
              <w:rPr>
                <w:noProof/>
                <w:webHidden/>
              </w:rPr>
              <w:fldChar w:fldCharType="end"/>
            </w:r>
          </w:hyperlink>
        </w:p>
        <w:p w14:paraId="529B86FF" w14:textId="69933FBC" w:rsidR="00D135B0" w:rsidRDefault="00D135B0">
          <w:pPr>
            <w:pStyle w:val="TOC2"/>
            <w:tabs>
              <w:tab w:val="right" w:leader="dot" w:pos="9628"/>
            </w:tabs>
            <w:rPr>
              <w:rFonts w:cstheme="minorBidi"/>
              <w:b w:val="0"/>
              <w:bCs w:val="0"/>
              <w:noProof/>
              <w:kern w:val="2"/>
              <w:sz w:val="24"/>
              <w:szCs w:val="24"/>
              <w:lang w:val="hr-HR" w:eastAsia="hr-HR"/>
              <w14:ligatures w14:val="standardContextual"/>
            </w:rPr>
          </w:pPr>
          <w:hyperlink w:anchor="_Toc227485177" w:history="1">
            <w:r w:rsidRPr="00F745A1">
              <w:rPr>
                <w:rStyle w:val="Hyperlink"/>
                <w:noProof/>
              </w:rPr>
              <w:t>Module 3: Conclusion and Self-Assessment</w:t>
            </w:r>
            <w:r>
              <w:rPr>
                <w:noProof/>
                <w:webHidden/>
              </w:rPr>
              <w:tab/>
            </w:r>
            <w:r>
              <w:rPr>
                <w:noProof/>
                <w:webHidden/>
              </w:rPr>
              <w:fldChar w:fldCharType="begin"/>
            </w:r>
            <w:r>
              <w:rPr>
                <w:noProof/>
                <w:webHidden/>
              </w:rPr>
              <w:instrText xml:space="preserve"> PAGEREF _Toc227485177 \h </w:instrText>
            </w:r>
            <w:r>
              <w:rPr>
                <w:noProof/>
                <w:webHidden/>
              </w:rPr>
            </w:r>
            <w:r>
              <w:rPr>
                <w:noProof/>
                <w:webHidden/>
              </w:rPr>
              <w:fldChar w:fldCharType="separate"/>
            </w:r>
            <w:r w:rsidR="001B29F2">
              <w:rPr>
                <w:noProof/>
                <w:webHidden/>
              </w:rPr>
              <w:t>71</w:t>
            </w:r>
            <w:r>
              <w:rPr>
                <w:noProof/>
                <w:webHidden/>
              </w:rPr>
              <w:fldChar w:fldCharType="end"/>
            </w:r>
          </w:hyperlink>
        </w:p>
        <w:p w14:paraId="1F2EE347" w14:textId="3396B76F" w:rsidR="00BD0CF5" w:rsidRPr="00EF521E" w:rsidRDefault="00BD0CF5" w:rsidP="00413340">
          <w:pPr>
            <w:spacing w:line="240" w:lineRule="auto"/>
          </w:pPr>
          <w:r w:rsidRPr="00EF521E">
            <w:rPr>
              <w:b/>
              <w:bCs/>
            </w:rPr>
            <w:fldChar w:fldCharType="end"/>
          </w:r>
        </w:p>
      </w:sdtContent>
    </w:sdt>
    <w:p w14:paraId="3F33DBC3" w14:textId="77777777" w:rsidR="00BD0CF5" w:rsidRDefault="00BD0CF5" w:rsidP="00413340">
      <w:pPr>
        <w:pStyle w:val="Heading1"/>
        <w:numPr>
          <w:ilvl w:val="0"/>
          <w:numId w:val="0"/>
        </w:numPr>
        <w:ind w:left="426" w:hanging="360"/>
        <w:rPr>
          <w:sz w:val="40"/>
          <w:szCs w:val="40"/>
        </w:rPr>
      </w:pPr>
    </w:p>
    <w:p w14:paraId="582D9D8E" w14:textId="77777777" w:rsidR="00D135B0" w:rsidRDefault="00D135B0" w:rsidP="00D135B0"/>
    <w:p w14:paraId="5D5300FC" w14:textId="76EDC418" w:rsidR="00D135B0" w:rsidRDefault="00D135B0" w:rsidP="00D135B0"/>
    <w:p w14:paraId="0ACEBD92" w14:textId="77777777" w:rsidR="00E661A9" w:rsidRDefault="00E661A9" w:rsidP="00D135B0"/>
    <w:p w14:paraId="0C8A758E" w14:textId="77777777" w:rsidR="00D135B0" w:rsidRPr="00D135B0" w:rsidRDefault="00D135B0" w:rsidP="00D135B0"/>
    <w:p w14:paraId="01EA28F6" w14:textId="5829F684" w:rsidR="00900767" w:rsidRDefault="00BD0CF5" w:rsidP="00413340">
      <w:pPr>
        <w:spacing w:line="240" w:lineRule="auto"/>
        <w:rPr>
          <w:noProof/>
        </w:rPr>
      </w:pPr>
      <w:r w:rsidRPr="00EF521E">
        <w:rPr>
          <w:rFonts w:asciiTheme="majorHAnsi" w:hAnsiTheme="majorHAnsi"/>
          <w:color w:val="00AC4E" w:themeColor="accent1"/>
          <w:sz w:val="40"/>
          <w:szCs w:val="40"/>
        </w:rPr>
        <w:lastRenderedPageBreak/>
        <w:t>Table of Figures:</w:t>
      </w:r>
      <w:r w:rsidR="00696E1E">
        <w:rPr>
          <w:rFonts w:asciiTheme="majorHAnsi" w:hAnsiTheme="majorHAnsi"/>
          <w:color w:val="00AC4E" w:themeColor="accent1"/>
          <w:sz w:val="40"/>
          <w:szCs w:val="40"/>
        </w:rPr>
        <w:fldChar w:fldCharType="begin"/>
      </w:r>
      <w:r w:rsidR="00696E1E">
        <w:rPr>
          <w:rFonts w:asciiTheme="majorHAnsi" w:hAnsiTheme="majorHAnsi"/>
          <w:color w:val="00AC4E" w:themeColor="accent1"/>
          <w:sz w:val="40"/>
          <w:szCs w:val="40"/>
        </w:rPr>
        <w:instrText xml:space="preserve"> TOC \h \z \c "Figure" </w:instrText>
      </w:r>
      <w:r w:rsidR="00696E1E">
        <w:rPr>
          <w:rFonts w:asciiTheme="majorHAnsi" w:hAnsiTheme="majorHAnsi"/>
          <w:color w:val="00AC4E" w:themeColor="accent1"/>
          <w:sz w:val="40"/>
          <w:szCs w:val="40"/>
        </w:rPr>
        <w:fldChar w:fldCharType="separate"/>
      </w:r>
    </w:p>
    <w:p w14:paraId="0F321819" w14:textId="2EA5CB3A" w:rsidR="00900767" w:rsidRDefault="00900767">
      <w:pPr>
        <w:pStyle w:val="TableofFigures"/>
        <w:tabs>
          <w:tab w:val="right" w:leader="dot" w:pos="9628"/>
        </w:tabs>
        <w:rPr>
          <w:noProof/>
          <w:kern w:val="2"/>
          <w:sz w:val="24"/>
          <w:szCs w:val="24"/>
          <w:lang w:val="hr-HR" w:eastAsia="hr-HR"/>
          <w14:ligatures w14:val="standardContextual"/>
        </w:rPr>
      </w:pPr>
      <w:hyperlink w:anchor="_Toc227486379" w:history="1">
        <w:r w:rsidRPr="00AD5B19">
          <w:rPr>
            <w:rStyle w:val="Hyperlink"/>
            <w:noProof/>
          </w:rPr>
          <w:t xml:space="preserve">Figure 1. Development of sustainability requirements in the EU </w:t>
        </w:r>
        <w:r>
          <w:rPr>
            <w:noProof/>
            <w:webHidden/>
          </w:rPr>
          <w:tab/>
        </w:r>
        <w:r>
          <w:rPr>
            <w:noProof/>
            <w:webHidden/>
          </w:rPr>
          <w:fldChar w:fldCharType="begin"/>
        </w:r>
        <w:r>
          <w:rPr>
            <w:noProof/>
            <w:webHidden/>
          </w:rPr>
          <w:instrText xml:space="preserve"> PAGEREF _Toc227486379 \h </w:instrText>
        </w:r>
        <w:r>
          <w:rPr>
            <w:noProof/>
            <w:webHidden/>
          </w:rPr>
        </w:r>
        <w:r>
          <w:rPr>
            <w:noProof/>
            <w:webHidden/>
          </w:rPr>
          <w:fldChar w:fldCharType="separate"/>
        </w:r>
        <w:r w:rsidR="001B29F2">
          <w:rPr>
            <w:noProof/>
            <w:webHidden/>
          </w:rPr>
          <w:t>8</w:t>
        </w:r>
        <w:r>
          <w:rPr>
            <w:noProof/>
            <w:webHidden/>
          </w:rPr>
          <w:fldChar w:fldCharType="end"/>
        </w:r>
      </w:hyperlink>
    </w:p>
    <w:p w14:paraId="0FD32971" w14:textId="205C4363" w:rsidR="00900767" w:rsidRDefault="00900767">
      <w:pPr>
        <w:pStyle w:val="TableofFigures"/>
        <w:tabs>
          <w:tab w:val="right" w:leader="dot" w:pos="9628"/>
        </w:tabs>
        <w:rPr>
          <w:noProof/>
          <w:kern w:val="2"/>
          <w:sz w:val="24"/>
          <w:szCs w:val="24"/>
          <w:lang w:val="hr-HR" w:eastAsia="hr-HR"/>
          <w14:ligatures w14:val="standardContextual"/>
        </w:rPr>
      </w:pPr>
      <w:hyperlink w:anchor="_Toc227486380" w:history="1">
        <w:r w:rsidRPr="00AD5B19">
          <w:rPr>
            <w:rStyle w:val="Hyperlink"/>
            <w:noProof/>
          </w:rPr>
          <w:t>Figure 2. ESRS cross cuttung standards and 3 pillars of ESG (</w:t>
        </w:r>
        <w:r>
          <w:rPr>
            <w:noProof/>
            <w:webHidden/>
          </w:rPr>
          <w:tab/>
        </w:r>
        <w:r>
          <w:rPr>
            <w:noProof/>
            <w:webHidden/>
          </w:rPr>
          <w:fldChar w:fldCharType="begin"/>
        </w:r>
        <w:r>
          <w:rPr>
            <w:noProof/>
            <w:webHidden/>
          </w:rPr>
          <w:instrText xml:space="preserve"> PAGEREF _Toc227486380 \h </w:instrText>
        </w:r>
        <w:r>
          <w:rPr>
            <w:noProof/>
            <w:webHidden/>
          </w:rPr>
        </w:r>
        <w:r>
          <w:rPr>
            <w:noProof/>
            <w:webHidden/>
          </w:rPr>
          <w:fldChar w:fldCharType="separate"/>
        </w:r>
        <w:r w:rsidR="001B29F2">
          <w:rPr>
            <w:noProof/>
            <w:webHidden/>
          </w:rPr>
          <w:t>12</w:t>
        </w:r>
        <w:r>
          <w:rPr>
            <w:noProof/>
            <w:webHidden/>
          </w:rPr>
          <w:fldChar w:fldCharType="end"/>
        </w:r>
      </w:hyperlink>
    </w:p>
    <w:p w14:paraId="32E97A91" w14:textId="116CB1E9" w:rsidR="00900767" w:rsidRDefault="00900767">
      <w:pPr>
        <w:pStyle w:val="TableofFigures"/>
        <w:tabs>
          <w:tab w:val="right" w:leader="dot" w:pos="9628"/>
        </w:tabs>
        <w:rPr>
          <w:noProof/>
          <w:kern w:val="2"/>
          <w:sz w:val="24"/>
          <w:szCs w:val="24"/>
          <w:lang w:val="hr-HR" w:eastAsia="hr-HR"/>
          <w14:ligatures w14:val="standardContextual"/>
        </w:rPr>
      </w:pPr>
      <w:hyperlink w:anchor="_Toc227486381" w:history="1">
        <w:r w:rsidRPr="00AD5B19">
          <w:rPr>
            <w:rStyle w:val="Hyperlink"/>
            <w:noProof/>
          </w:rPr>
          <w:t xml:space="preserve">Figure 3. Visualizing the decoupling of business growth from environmental impact through Intensity Metrics </w:t>
        </w:r>
        <w:r>
          <w:rPr>
            <w:noProof/>
            <w:webHidden/>
          </w:rPr>
          <w:tab/>
        </w:r>
        <w:r>
          <w:rPr>
            <w:noProof/>
            <w:webHidden/>
          </w:rPr>
          <w:fldChar w:fldCharType="begin"/>
        </w:r>
        <w:r>
          <w:rPr>
            <w:noProof/>
            <w:webHidden/>
          </w:rPr>
          <w:instrText xml:space="preserve"> PAGEREF _Toc227486381 \h </w:instrText>
        </w:r>
        <w:r>
          <w:rPr>
            <w:noProof/>
            <w:webHidden/>
          </w:rPr>
        </w:r>
        <w:r>
          <w:rPr>
            <w:noProof/>
            <w:webHidden/>
          </w:rPr>
          <w:fldChar w:fldCharType="separate"/>
        </w:r>
        <w:r w:rsidR="001B29F2">
          <w:rPr>
            <w:noProof/>
            <w:webHidden/>
          </w:rPr>
          <w:t>14</w:t>
        </w:r>
        <w:r>
          <w:rPr>
            <w:noProof/>
            <w:webHidden/>
          </w:rPr>
          <w:fldChar w:fldCharType="end"/>
        </w:r>
      </w:hyperlink>
    </w:p>
    <w:p w14:paraId="420FCE17" w14:textId="096B4F36" w:rsidR="00900767" w:rsidRDefault="00900767">
      <w:pPr>
        <w:pStyle w:val="TableofFigures"/>
        <w:tabs>
          <w:tab w:val="right" w:leader="dot" w:pos="9628"/>
        </w:tabs>
        <w:rPr>
          <w:noProof/>
          <w:kern w:val="2"/>
          <w:sz w:val="24"/>
          <w:szCs w:val="24"/>
          <w:lang w:val="hr-HR" w:eastAsia="hr-HR"/>
          <w14:ligatures w14:val="standardContextual"/>
        </w:rPr>
      </w:pPr>
      <w:hyperlink w:anchor="_Toc227486382" w:history="1">
        <w:r w:rsidRPr="00AD5B19">
          <w:rPr>
            <w:rStyle w:val="Hyperlink"/>
            <w:rFonts w:cstheme="minorHAnsi"/>
            <w:noProof/>
          </w:rPr>
          <w:t>Figure 4.</w:t>
        </w:r>
        <w:r w:rsidRPr="00AD5B19">
          <w:rPr>
            <w:rStyle w:val="Hyperlink"/>
            <w:rFonts w:eastAsia="Times New Roman" w:cstheme="minorHAnsi"/>
            <w:i/>
            <w:noProof/>
          </w:rPr>
          <w:t xml:space="preserve"> </w:t>
        </w:r>
        <w:r w:rsidRPr="00AD5B19">
          <w:rPr>
            <w:rStyle w:val="Hyperlink"/>
            <w:rFonts w:cstheme="minorHAnsi"/>
            <w:noProof/>
          </w:rPr>
          <w:t xml:space="preserve">The Dual Lenses of Double Materiality: Impact and Financial Perspectives </w:t>
        </w:r>
        <w:r>
          <w:rPr>
            <w:noProof/>
            <w:webHidden/>
          </w:rPr>
          <w:tab/>
        </w:r>
        <w:r>
          <w:rPr>
            <w:noProof/>
            <w:webHidden/>
          </w:rPr>
          <w:fldChar w:fldCharType="begin"/>
        </w:r>
        <w:r>
          <w:rPr>
            <w:noProof/>
            <w:webHidden/>
          </w:rPr>
          <w:instrText xml:space="preserve"> PAGEREF _Toc227486382 \h </w:instrText>
        </w:r>
        <w:r>
          <w:rPr>
            <w:noProof/>
            <w:webHidden/>
          </w:rPr>
        </w:r>
        <w:r>
          <w:rPr>
            <w:noProof/>
            <w:webHidden/>
          </w:rPr>
          <w:fldChar w:fldCharType="separate"/>
        </w:r>
        <w:r w:rsidR="001B29F2">
          <w:rPr>
            <w:noProof/>
            <w:webHidden/>
          </w:rPr>
          <w:t>18</w:t>
        </w:r>
        <w:r>
          <w:rPr>
            <w:noProof/>
            <w:webHidden/>
          </w:rPr>
          <w:fldChar w:fldCharType="end"/>
        </w:r>
      </w:hyperlink>
    </w:p>
    <w:p w14:paraId="736211C8" w14:textId="19A455C1" w:rsidR="00900767" w:rsidRDefault="00900767">
      <w:pPr>
        <w:pStyle w:val="TableofFigures"/>
        <w:tabs>
          <w:tab w:val="right" w:leader="dot" w:pos="9628"/>
        </w:tabs>
        <w:rPr>
          <w:noProof/>
          <w:kern w:val="2"/>
          <w:sz w:val="24"/>
          <w:szCs w:val="24"/>
          <w:lang w:val="hr-HR" w:eastAsia="hr-HR"/>
          <w14:ligatures w14:val="standardContextual"/>
        </w:rPr>
      </w:pPr>
      <w:hyperlink w:anchor="_Toc227486383" w:history="1">
        <w:r w:rsidRPr="00AD5B19">
          <w:rPr>
            <w:rStyle w:val="Hyperlink"/>
            <w:rFonts w:cstheme="minorHAnsi"/>
            <w:noProof/>
          </w:rPr>
          <w:t>Figure 5. Example of materiality assessment process</w:t>
        </w:r>
        <w:r>
          <w:rPr>
            <w:noProof/>
            <w:webHidden/>
          </w:rPr>
          <w:tab/>
        </w:r>
        <w:r>
          <w:rPr>
            <w:noProof/>
            <w:webHidden/>
          </w:rPr>
          <w:fldChar w:fldCharType="begin"/>
        </w:r>
        <w:r>
          <w:rPr>
            <w:noProof/>
            <w:webHidden/>
          </w:rPr>
          <w:instrText xml:space="preserve"> PAGEREF _Toc227486383 \h </w:instrText>
        </w:r>
        <w:r>
          <w:rPr>
            <w:noProof/>
            <w:webHidden/>
          </w:rPr>
        </w:r>
        <w:r>
          <w:rPr>
            <w:noProof/>
            <w:webHidden/>
          </w:rPr>
          <w:fldChar w:fldCharType="separate"/>
        </w:r>
        <w:r w:rsidR="001B29F2">
          <w:rPr>
            <w:noProof/>
            <w:webHidden/>
          </w:rPr>
          <w:t>19</w:t>
        </w:r>
        <w:r>
          <w:rPr>
            <w:noProof/>
            <w:webHidden/>
          </w:rPr>
          <w:fldChar w:fldCharType="end"/>
        </w:r>
      </w:hyperlink>
    </w:p>
    <w:p w14:paraId="14512629" w14:textId="05D4FBD8" w:rsidR="00900767" w:rsidRDefault="00900767">
      <w:pPr>
        <w:pStyle w:val="TableofFigures"/>
        <w:tabs>
          <w:tab w:val="right" w:leader="dot" w:pos="9628"/>
        </w:tabs>
        <w:rPr>
          <w:noProof/>
          <w:kern w:val="2"/>
          <w:sz w:val="24"/>
          <w:szCs w:val="24"/>
          <w:lang w:val="hr-HR" w:eastAsia="hr-HR"/>
          <w14:ligatures w14:val="standardContextual"/>
        </w:rPr>
      </w:pPr>
      <w:hyperlink w:anchor="_Toc227486384" w:history="1">
        <w:r w:rsidRPr="00AD5B19">
          <w:rPr>
            <w:rStyle w:val="Hyperlink"/>
            <w:noProof/>
          </w:rPr>
          <w:t>Figure 6. The Three-Tier Architecture of Sustainability Information Systems</w:t>
        </w:r>
        <w:r>
          <w:rPr>
            <w:noProof/>
            <w:webHidden/>
          </w:rPr>
          <w:tab/>
        </w:r>
        <w:r>
          <w:rPr>
            <w:noProof/>
            <w:webHidden/>
          </w:rPr>
          <w:fldChar w:fldCharType="begin"/>
        </w:r>
        <w:r>
          <w:rPr>
            <w:noProof/>
            <w:webHidden/>
          </w:rPr>
          <w:instrText xml:space="preserve"> PAGEREF _Toc227486384 \h </w:instrText>
        </w:r>
        <w:r>
          <w:rPr>
            <w:noProof/>
            <w:webHidden/>
          </w:rPr>
        </w:r>
        <w:r>
          <w:rPr>
            <w:noProof/>
            <w:webHidden/>
          </w:rPr>
          <w:fldChar w:fldCharType="separate"/>
        </w:r>
        <w:r w:rsidR="001B29F2">
          <w:rPr>
            <w:noProof/>
            <w:webHidden/>
          </w:rPr>
          <w:t>23</w:t>
        </w:r>
        <w:r>
          <w:rPr>
            <w:noProof/>
            <w:webHidden/>
          </w:rPr>
          <w:fldChar w:fldCharType="end"/>
        </w:r>
      </w:hyperlink>
    </w:p>
    <w:p w14:paraId="0831BA28" w14:textId="400627F3" w:rsidR="00900767" w:rsidRDefault="00900767">
      <w:pPr>
        <w:pStyle w:val="TableofFigures"/>
        <w:tabs>
          <w:tab w:val="right" w:leader="dot" w:pos="9628"/>
        </w:tabs>
        <w:rPr>
          <w:noProof/>
          <w:kern w:val="2"/>
          <w:sz w:val="24"/>
          <w:szCs w:val="24"/>
          <w:lang w:val="hr-HR" w:eastAsia="hr-HR"/>
          <w14:ligatures w14:val="standardContextual"/>
        </w:rPr>
      </w:pPr>
      <w:hyperlink w:anchor="_Toc227486385" w:history="1">
        <w:r w:rsidRPr="00AD5B19">
          <w:rPr>
            <w:rStyle w:val="Hyperlink"/>
            <w:noProof/>
          </w:rPr>
          <w:t>Figure 7. Tagging Example</w:t>
        </w:r>
        <w:r>
          <w:rPr>
            <w:noProof/>
            <w:webHidden/>
          </w:rPr>
          <w:tab/>
        </w:r>
        <w:r>
          <w:rPr>
            <w:noProof/>
            <w:webHidden/>
          </w:rPr>
          <w:fldChar w:fldCharType="begin"/>
        </w:r>
        <w:r>
          <w:rPr>
            <w:noProof/>
            <w:webHidden/>
          </w:rPr>
          <w:instrText xml:space="preserve"> PAGEREF _Toc227486385 \h </w:instrText>
        </w:r>
        <w:r>
          <w:rPr>
            <w:noProof/>
            <w:webHidden/>
          </w:rPr>
        </w:r>
        <w:r>
          <w:rPr>
            <w:noProof/>
            <w:webHidden/>
          </w:rPr>
          <w:fldChar w:fldCharType="separate"/>
        </w:r>
        <w:r w:rsidR="001B29F2">
          <w:rPr>
            <w:noProof/>
            <w:webHidden/>
          </w:rPr>
          <w:t>25</w:t>
        </w:r>
        <w:r>
          <w:rPr>
            <w:noProof/>
            <w:webHidden/>
          </w:rPr>
          <w:fldChar w:fldCharType="end"/>
        </w:r>
      </w:hyperlink>
    </w:p>
    <w:p w14:paraId="76BF3A0A" w14:textId="36131389" w:rsidR="00900767" w:rsidRDefault="00900767">
      <w:pPr>
        <w:pStyle w:val="TableofFigures"/>
        <w:tabs>
          <w:tab w:val="right" w:leader="dot" w:pos="9628"/>
        </w:tabs>
        <w:rPr>
          <w:noProof/>
          <w:kern w:val="2"/>
          <w:sz w:val="24"/>
          <w:szCs w:val="24"/>
          <w:lang w:val="hr-HR" w:eastAsia="hr-HR"/>
          <w14:ligatures w14:val="standardContextual"/>
        </w:rPr>
      </w:pPr>
      <w:hyperlink w:anchor="_Toc227486386" w:history="1">
        <w:r w:rsidRPr="00AD5B19">
          <w:rPr>
            <w:rStyle w:val="Hyperlink"/>
            <w:noProof/>
          </w:rPr>
          <w:t>Figure 8. Data Governance and Data Management as plan and actions.</w:t>
        </w:r>
        <w:r>
          <w:rPr>
            <w:noProof/>
            <w:webHidden/>
          </w:rPr>
          <w:tab/>
        </w:r>
        <w:r>
          <w:rPr>
            <w:noProof/>
            <w:webHidden/>
          </w:rPr>
          <w:fldChar w:fldCharType="begin"/>
        </w:r>
        <w:r>
          <w:rPr>
            <w:noProof/>
            <w:webHidden/>
          </w:rPr>
          <w:instrText xml:space="preserve"> PAGEREF _Toc227486386 \h </w:instrText>
        </w:r>
        <w:r>
          <w:rPr>
            <w:noProof/>
            <w:webHidden/>
          </w:rPr>
        </w:r>
        <w:r>
          <w:rPr>
            <w:noProof/>
            <w:webHidden/>
          </w:rPr>
          <w:fldChar w:fldCharType="separate"/>
        </w:r>
        <w:r w:rsidR="001B29F2">
          <w:rPr>
            <w:noProof/>
            <w:webHidden/>
          </w:rPr>
          <w:t>31</w:t>
        </w:r>
        <w:r>
          <w:rPr>
            <w:noProof/>
            <w:webHidden/>
          </w:rPr>
          <w:fldChar w:fldCharType="end"/>
        </w:r>
      </w:hyperlink>
    </w:p>
    <w:p w14:paraId="2122839A" w14:textId="1FC2B055" w:rsidR="00900767" w:rsidRDefault="00900767">
      <w:pPr>
        <w:pStyle w:val="TableofFigures"/>
        <w:tabs>
          <w:tab w:val="right" w:leader="dot" w:pos="9628"/>
        </w:tabs>
        <w:rPr>
          <w:noProof/>
          <w:kern w:val="2"/>
          <w:sz w:val="24"/>
          <w:szCs w:val="24"/>
          <w:lang w:val="hr-HR" w:eastAsia="hr-HR"/>
          <w14:ligatures w14:val="standardContextual"/>
        </w:rPr>
      </w:pPr>
      <w:hyperlink w:anchor="_Toc227486387" w:history="1">
        <w:r w:rsidRPr="00AD5B19">
          <w:rPr>
            <w:rStyle w:val="Hyperlink"/>
            <w:noProof/>
          </w:rPr>
          <w:t>Figure 9. Parts of Data Governance</w:t>
        </w:r>
        <w:r>
          <w:rPr>
            <w:noProof/>
            <w:webHidden/>
          </w:rPr>
          <w:tab/>
        </w:r>
        <w:r>
          <w:rPr>
            <w:noProof/>
            <w:webHidden/>
          </w:rPr>
          <w:fldChar w:fldCharType="begin"/>
        </w:r>
        <w:r>
          <w:rPr>
            <w:noProof/>
            <w:webHidden/>
          </w:rPr>
          <w:instrText xml:space="preserve"> PAGEREF _Toc227486387 \h </w:instrText>
        </w:r>
        <w:r>
          <w:rPr>
            <w:noProof/>
            <w:webHidden/>
          </w:rPr>
        </w:r>
        <w:r>
          <w:rPr>
            <w:noProof/>
            <w:webHidden/>
          </w:rPr>
          <w:fldChar w:fldCharType="separate"/>
        </w:r>
        <w:r w:rsidR="001B29F2">
          <w:rPr>
            <w:noProof/>
            <w:webHidden/>
          </w:rPr>
          <w:t>32</w:t>
        </w:r>
        <w:r>
          <w:rPr>
            <w:noProof/>
            <w:webHidden/>
          </w:rPr>
          <w:fldChar w:fldCharType="end"/>
        </w:r>
      </w:hyperlink>
    </w:p>
    <w:p w14:paraId="441F6910" w14:textId="3734442D" w:rsidR="00900767" w:rsidRDefault="00900767">
      <w:pPr>
        <w:pStyle w:val="TableofFigures"/>
        <w:tabs>
          <w:tab w:val="right" w:leader="dot" w:pos="9628"/>
        </w:tabs>
        <w:rPr>
          <w:noProof/>
          <w:kern w:val="2"/>
          <w:sz w:val="24"/>
          <w:szCs w:val="24"/>
          <w:lang w:val="hr-HR" w:eastAsia="hr-HR"/>
          <w14:ligatures w14:val="standardContextual"/>
        </w:rPr>
      </w:pPr>
      <w:hyperlink w:anchor="_Toc227486388" w:history="1">
        <w:r w:rsidRPr="00AD5B19">
          <w:rPr>
            <w:rStyle w:val="Hyperlink"/>
            <w:noProof/>
          </w:rPr>
          <w:t xml:space="preserve">Figure 10.Data lifecycle </w:t>
        </w:r>
        <w:r>
          <w:rPr>
            <w:noProof/>
            <w:webHidden/>
          </w:rPr>
          <w:tab/>
        </w:r>
        <w:r>
          <w:rPr>
            <w:noProof/>
            <w:webHidden/>
          </w:rPr>
          <w:fldChar w:fldCharType="begin"/>
        </w:r>
        <w:r>
          <w:rPr>
            <w:noProof/>
            <w:webHidden/>
          </w:rPr>
          <w:instrText xml:space="preserve"> PAGEREF _Toc227486388 \h </w:instrText>
        </w:r>
        <w:r>
          <w:rPr>
            <w:noProof/>
            <w:webHidden/>
          </w:rPr>
        </w:r>
        <w:r>
          <w:rPr>
            <w:noProof/>
            <w:webHidden/>
          </w:rPr>
          <w:fldChar w:fldCharType="separate"/>
        </w:r>
        <w:r w:rsidR="001B29F2">
          <w:rPr>
            <w:noProof/>
            <w:webHidden/>
          </w:rPr>
          <w:t>35</w:t>
        </w:r>
        <w:r>
          <w:rPr>
            <w:noProof/>
            <w:webHidden/>
          </w:rPr>
          <w:fldChar w:fldCharType="end"/>
        </w:r>
      </w:hyperlink>
    </w:p>
    <w:p w14:paraId="040E548C" w14:textId="055E4F56" w:rsidR="00900767" w:rsidRDefault="00900767">
      <w:pPr>
        <w:pStyle w:val="TableofFigures"/>
        <w:tabs>
          <w:tab w:val="right" w:leader="dot" w:pos="9628"/>
        </w:tabs>
        <w:rPr>
          <w:noProof/>
          <w:kern w:val="2"/>
          <w:sz w:val="24"/>
          <w:szCs w:val="24"/>
          <w:lang w:val="hr-HR" w:eastAsia="hr-HR"/>
          <w14:ligatures w14:val="standardContextual"/>
        </w:rPr>
      </w:pPr>
      <w:hyperlink w:anchor="_Toc227486389" w:history="1">
        <w:r w:rsidRPr="00AD5B19">
          <w:rPr>
            <w:rStyle w:val="Hyperlink"/>
            <w:noProof/>
          </w:rPr>
          <w:t>Figure 11. Steps to setting up data governance.</w:t>
        </w:r>
        <w:r>
          <w:rPr>
            <w:noProof/>
            <w:webHidden/>
          </w:rPr>
          <w:tab/>
        </w:r>
        <w:r>
          <w:rPr>
            <w:noProof/>
            <w:webHidden/>
          </w:rPr>
          <w:fldChar w:fldCharType="begin"/>
        </w:r>
        <w:r>
          <w:rPr>
            <w:noProof/>
            <w:webHidden/>
          </w:rPr>
          <w:instrText xml:space="preserve"> PAGEREF _Toc227486389 \h </w:instrText>
        </w:r>
        <w:r>
          <w:rPr>
            <w:noProof/>
            <w:webHidden/>
          </w:rPr>
        </w:r>
        <w:r>
          <w:rPr>
            <w:noProof/>
            <w:webHidden/>
          </w:rPr>
          <w:fldChar w:fldCharType="separate"/>
        </w:r>
        <w:r w:rsidR="001B29F2">
          <w:rPr>
            <w:noProof/>
            <w:webHidden/>
          </w:rPr>
          <w:t>37</w:t>
        </w:r>
        <w:r>
          <w:rPr>
            <w:noProof/>
            <w:webHidden/>
          </w:rPr>
          <w:fldChar w:fldCharType="end"/>
        </w:r>
      </w:hyperlink>
    </w:p>
    <w:p w14:paraId="34CE2825" w14:textId="076A7147" w:rsidR="00900767" w:rsidRDefault="00900767">
      <w:pPr>
        <w:pStyle w:val="TableofFigures"/>
        <w:tabs>
          <w:tab w:val="right" w:leader="dot" w:pos="9628"/>
        </w:tabs>
        <w:rPr>
          <w:noProof/>
          <w:kern w:val="2"/>
          <w:sz w:val="24"/>
          <w:szCs w:val="24"/>
          <w:lang w:val="hr-HR" w:eastAsia="hr-HR"/>
          <w14:ligatures w14:val="standardContextual"/>
        </w:rPr>
      </w:pPr>
      <w:hyperlink w:anchor="_Toc227486390" w:history="1">
        <w:r w:rsidRPr="00AD5B19">
          <w:rPr>
            <w:rStyle w:val="Hyperlink"/>
            <w:noProof/>
          </w:rPr>
          <w:t>Figure 12. The five-step data collection workflow</w:t>
        </w:r>
        <w:r>
          <w:rPr>
            <w:noProof/>
            <w:webHidden/>
          </w:rPr>
          <w:tab/>
        </w:r>
        <w:r>
          <w:rPr>
            <w:noProof/>
            <w:webHidden/>
          </w:rPr>
          <w:fldChar w:fldCharType="begin"/>
        </w:r>
        <w:r>
          <w:rPr>
            <w:noProof/>
            <w:webHidden/>
          </w:rPr>
          <w:instrText xml:space="preserve"> PAGEREF _Toc227486390 \h </w:instrText>
        </w:r>
        <w:r>
          <w:rPr>
            <w:noProof/>
            <w:webHidden/>
          </w:rPr>
        </w:r>
        <w:r>
          <w:rPr>
            <w:noProof/>
            <w:webHidden/>
          </w:rPr>
          <w:fldChar w:fldCharType="separate"/>
        </w:r>
        <w:r w:rsidR="001B29F2">
          <w:rPr>
            <w:noProof/>
            <w:webHidden/>
          </w:rPr>
          <w:t>43</w:t>
        </w:r>
        <w:r>
          <w:rPr>
            <w:noProof/>
            <w:webHidden/>
          </w:rPr>
          <w:fldChar w:fldCharType="end"/>
        </w:r>
      </w:hyperlink>
    </w:p>
    <w:p w14:paraId="63E6F080" w14:textId="22F9A008" w:rsidR="00900767" w:rsidRDefault="00900767">
      <w:pPr>
        <w:pStyle w:val="TableofFigures"/>
        <w:tabs>
          <w:tab w:val="right" w:leader="dot" w:pos="9628"/>
        </w:tabs>
        <w:rPr>
          <w:noProof/>
          <w:kern w:val="2"/>
          <w:sz w:val="24"/>
          <w:szCs w:val="24"/>
          <w:lang w:val="hr-HR" w:eastAsia="hr-HR"/>
          <w14:ligatures w14:val="standardContextual"/>
        </w:rPr>
      </w:pPr>
      <w:hyperlink w:anchor="_Toc227486391" w:history="1">
        <w:r w:rsidRPr="00AD5B19">
          <w:rPr>
            <w:rStyle w:val="Hyperlink"/>
            <w:noProof/>
          </w:rPr>
          <w:t>Figure 13. Data quality core dimensions</w:t>
        </w:r>
        <w:r>
          <w:rPr>
            <w:noProof/>
            <w:webHidden/>
          </w:rPr>
          <w:tab/>
        </w:r>
        <w:r>
          <w:rPr>
            <w:noProof/>
            <w:webHidden/>
          </w:rPr>
          <w:fldChar w:fldCharType="begin"/>
        </w:r>
        <w:r>
          <w:rPr>
            <w:noProof/>
            <w:webHidden/>
          </w:rPr>
          <w:instrText xml:space="preserve"> PAGEREF _Toc227486391 \h </w:instrText>
        </w:r>
        <w:r>
          <w:rPr>
            <w:noProof/>
            <w:webHidden/>
          </w:rPr>
        </w:r>
        <w:r>
          <w:rPr>
            <w:noProof/>
            <w:webHidden/>
          </w:rPr>
          <w:fldChar w:fldCharType="separate"/>
        </w:r>
        <w:r w:rsidR="001B29F2">
          <w:rPr>
            <w:noProof/>
            <w:webHidden/>
          </w:rPr>
          <w:t>46</w:t>
        </w:r>
        <w:r>
          <w:rPr>
            <w:noProof/>
            <w:webHidden/>
          </w:rPr>
          <w:fldChar w:fldCharType="end"/>
        </w:r>
      </w:hyperlink>
    </w:p>
    <w:p w14:paraId="2DA54F45" w14:textId="2139A5F7" w:rsidR="00900767" w:rsidRDefault="00900767">
      <w:pPr>
        <w:pStyle w:val="TableofFigures"/>
        <w:tabs>
          <w:tab w:val="right" w:leader="dot" w:pos="9628"/>
        </w:tabs>
        <w:rPr>
          <w:noProof/>
          <w:kern w:val="2"/>
          <w:sz w:val="24"/>
          <w:szCs w:val="24"/>
          <w:lang w:val="hr-HR" w:eastAsia="hr-HR"/>
          <w14:ligatures w14:val="standardContextual"/>
        </w:rPr>
      </w:pPr>
      <w:hyperlink w:anchor="_Toc227486392" w:history="1">
        <w:r w:rsidRPr="00AD5B19">
          <w:rPr>
            <w:rStyle w:val="Hyperlink"/>
            <w:noProof/>
          </w:rPr>
          <w:t xml:space="preserve">Figure 14. </w:t>
        </w:r>
        <w:r w:rsidRPr="00AD5B19">
          <w:rPr>
            <w:rStyle w:val="Hyperlink"/>
            <w:rFonts w:eastAsia="Arial"/>
            <w:noProof/>
          </w:rPr>
          <w:t>The six-step data cleaning workflow).</w:t>
        </w:r>
        <w:r>
          <w:rPr>
            <w:noProof/>
            <w:webHidden/>
          </w:rPr>
          <w:tab/>
        </w:r>
        <w:r>
          <w:rPr>
            <w:noProof/>
            <w:webHidden/>
          </w:rPr>
          <w:fldChar w:fldCharType="begin"/>
        </w:r>
        <w:r>
          <w:rPr>
            <w:noProof/>
            <w:webHidden/>
          </w:rPr>
          <w:instrText xml:space="preserve"> PAGEREF _Toc227486392 \h </w:instrText>
        </w:r>
        <w:r>
          <w:rPr>
            <w:noProof/>
            <w:webHidden/>
          </w:rPr>
        </w:r>
        <w:r>
          <w:rPr>
            <w:noProof/>
            <w:webHidden/>
          </w:rPr>
          <w:fldChar w:fldCharType="separate"/>
        </w:r>
        <w:r w:rsidR="001B29F2">
          <w:rPr>
            <w:noProof/>
            <w:webHidden/>
          </w:rPr>
          <w:t>48</w:t>
        </w:r>
        <w:r>
          <w:rPr>
            <w:noProof/>
            <w:webHidden/>
          </w:rPr>
          <w:fldChar w:fldCharType="end"/>
        </w:r>
      </w:hyperlink>
    </w:p>
    <w:p w14:paraId="39DECBB4" w14:textId="1ED77A1E" w:rsidR="00900767" w:rsidRDefault="00900767">
      <w:pPr>
        <w:pStyle w:val="TableofFigures"/>
        <w:tabs>
          <w:tab w:val="right" w:leader="dot" w:pos="9628"/>
        </w:tabs>
        <w:rPr>
          <w:noProof/>
          <w:kern w:val="2"/>
          <w:sz w:val="24"/>
          <w:szCs w:val="24"/>
          <w:lang w:val="hr-HR" w:eastAsia="hr-HR"/>
          <w14:ligatures w14:val="standardContextual"/>
        </w:rPr>
      </w:pPr>
      <w:hyperlink w:anchor="_Toc227486393" w:history="1">
        <w:r w:rsidRPr="00AD5B19">
          <w:rPr>
            <w:rStyle w:val="Hyperlink"/>
            <w:noProof/>
          </w:rPr>
          <w:t>Figure 15.</w:t>
        </w:r>
        <w:r w:rsidRPr="00AD5B19">
          <w:rPr>
            <w:rStyle w:val="Hyperlink"/>
            <w:rFonts w:cstheme="minorHAnsi"/>
            <w:noProof/>
          </w:rPr>
          <w:t xml:space="preserve"> Chart suggestions </w:t>
        </w:r>
        <w:r>
          <w:rPr>
            <w:noProof/>
            <w:webHidden/>
          </w:rPr>
          <w:tab/>
        </w:r>
        <w:r>
          <w:rPr>
            <w:noProof/>
            <w:webHidden/>
          </w:rPr>
          <w:fldChar w:fldCharType="begin"/>
        </w:r>
        <w:r>
          <w:rPr>
            <w:noProof/>
            <w:webHidden/>
          </w:rPr>
          <w:instrText xml:space="preserve"> PAGEREF _Toc227486393 \h </w:instrText>
        </w:r>
        <w:r>
          <w:rPr>
            <w:noProof/>
            <w:webHidden/>
          </w:rPr>
        </w:r>
        <w:r>
          <w:rPr>
            <w:noProof/>
            <w:webHidden/>
          </w:rPr>
          <w:fldChar w:fldCharType="separate"/>
        </w:r>
        <w:r w:rsidR="001B29F2">
          <w:rPr>
            <w:noProof/>
            <w:webHidden/>
          </w:rPr>
          <w:t>56</w:t>
        </w:r>
        <w:r>
          <w:rPr>
            <w:noProof/>
            <w:webHidden/>
          </w:rPr>
          <w:fldChar w:fldCharType="end"/>
        </w:r>
      </w:hyperlink>
    </w:p>
    <w:p w14:paraId="333996BA" w14:textId="5029A6FF" w:rsidR="00900767" w:rsidRDefault="00900767">
      <w:pPr>
        <w:pStyle w:val="TableofFigures"/>
        <w:tabs>
          <w:tab w:val="right" w:leader="dot" w:pos="9628"/>
        </w:tabs>
        <w:rPr>
          <w:noProof/>
          <w:kern w:val="2"/>
          <w:sz w:val="24"/>
          <w:szCs w:val="24"/>
          <w:lang w:val="hr-HR" w:eastAsia="hr-HR"/>
          <w14:ligatures w14:val="standardContextual"/>
        </w:rPr>
      </w:pPr>
      <w:hyperlink w:anchor="_Toc227486394" w:history="1">
        <w:r w:rsidRPr="00AD5B19">
          <w:rPr>
            <w:rStyle w:val="Hyperlink"/>
            <w:noProof/>
          </w:rPr>
          <w:t>Figure 16. Steps for building an interactive report.</w:t>
        </w:r>
        <w:r>
          <w:rPr>
            <w:noProof/>
            <w:webHidden/>
          </w:rPr>
          <w:tab/>
        </w:r>
        <w:r>
          <w:rPr>
            <w:noProof/>
            <w:webHidden/>
          </w:rPr>
          <w:fldChar w:fldCharType="begin"/>
        </w:r>
        <w:r>
          <w:rPr>
            <w:noProof/>
            <w:webHidden/>
          </w:rPr>
          <w:instrText xml:space="preserve"> PAGEREF _Toc227486394 \h </w:instrText>
        </w:r>
        <w:r>
          <w:rPr>
            <w:noProof/>
            <w:webHidden/>
          </w:rPr>
        </w:r>
        <w:r>
          <w:rPr>
            <w:noProof/>
            <w:webHidden/>
          </w:rPr>
          <w:fldChar w:fldCharType="separate"/>
        </w:r>
        <w:r w:rsidR="001B29F2">
          <w:rPr>
            <w:noProof/>
            <w:webHidden/>
          </w:rPr>
          <w:t>62</w:t>
        </w:r>
        <w:r>
          <w:rPr>
            <w:noProof/>
            <w:webHidden/>
          </w:rPr>
          <w:fldChar w:fldCharType="end"/>
        </w:r>
      </w:hyperlink>
    </w:p>
    <w:p w14:paraId="43582B59" w14:textId="199293E9" w:rsidR="00900767" w:rsidRDefault="00900767">
      <w:pPr>
        <w:pStyle w:val="TableofFigures"/>
        <w:tabs>
          <w:tab w:val="right" w:leader="dot" w:pos="9628"/>
        </w:tabs>
        <w:rPr>
          <w:noProof/>
          <w:kern w:val="2"/>
          <w:sz w:val="24"/>
          <w:szCs w:val="24"/>
          <w:lang w:val="hr-HR" w:eastAsia="hr-HR"/>
          <w14:ligatures w14:val="standardContextual"/>
        </w:rPr>
      </w:pPr>
      <w:hyperlink w:anchor="_Toc227486395" w:history="1">
        <w:r w:rsidRPr="00AD5B19">
          <w:rPr>
            <w:rStyle w:val="Hyperlink"/>
            <w:noProof/>
          </w:rPr>
          <w:t>Figure 17. Example of Star Schema</w:t>
        </w:r>
        <w:r>
          <w:rPr>
            <w:noProof/>
            <w:webHidden/>
          </w:rPr>
          <w:tab/>
        </w:r>
        <w:r>
          <w:rPr>
            <w:noProof/>
            <w:webHidden/>
          </w:rPr>
          <w:fldChar w:fldCharType="begin"/>
        </w:r>
        <w:r>
          <w:rPr>
            <w:noProof/>
            <w:webHidden/>
          </w:rPr>
          <w:instrText xml:space="preserve"> PAGEREF _Toc227486395 \h </w:instrText>
        </w:r>
        <w:r>
          <w:rPr>
            <w:noProof/>
            <w:webHidden/>
          </w:rPr>
        </w:r>
        <w:r>
          <w:rPr>
            <w:noProof/>
            <w:webHidden/>
          </w:rPr>
          <w:fldChar w:fldCharType="separate"/>
        </w:r>
        <w:r w:rsidR="001B29F2">
          <w:rPr>
            <w:noProof/>
            <w:webHidden/>
          </w:rPr>
          <w:t>63</w:t>
        </w:r>
        <w:r>
          <w:rPr>
            <w:noProof/>
            <w:webHidden/>
          </w:rPr>
          <w:fldChar w:fldCharType="end"/>
        </w:r>
      </w:hyperlink>
    </w:p>
    <w:p w14:paraId="511050C5" w14:textId="77777777" w:rsidR="001B29F2" w:rsidRDefault="00696E1E" w:rsidP="00413340">
      <w:pPr>
        <w:spacing w:line="240" w:lineRule="auto"/>
        <w:rPr>
          <w:rFonts w:asciiTheme="majorHAnsi" w:hAnsiTheme="majorHAnsi"/>
          <w:color w:val="00AC4E" w:themeColor="accent1"/>
          <w:sz w:val="40"/>
          <w:szCs w:val="40"/>
        </w:rPr>
      </w:pPr>
      <w:r>
        <w:rPr>
          <w:rFonts w:asciiTheme="majorHAnsi" w:hAnsiTheme="majorHAnsi"/>
          <w:color w:val="00AC4E" w:themeColor="accent1"/>
          <w:sz w:val="40"/>
          <w:szCs w:val="40"/>
        </w:rPr>
        <w:fldChar w:fldCharType="end"/>
      </w:r>
    </w:p>
    <w:p w14:paraId="1D32A831" w14:textId="0CFFEC13" w:rsidR="001B29F2" w:rsidRPr="001B29F2" w:rsidRDefault="00957ED1" w:rsidP="00413340">
      <w:pPr>
        <w:spacing w:line="240" w:lineRule="auto"/>
        <w:rPr>
          <w:rFonts w:asciiTheme="majorHAnsi" w:hAnsiTheme="majorHAnsi"/>
          <w:noProof/>
          <w:color w:val="00AC4E" w:themeColor="accent1"/>
          <w:sz w:val="40"/>
          <w:szCs w:val="40"/>
        </w:rPr>
      </w:pPr>
      <w:r>
        <w:rPr>
          <w:rFonts w:asciiTheme="majorHAnsi" w:hAnsiTheme="majorHAnsi"/>
          <w:color w:val="00AC4E" w:themeColor="accent1"/>
          <w:sz w:val="40"/>
          <w:szCs w:val="40"/>
        </w:rPr>
        <w:t xml:space="preserve">List of Tables: </w:t>
      </w:r>
      <w:r>
        <w:rPr>
          <w:rFonts w:asciiTheme="majorHAnsi" w:hAnsiTheme="majorHAnsi"/>
          <w:color w:val="00AC4E" w:themeColor="accent1"/>
          <w:sz w:val="40"/>
          <w:szCs w:val="40"/>
        </w:rPr>
        <w:fldChar w:fldCharType="begin"/>
      </w:r>
      <w:r>
        <w:rPr>
          <w:rFonts w:asciiTheme="majorHAnsi" w:hAnsiTheme="majorHAnsi"/>
          <w:color w:val="00AC4E" w:themeColor="accent1"/>
          <w:sz w:val="40"/>
          <w:szCs w:val="40"/>
        </w:rPr>
        <w:instrText xml:space="preserve"> TOC \h \z \c "Table" </w:instrText>
      </w:r>
      <w:r>
        <w:rPr>
          <w:rFonts w:asciiTheme="majorHAnsi" w:hAnsiTheme="majorHAnsi"/>
          <w:color w:val="00AC4E" w:themeColor="accent1"/>
          <w:sz w:val="40"/>
          <w:szCs w:val="40"/>
        </w:rPr>
        <w:fldChar w:fldCharType="separate"/>
      </w:r>
    </w:p>
    <w:p w14:paraId="3B6B3239" w14:textId="077C24C3" w:rsidR="001B29F2" w:rsidRDefault="001B29F2">
      <w:pPr>
        <w:pStyle w:val="TableofFigures"/>
        <w:tabs>
          <w:tab w:val="right" w:leader="dot" w:pos="9628"/>
        </w:tabs>
        <w:rPr>
          <w:noProof/>
          <w:kern w:val="2"/>
          <w:sz w:val="24"/>
          <w:szCs w:val="24"/>
          <w:lang w:val="hr-HR" w:eastAsia="hr-HR"/>
          <w14:ligatures w14:val="standardContextual"/>
        </w:rPr>
      </w:pPr>
      <w:hyperlink w:anchor="_Toc227739595" w:history="1">
        <w:r w:rsidRPr="00B661EE">
          <w:rPr>
            <w:rStyle w:val="Hyperlink"/>
            <w:noProof/>
          </w:rPr>
          <w:t>Table 1. ESRS KPIs</w:t>
        </w:r>
        <w:r>
          <w:rPr>
            <w:noProof/>
            <w:webHidden/>
          </w:rPr>
          <w:tab/>
        </w:r>
        <w:r>
          <w:rPr>
            <w:noProof/>
            <w:webHidden/>
          </w:rPr>
          <w:fldChar w:fldCharType="begin"/>
        </w:r>
        <w:r>
          <w:rPr>
            <w:noProof/>
            <w:webHidden/>
          </w:rPr>
          <w:instrText xml:space="preserve"> PAGEREF _Toc227739595 \h </w:instrText>
        </w:r>
        <w:r>
          <w:rPr>
            <w:noProof/>
            <w:webHidden/>
          </w:rPr>
        </w:r>
        <w:r>
          <w:rPr>
            <w:noProof/>
            <w:webHidden/>
          </w:rPr>
          <w:fldChar w:fldCharType="separate"/>
        </w:r>
        <w:r>
          <w:rPr>
            <w:noProof/>
            <w:webHidden/>
          </w:rPr>
          <w:t>12</w:t>
        </w:r>
        <w:r>
          <w:rPr>
            <w:noProof/>
            <w:webHidden/>
          </w:rPr>
          <w:fldChar w:fldCharType="end"/>
        </w:r>
      </w:hyperlink>
    </w:p>
    <w:p w14:paraId="1A72870E" w14:textId="1414C45C" w:rsidR="001B29F2" w:rsidRDefault="001B29F2">
      <w:pPr>
        <w:pStyle w:val="TableofFigures"/>
        <w:tabs>
          <w:tab w:val="right" w:leader="dot" w:pos="9628"/>
        </w:tabs>
        <w:rPr>
          <w:noProof/>
          <w:kern w:val="2"/>
          <w:sz w:val="24"/>
          <w:szCs w:val="24"/>
          <w:lang w:val="hr-HR" w:eastAsia="hr-HR"/>
          <w14:ligatures w14:val="standardContextual"/>
        </w:rPr>
      </w:pPr>
      <w:hyperlink w:anchor="_Toc227739596" w:history="1">
        <w:r w:rsidRPr="00B661EE">
          <w:rPr>
            <w:rStyle w:val="Hyperlink"/>
            <w:noProof/>
          </w:rPr>
          <w:t>Table 2. Key roles in data management</w:t>
        </w:r>
        <w:r>
          <w:rPr>
            <w:noProof/>
            <w:webHidden/>
          </w:rPr>
          <w:tab/>
        </w:r>
        <w:r>
          <w:rPr>
            <w:noProof/>
            <w:webHidden/>
          </w:rPr>
          <w:fldChar w:fldCharType="begin"/>
        </w:r>
        <w:r>
          <w:rPr>
            <w:noProof/>
            <w:webHidden/>
          </w:rPr>
          <w:instrText xml:space="preserve"> PAGEREF _Toc227739596 \h </w:instrText>
        </w:r>
        <w:r>
          <w:rPr>
            <w:noProof/>
            <w:webHidden/>
          </w:rPr>
        </w:r>
        <w:r>
          <w:rPr>
            <w:noProof/>
            <w:webHidden/>
          </w:rPr>
          <w:fldChar w:fldCharType="separate"/>
        </w:r>
        <w:r>
          <w:rPr>
            <w:noProof/>
            <w:webHidden/>
          </w:rPr>
          <w:t>36</w:t>
        </w:r>
        <w:r>
          <w:rPr>
            <w:noProof/>
            <w:webHidden/>
          </w:rPr>
          <w:fldChar w:fldCharType="end"/>
        </w:r>
      </w:hyperlink>
    </w:p>
    <w:p w14:paraId="36B3EF77" w14:textId="3B098D42" w:rsidR="001B29F2" w:rsidRDefault="001B29F2">
      <w:pPr>
        <w:pStyle w:val="TableofFigures"/>
        <w:tabs>
          <w:tab w:val="right" w:leader="dot" w:pos="9628"/>
        </w:tabs>
        <w:rPr>
          <w:noProof/>
          <w:kern w:val="2"/>
          <w:sz w:val="24"/>
          <w:szCs w:val="24"/>
          <w:lang w:val="hr-HR" w:eastAsia="hr-HR"/>
          <w14:ligatures w14:val="standardContextual"/>
        </w:rPr>
      </w:pPr>
      <w:hyperlink w:anchor="_Toc227739597" w:history="1">
        <w:r w:rsidRPr="00B661EE">
          <w:rPr>
            <w:rStyle w:val="Hyperlink"/>
            <w:noProof/>
          </w:rPr>
          <w:t>Table 3. Example of metadata for energy consumptio</w:t>
        </w:r>
        <w:r>
          <w:rPr>
            <w:noProof/>
            <w:webHidden/>
          </w:rPr>
          <w:tab/>
        </w:r>
        <w:r>
          <w:rPr>
            <w:noProof/>
            <w:webHidden/>
          </w:rPr>
          <w:fldChar w:fldCharType="begin"/>
        </w:r>
        <w:r>
          <w:rPr>
            <w:noProof/>
            <w:webHidden/>
          </w:rPr>
          <w:instrText xml:space="preserve"> PAGEREF _Toc227739597 \h </w:instrText>
        </w:r>
        <w:r>
          <w:rPr>
            <w:noProof/>
            <w:webHidden/>
          </w:rPr>
        </w:r>
        <w:r>
          <w:rPr>
            <w:noProof/>
            <w:webHidden/>
          </w:rPr>
          <w:fldChar w:fldCharType="separate"/>
        </w:r>
        <w:r>
          <w:rPr>
            <w:noProof/>
            <w:webHidden/>
          </w:rPr>
          <w:t>38</w:t>
        </w:r>
        <w:r>
          <w:rPr>
            <w:noProof/>
            <w:webHidden/>
          </w:rPr>
          <w:fldChar w:fldCharType="end"/>
        </w:r>
      </w:hyperlink>
    </w:p>
    <w:p w14:paraId="2FF677BB" w14:textId="6A07A4C6" w:rsidR="001B29F2" w:rsidRDefault="001B29F2">
      <w:pPr>
        <w:pStyle w:val="TableofFigures"/>
        <w:tabs>
          <w:tab w:val="right" w:leader="dot" w:pos="9628"/>
        </w:tabs>
        <w:rPr>
          <w:noProof/>
          <w:kern w:val="2"/>
          <w:sz w:val="24"/>
          <w:szCs w:val="24"/>
          <w:lang w:val="hr-HR" w:eastAsia="hr-HR"/>
          <w14:ligatures w14:val="standardContextual"/>
        </w:rPr>
      </w:pPr>
      <w:hyperlink w:anchor="_Toc227739598" w:history="1">
        <w:r w:rsidRPr="00B661EE">
          <w:rPr>
            <w:rStyle w:val="Hyperlink"/>
            <w:noProof/>
          </w:rPr>
          <w:t>Table 4. Data collection methods – descriptions and examples</w:t>
        </w:r>
        <w:r>
          <w:rPr>
            <w:noProof/>
            <w:webHidden/>
          </w:rPr>
          <w:tab/>
        </w:r>
        <w:r>
          <w:rPr>
            <w:noProof/>
            <w:webHidden/>
          </w:rPr>
          <w:fldChar w:fldCharType="begin"/>
        </w:r>
        <w:r>
          <w:rPr>
            <w:noProof/>
            <w:webHidden/>
          </w:rPr>
          <w:instrText xml:space="preserve"> PAGEREF _Toc227739598 \h </w:instrText>
        </w:r>
        <w:r>
          <w:rPr>
            <w:noProof/>
            <w:webHidden/>
          </w:rPr>
        </w:r>
        <w:r>
          <w:rPr>
            <w:noProof/>
            <w:webHidden/>
          </w:rPr>
          <w:fldChar w:fldCharType="separate"/>
        </w:r>
        <w:r>
          <w:rPr>
            <w:noProof/>
            <w:webHidden/>
          </w:rPr>
          <w:t>40</w:t>
        </w:r>
        <w:r>
          <w:rPr>
            <w:noProof/>
            <w:webHidden/>
          </w:rPr>
          <w:fldChar w:fldCharType="end"/>
        </w:r>
      </w:hyperlink>
    </w:p>
    <w:p w14:paraId="1D5C100F" w14:textId="0AA4DE46" w:rsidR="001B29F2" w:rsidRDefault="001B29F2">
      <w:pPr>
        <w:pStyle w:val="TableofFigures"/>
        <w:tabs>
          <w:tab w:val="right" w:leader="dot" w:pos="9628"/>
        </w:tabs>
        <w:rPr>
          <w:noProof/>
          <w:kern w:val="2"/>
          <w:sz w:val="24"/>
          <w:szCs w:val="24"/>
          <w:lang w:val="hr-HR" w:eastAsia="hr-HR"/>
          <w14:ligatures w14:val="standardContextual"/>
        </w:rPr>
      </w:pPr>
      <w:hyperlink w:anchor="_Toc227739599" w:history="1">
        <w:r w:rsidRPr="00B661EE">
          <w:rPr>
            <w:rStyle w:val="Hyperlink"/>
            <w:noProof/>
          </w:rPr>
          <w:t>Table 5. Data entering methods</w:t>
        </w:r>
        <w:r>
          <w:rPr>
            <w:noProof/>
            <w:webHidden/>
          </w:rPr>
          <w:tab/>
        </w:r>
        <w:r>
          <w:rPr>
            <w:noProof/>
            <w:webHidden/>
          </w:rPr>
          <w:fldChar w:fldCharType="begin"/>
        </w:r>
        <w:r>
          <w:rPr>
            <w:noProof/>
            <w:webHidden/>
          </w:rPr>
          <w:instrText xml:space="preserve"> PAGEREF _Toc227739599 \h </w:instrText>
        </w:r>
        <w:r>
          <w:rPr>
            <w:noProof/>
            <w:webHidden/>
          </w:rPr>
        </w:r>
        <w:r>
          <w:rPr>
            <w:noProof/>
            <w:webHidden/>
          </w:rPr>
          <w:fldChar w:fldCharType="separate"/>
        </w:r>
        <w:r>
          <w:rPr>
            <w:noProof/>
            <w:webHidden/>
          </w:rPr>
          <w:t>42</w:t>
        </w:r>
        <w:r>
          <w:rPr>
            <w:noProof/>
            <w:webHidden/>
          </w:rPr>
          <w:fldChar w:fldCharType="end"/>
        </w:r>
      </w:hyperlink>
    </w:p>
    <w:p w14:paraId="6FE0E218" w14:textId="1B4D7A59" w:rsidR="001B29F2" w:rsidRDefault="001B29F2">
      <w:pPr>
        <w:pStyle w:val="TableofFigures"/>
        <w:tabs>
          <w:tab w:val="right" w:leader="dot" w:pos="9628"/>
        </w:tabs>
        <w:rPr>
          <w:noProof/>
          <w:kern w:val="2"/>
          <w:sz w:val="24"/>
          <w:szCs w:val="24"/>
          <w:lang w:val="hr-HR" w:eastAsia="hr-HR"/>
          <w14:ligatures w14:val="standardContextual"/>
        </w:rPr>
      </w:pPr>
      <w:hyperlink w:anchor="_Toc227739600" w:history="1">
        <w:r w:rsidRPr="00B661EE">
          <w:rPr>
            <w:rStyle w:val="Hyperlink"/>
            <w:noProof/>
          </w:rPr>
          <w:t>Table 6. Common data collection challenges</w:t>
        </w:r>
        <w:r>
          <w:rPr>
            <w:noProof/>
            <w:webHidden/>
          </w:rPr>
          <w:tab/>
        </w:r>
        <w:r>
          <w:rPr>
            <w:noProof/>
            <w:webHidden/>
          </w:rPr>
          <w:fldChar w:fldCharType="begin"/>
        </w:r>
        <w:r>
          <w:rPr>
            <w:noProof/>
            <w:webHidden/>
          </w:rPr>
          <w:instrText xml:space="preserve"> PAGEREF _Toc227739600 \h </w:instrText>
        </w:r>
        <w:r>
          <w:rPr>
            <w:noProof/>
            <w:webHidden/>
          </w:rPr>
        </w:r>
        <w:r>
          <w:rPr>
            <w:noProof/>
            <w:webHidden/>
          </w:rPr>
          <w:fldChar w:fldCharType="separate"/>
        </w:r>
        <w:r>
          <w:rPr>
            <w:noProof/>
            <w:webHidden/>
          </w:rPr>
          <w:t>44</w:t>
        </w:r>
        <w:r>
          <w:rPr>
            <w:noProof/>
            <w:webHidden/>
          </w:rPr>
          <w:fldChar w:fldCharType="end"/>
        </w:r>
      </w:hyperlink>
    </w:p>
    <w:p w14:paraId="214E99F9" w14:textId="7DFFB647" w:rsidR="001B29F2" w:rsidRDefault="001B29F2">
      <w:pPr>
        <w:pStyle w:val="TableofFigures"/>
        <w:tabs>
          <w:tab w:val="right" w:leader="dot" w:pos="9628"/>
        </w:tabs>
        <w:rPr>
          <w:noProof/>
          <w:kern w:val="2"/>
          <w:sz w:val="24"/>
          <w:szCs w:val="24"/>
          <w:lang w:val="hr-HR" w:eastAsia="hr-HR"/>
          <w14:ligatures w14:val="standardContextual"/>
        </w:rPr>
      </w:pPr>
      <w:hyperlink w:anchor="_Toc227739601" w:history="1">
        <w:r w:rsidRPr="00B661EE">
          <w:rPr>
            <w:rStyle w:val="Hyperlink"/>
            <w:noProof/>
          </w:rPr>
          <w:t>Table 7. Six Core Data Quality Dimensions – Definitions, Examples and Failure Causes</w:t>
        </w:r>
        <w:r>
          <w:rPr>
            <w:noProof/>
            <w:webHidden/>
          </w:rPr>
          <w:tab/>
        </w:r>
        <w:r>
          <w:rPr>
            <w:noProof/>
            <w:webHidden/>
          </w:rPr>
          <w:fldChar w:fldCharType="begin"/>
        </w:r>
        <w:r>
          <w:rPr>
            <w:noProof/>
            <w:webHidden/>
          </w:rPr>
          <w:instrText xml:space="preserve"> PAGEREF _Toc227739601 \h </w:instrText>
        </w:r>
        <w:r>
          <w:rPr>
            <w:noProof/>
            <w:webHidden/>
          </w:rPr>
        </w:r>
        <w:r>
          <w:rPr>
            <w:noProof/>
            <w:webHidden/>
          </w:rPr>
          <w:fldChar w:fldCharType="separate"/>
        </w:r>
        <w:r>
          <w:rPr>
            <w:noProof/>
            <w:webHidden/>
          </w:rPr>
          <w:t>46</w:t>
        </w:r>
        <w:r>
          <w:rPr>
            <w:noProof/>
            <w:webHidden/>
          </w:rPr>
          <w:fldChar w:fldCharType="end"/>
        </w:r>
      </w:hyperlink>
    </w:p>
    <w:p w14:paraId="5F75A49F" w14:textId="73000955" w:rsidR="001B29F2" w:rsidRDefault="001B29F2">
      <w:pPr>
        <w:pStyle w:val="TableofFigures"/>
        <w:tabs>
          <w:tab w:val="right" w:leader="dot" w:pos="9628"/>
        </w:tabs>
        <w:rPr>
          <w:noProof/>
          <w:kern w:val="2"/>
          <w:sz w:val="24"/>
          <w:szCs w:val="24"/>
          <w:lang w:val="hr-HR" w:eastAsia="hr-HR"/>
          <w14:ligatures w14:val="standardContextual"/>
        </w:rPr>
      </w:pPr>
      <w:hyperlink w:anchor="_Toc227739602" w:history="1">
        <w:r w:rsidRPr="00B661EE">
          <w:rPr>
            <w:rStyle w:val="Hyperlink"/>
            <w:noProof/>
          </w:rPr>
          <w:t>Table 8. Data Cleaning Strategies by Issue Type</w:t>
        </w:r>
        <w:r>
          <w:rPr>
            <w:noProof/>
            <w:webHidden/>
          </w:rPr>
          <w:tab/>
        </w:r>
        <w:r>
          <w:rPr>
            <w:noProof/>
            <w:webHidden/>
          </w:rPr>
          <w:fldChar w:fldCharType="begin"/>
        </w:r>
        <w:r>
          <w:rPr>
            <w:noProof/>
            <w:webHidden/>
          </w:rPr>
          <w:instrText xml:space="preserve"> PAGEREF _Toc227739602 \h </w:instrText>
        </w:r>
        <w:r>
          <w:rPr>
            <w:noProof/>
            <w:webHidden/>
          </w:rPr>
        </w:r>
        <w:r>
          <w:rPr>
            <w:noProof/>
            <w:webHidden/>
          </w:rPr>
          <w:fldChar w:fldCharType="separate"/>
        </w:r>
        <w:r>
          <w:rPr>
            <w:noProof/>
            <w:webHidden/>
          </w:rPr>
          <w:t>49</w:t>
        </w:r>
        <w:r>
          <w:rPr>
            <w:noProof/>
            <w:webHidden/>
          </w:rPr>
          <w:fldChar w:fldCharType="end"/>
        </w:r>
      </w:hyperlink>
    </w:p>
    <w:p w14:paraId="3F394652" w14:textId="4E548F1A" w:rsidR="001B29F2" w:rsidRDefault="001B29F2">
      <w:pPr>
        <w:pStyle w:val="TableofFigures"/>
        <w:tabs>
          <w:tab w:val="right" w:leader="dot" w:pos="9628"/>
        </w:tabs>
        <w:rPr>
          <w:noProof/>
          <w:kern w:val="2"/>
          <w:sz w:val="24"/>
          <w:szCs w:val="24"/>
          <w:lang w:val="hr-HR" w:eastAsia="hr-HR"/>
          <w14:ligatures w14:val="standardContextual"/>
        </w:rPr>
      </w:pPr>
      <w:hyperlink w:anchor="_Toc227739603" w:history="1">
        <w:r w:rsidRPr="00B661EE">
          <w:rPr>
            <w:rStyle w:val="Hyperlink"/>
            <w:noProof/>
          </w:rPr>
          <w:t>Table 9. Examples of sustainability reporting and recommended charts</w:t>
        </w:r>
        <w:r>
          <w:rPr>
            <w:noProof/>
            <w:webHidden/>
          </w:rPr>
          <w:tab/>
        </w:r>
        <w:r>
          <w:rPr>
            <w:noProof/>
            <w:webHidden/>
          </w:rPr>
          <w:fldChar w:fldCharType="begin"/>
        </w:r>
        <w:r>
          <w:rPr>
            <w:noProof/>
            <w:webHidden/>
          </w:rPr>
          <w:instrText xml:space="preserve"> PAGEREF _Toc227739603 \h </w:instrText>
        </w:r>
        <w:r>
          <w:rPr>
            <w:noProof/>
            <w:webHidden/>
          </w:rPr>
        </w:r>
        <w:r>
          <w:rPr>
            <w:noProof/>
            <w:webHidden/>
          </w:rPr>
          <w:fldChar w:fldCharType="separate"/>
        </w:r>
        <w:r>
          <w:rPr>
            <w:noProof/>
            <w:webHidden/>
          </w:rPr>
          <w:t>57</w:t>
        </w:r>
        <w:r>
          <w:rPr>
            <w:noProof/>
            <w:webHidden/>
          </w:rPr>
          <w:fldChar w:fldCharType="end"/>
        </w:r>
      </w:hyperlink>
    </w:p>
    <w:p w14:paraId="134B9A79" w14:textId="0C6D0176" w:rsidR="001B29F2" w:rsidRDefault="001B29F2">
      <w:pPr>
        <w:pStyle w:val="TableofFigures"/>
        <w:tabs>
          <w:tab w:val="right" w:leader="dot" w:pos="9628"/>
        </w:tabs>
        <w:rPr>
          <w:noProof/>
          <w:kern w:val="2"/>
          <w:sz w:val="24"/>
          <w:szCs w:val="24"/>
          <w:lang w:val="hr-HR" w:eastAsia="hr-HR"/>
          <w14:ligatures w14:val="standardContextual"/>
        </w:rPr>
      </w:pPr>
      <w:hyperlink w:anchor="_Toc227739604" w:history="1">
        <w:r w:rsidRPr="00B661EE">
          <w:rPr>
            <w:rStyle w:val="Hyperlink"/>
            <w:noProof/>
          </w:rPr>
          <w:t xml:space="preserve">Table 10. Key Stakeholder Groups and Their Needs </w:t>
        </w:r>
        <w:r>
          <w:rPr>
            <w:noProof/>
            <w:webHidden/>
          </w:rPr>
          <w:tab/>
        </w:r>
        <w:r>
          <w:rPr>
            <w:noProof/>
            <w:webHidden/>
          </w:rPr>
          <w:fldChar w:fldCharType="begin"/>
        </w:r>
        <w:r>
          <w:rPr>
            <w:noProof/>
            <w:webHidden/>
          </w:rPr>
          <w:instrText xml:space="preserve"> PAGEREF _Toc227739604 \h </w:instrText>
        </w:r>
        <w:r>
          <w:rPr>
            <w:noProof/>
            <w:webHidden/>
          </w:rPr>
        </w:r>
        <w:r>
          <w:rPr>
            <w:noProof/>
            <w:webHidden/>
          </w:rPr>
          <w:fldChar w:fldCharType="separate"/>
        </w:r>
        <w:r>
          <w:rPr>
            <w:noProof/>
            <w:webHidden/>
          </w:rPr>
          <w:t>65</w:t>
        </w:r>
        <w:r>
          <w:rPr>
            <w:noProof/>
            <w:webHidden/>
          </w:rPr>
          <w:fldChar w:fldCharType="end"/>
        </w:r>
      </w:hyperlink>
    </w:p>
    <w:p w14:paraId="5671CFE6" w14:textId="726CBFDA" w:rsidR="001B29F2" w:rsidRDefault="001B29F2">
      <w:pPr>
        <w:pStyle w:val="TableofFigures"/>
        <w:tabs>
          <w:tab w:val="right" w:leader="dot" w:pos="9628"/>
        </w:tabs>
        <w:rPr>
          <w:noProof/>
          <w:kern w:val="2"/>
          <w:sz w:val="24"/>
          <w:szCs w:val="24"/>
          <w:lang w:val="hr-HR" w:eastAsia="hr-HR"/>
          <w14:ligatures w14:val="standardContextual"/>
        </w:rPr>
      </w:pPr>
      <w:hyperlink w:anchor="_Toc227739605" w:history="1">
        <w:r w:rsidRPr="00B661EE">
          <w:rPr>
            <w:rStyle w:val="Hyperlink"/>
            <w:noProof/>
          </w:rPr>
          <w:t>Table 11.A 10-Dimension Usability &amp; Clarity Rubric</w:t>
        </w:r>
        <w:r>
          <w:rPr>
            <w:noProof/>
            <w:webHidden/>
          </w:rPr>
          <w:tab/>
        </w:r>
        <w:r>
          <w:rPr>
            <w:noProof/>
            <w:webHidden/>
          </w:rPr>
          <w:fldChar w:fldCharType="begin"/>
        </w:r>
        <w:r>
          <w:rPr>
            <w:noProof/>
            <w:webHidden/>
          </w:rPr>
          <w:instrText xml:space="preserve"> PAGEREF _Toc227739605 \h </w:instrText>
        </w:r>
        <w:r>
          <w:rPr>
            <w:noProof/>
            <w:webHidden/>
          </w:rPr>
        </w:r>
        <w:r>
          <w:rPr>
            <w:noProof/>
            <w:webHidden/>
          </w:rPr>
          <w:fldChar w:fldCharType="separate"/>
        </w:r>
        <w:r>
          <w:rPr>
            <w:noProof/>
            <w:webHidden/>
          </w:rPr>
          <w:t>69</w:t>
        </w:r>
        <w:r>
          <w:rPr>
            <w:noProof/>
            <w:webHidden/>
          </w:rPr>
          <w:fldChar w:fldCharType="end"/>
        </w:r>
      </w:hyperlink>
    </w:p>
    <w:p w14:paraId="38C09129" w14:textId="79F7746C" w:rsidR="00BD0CF5" w:rsidRPr="00EF521E" w:rsidRDefault="00957ED1" w:rsidP="00413340">
      <w:pPr>
        <w:spacing w:line="240" w:lineRule="auto"/>
        <w:rPr>
          <w:rFonts w:asciiTheme="majorHAnsi" w:hAnsiTheme="majorHAnsi"/>
          <w:color w:val="00AC4E" w:themeColor="accent1"/>
          <w:sz w:val="40"/>
          <w:szCs w:val="40"/>
        </w:rPr>
      </w:pPr>
      <w:r>
        <w:rPr>
          <w:rFonts w:asciiTheme="majorHAnsi" w:hAnsiTheme="majorHAnsi"/>
          <w:color w:val="00AC4E" w:themeColor="accent1"/>
          <w:sz w:val="40"/>
          <w:szCs w:val="40"/>
        </w:rPr>
        <w:lastRenderedPageBreak/>
        <w:fldChar w:fldCharType="end"/>
      </w:r>
      <w:r>
        <w:rPr>
          <w:rFonts w:asciiTheme="majorHAnsi" w:hAnsiTheme="majorHAnsi"/>
          <w:color w:val="00AC4E" w:themeColor="accent1"/>
          <w:sz w:val="40"/>
          <w:szCs w:val="40"/>
        </w:rPr>
        <w:t>List of Videos:</w:t>
      </w:r>
    </w:p>
    <w:p w14:paraId="2DA450AD" w14:textId="638E4FF8" w:rsidR="002074FD" w:rsidRDefault="002074FD">
      <w:pPr>
        <w:pStyle w:val="TableofFigures"/>
        <w:tabs>
          <w:tab w:val="right" w:leader="dot" w:pos="9628"/>
        </w:tabs>
        <w:rPr>
          <w:noProof/>
          <w:kern w:val="2"/>
          <w:sz w:val="24"/>
          <w:szCs w:val="24"/>
          <w:lang w:val="hr-HR" w:eastAsia="hr-HR"/>
          <w14:ligatures w14:val="standardContextual"/>
        </w:rPr>
      </w:pPr>
      <w:r>
        <w:rPr>
          <w:rFonts w:asciiTheme="majorHAnsi" w:hAnsiTheme="majorHAnsi"/>
          <w:b/>
          <w:bCs/>
          <w:color w:val="00AC4E" w:themeColor="accent1"/>
          <w:sz w:val="40"/>
          <w:szCs w:val="40"/>
        </w:rPr>
        <w:fldChar w:fldCharType="begin"/>
      </w:r>
      <w:r>
        <w:rPr>
          <w:rFonts w:asciiTheme="majorHAnsi" w:hAnsiTheme="majorHAnsi"/>
          <w:b/>
          <w:bCs/>
          <w:color w:val="00AC4E" w:themeColor="accent1"/>
          <w:sz w:val="40"/>
          <w:szCs w:val="40"/>
        </w:rPr>
        <w:instrText xml:space="preserve"> TOC \h \z \c "Video" </w:instrText>
      </w:r>
      <w:r>
        <w:rPr>
          <w:rFonts w:asciiTheme="majorHAnsi" w:hAnsiTheme="majorHAnsi"/>
          <w:b/>
          <w:bCs/>
          <w:color w:val="00AC4E" w:themeColor="accent1"/>
          <w:sz w:val="40"/>
          <w:szCs w:val="40"/>
        </w:rPr>
        <w:fldChar w:fldCharType="separate"/>
      </w:r>
      <w:hyperlink w:anchor="_Toc227738758" w:history="1">
        <w:r w:rsidRPr="00DC01AE">
          <w:rPr>
            <w:rStyle w:val="Hyperlink"/>
            <w:noProof/>
          </w:rPr>
          <w:t xml:space="preserve">Video 1. What is CSRD? </w:t>
        </w:r>
        <w:r>
          <w:rPr>
            <w:noProof/>
            <w:webHidden/>
          </w:rPr>
          <w:tab/>
        </w:r>
        <w:r>
          <w:rPr>
            <w:noProof/>
            <w:webHidden/>
          </w:rPr>
          <w:fldChar w:fldCharType="begin"/>
        </w:r>
        <w:r>
          <w:rPr>
            <w:noProof/>
            <w:webHidden/>
          </w:rPr>
          <w:instrText xml:space="preserve"> PAGEREF _Toc227738758 \h </w:instrText>
        </w:r>
        <w:r>
          <w:rPr>
            <w:noProof/>
            <w:webHidden/>
          </w:rPr>
        </w:r>
        <w:r>
          <w:rPr>
            <w:noProof/>
            <w:webHidden/>
          </w:rPr>
          <w:fldChar w:fldCharType="separate"/>
        </w:r>
        <w:r w:rsidR="001B29F2">
          <w:rPr>
            <w:noProof/>
            <w:webHidden/>
          </w:rPr>
          <w:t>9</w:t>
        </w:r>
        <w:r>
          <w:rPr>
            <w:noProof/>
            <w:webHidden/>
          </w:rPr>
          <w:fldChar w:fldCharType="end"/>
        </w:r>
      </w:hyperlink>
    </w:p>
    <w:p w14:paraId="13B7B6B2" w14:textId="184F38CC" w:rsidR="002074FD" w:rsidRDefault="002074FD">
      <w:pPr>
        <w:pStyle w:val="TableofFigures"/>
        <w:tabs>
          <w:tab w:val="right" w:leader="dot" w:pos="9628"/>
        </w:tabs>
        <w:rPr>
          <w:noProof/>
          <w:kern w:val="2"/>
          <w:sz w:val="24"/>
          <w:szCs w:val="24"/>
          <w:lang w:val="hr-HR" w:eastAsia="hr-HR"/>
          <w14:ligatures w14:val="standardContextual"/>
        </w:rPr>
      </w:pPr>
      <w:hyperlink w:anchor="_Toc227738759" w:history="1">
        <w:r w:rsidRPr="00DC01AE">
          <w:rPr>
            <w:rStyle w:val="Hyperlink"/>
            <w:noProof/>
          </w:rPr>
          <w:t>Video 2. Mandatory vs. Voluntary ESG Reporting</w:t>
        </w:r>
        <w:r>
          <w:rPr>
            <w:noProof/>
            <w:webHidden/>
          </w:rPr>
          <w:tab/>
        </w:r>
        <w:r>
          <w:rPr>
            <w:noProof/>
            <w:webHidden/>
          </w:rPr>
          <w:fldChar w:fldCharType="begin"/>
        </w:r>
        <w:r>
          <w:rPr>
            <w:noProof/>
            <w:webHidden/>
          </w:rPr>
          <w:instrText xml:space="preserve"> PAGEREF _Toc227738759 \h </w:instrText>
        </w:r>
        <w:r>
          <w:rPr>
            <w:noProof/>
            <w:webHidden/>
          </w:rPr>
        </w:r>
        <w:r>
          <w:rPr>
            <w:noProof/>
            <w:webHidden/>
          </w:rPr>
          <w:fldChar w:fldCharType="separate"/>
        </w:r>
        <w:r w:rsidR="001B29F2">
          <w:rPr>
            <w:noProof/>
            <w:webHidden/>
          </w:rPr>
          <w:t>11</w:t>
        </w:r>
        <w:r>
          <w:rPr>
            <w:noProof/>
            <w:webHidden/>
          </w:rPr>
          <w:fldChar w:fldCharType="end"/>
        </w:r>
      </w:hyperlink>
    </w:p>
    <w:p w14:paraId="09E886D6" w14:textId="40B2B485" w:rsidR="002074FD" w:rsidRDefault="002074FD">
      <w:pPr>
        <w:pStyle w:val="TableofFigures"/>
        <w:tabs>
          <w:tab w:val="right" w:leader="dot" w:pos="9628"/>
        </w:tabs>
        <w:rPr>
          <w:noProof/>
          <w:kern w:val="2"/>
          <w:sz w:val="24"/>
          <w:szCs w:val="24"/>
          <w:lang w:val="hr-HR" w:eastAsia="hr-HR"/>
          <w14:ligatures w14:val="standardContextual"/>
        </w:rPr>
      </w:pPr>
      <w:hyperlink w:anchor="_Toc227738760" w:history="1">
        <w:r w:rsidRPr="00DC01AE">
          <w:rPr>
            <w:rStyle w:val="Hyperlink"/>
            <w:noProof/>
          </w:rPr>
          <w:t xml:space="preserve">Video 3. How ESG creates value </w:t>
        </w:r>
        <w:r>
          <w:rPr>
            <w:noProof/>
            <w:webHidden/>
          </w:rPr>
          <w:tab/>
        </w:r>
        <w:r>
          <w:rPr>
            <w:noProof/>
            <w:webHidden/>
          </w:rPr>
          <w:fldChar w:fldCharType="begin"/>
        </w:r>
        <w:r>
          <w:rPr>
            <w:noProof/>
            <w:webHidden/>
          </w:rPr>
          <w:instrText xml:space="preserve"> PAGEREF _Toc227738760 \h </w:instrText>
        </w:r>
        <w:r>
          <w:rPr>
            <w:noProof/>
            <w:webHidden/>
          </w:rPr>
        </w:r>
        <w:r>
          <w:rPr>
            <w:noProof/>
            <w:webHidden/>
          </w:rPr>
          <w:fldChar w:fldCharType="separate"/>
        </w:r>
        <w:r w:rsidR="001B29F2">
          <w:rPr>
            <w:noProof/>
            <w:webHidden/>
          </w:rPr>
          <w:t>15</w:t>
        </w:r>
        <w:r>
          <w:rPr>
            <w:noProof/>
            <w:webHidden/>
          </w:rPr>
          <w:fldChar w:fldCharType="end"/>
        </w:r>
      </w:hyperlink>
    </w:p>
    <w:p w14:paraId="38896DC0" w14:textId="57B7108B" w:rsidR="002074FD" w:rsidRDefault="002074FD">
      <w:pPr>
        <w:pStyle w:val="TableofFigures"/>
        <w:tabs>
          <w:tab w:val="right" w:leader="dot" w:pos="9628"/>
        </w:tabs>
        <w:rPr>
          <w:noProof/>
          <w:kern w:val="2"/>
          <w:sz w:val="24"/>
          <w:szCs w:val="24"/>
          <w:lang w:val="hr-HR" w:eastAsia="hr-HR"/>
          <w14:ligatures w14:val="standardContextual"/>
        </w:rPr>
      </w:pPr>
      <w:hyperlink w:anchor="_Toc227738761" w:history="1">
        <w:r w:rsidRPr="00DC01AE">
          <w:rPr>
            <w:rStyle w:val="Hyperlink"/>
            <w:noProof/>
          </w:rPr>
          <w:t xml:space="preserve">Video 4. What us double Materiality? </w:t>
        </w:r>
        <w:r>
          <w:rPr>
            <w:noProof/>
            <w:webHidden/>
          </w:rPr>
          <w:tab/>
        </w:r>
        <w:r>
          <w:rPr>
            <w:noProof/>
            <w:webHidden/>
          </w:rPr>
          <w:fldChar w:fldCharType="begin"/>
        </w:r>
        <w:r>
          <w:rPr>
            <w:noProof/>
            <w:webHidden/>
          </w:rPr>
          <w:instrText xml:space="preserve"> PAGEREF _Toc227738761 \h </w:instrText>
        </w:r>
        <w:r>
          <w:rPr>
            <w:noProof/>
            <w:webHidden/>
          </w:rPr>
        </w:r>
        <w:r>
          <w:rPr>
            <w:noProof/>
            <w:webHidden/>
          </w:rPr>
          <w:fldChar w:fldCharType="separate"/>
        </w:r>
        <w:r w:rsidR="001B29F2">
          <w:rPr>
            <w:noProof/>
            <w:webHidden/>
          </w:rPr>
          <w:t>20</w:t>
        </w:r>
        <w:r>
          <w:rPr>
            <w:noProof/>
            <w:webHidden/>
          </w:rPr>
          <w:fldChar w:fldCharType="end"/>
        </w:r>
      </w:hyperlink>
    </w:p>
    <w:p w14:paraId="0B442676" w14:textId="6CB54F67" w:rsidR="002074FD" w:rsidRDefault="002074FD">
      <w:pPr>
        <w:pStyle w:val="TableofFigures"/>
        <w:tabs>
          <w:tab w:val="right" w:leader="dot" w:pos="9628"/>
        </w:tabs>
        <w:rPr>
          <w:noProof/>
          <w:kern w:val="2"/>
          <w:sz w:val="24"/>
          <w:szCs w:val="24"/>
          <w:lang w:val="hr-HR" w:eastAsia="hr-HR"/>
          <w14:ligatures w14:val="standardContextual"/>
        </w:rPr>
      </w:pPr>
      <w:hyperlink w:anchor="_Toc227738762" w:history="1">
        <w:r w:rsidRPr="00DC01AE">
          <w:rPr>
            <w:rStyle w:val="Hyperlink"/>
            <w:noProof/>
          </w:rPr>
          <w:t xml:space="preserve">Video 5. What is XBRL? </w:t>
        </w:r>
        <w:r>
          <w:rPr>
            <w:noProof/>
            <w:webHidden/>
          </w:rPr>
          <w:tab/>
        </w:r>
        <w:r>
          <w:rPr>
            <w:noProof/>
            <w:webHidden/>
          </w:rPr>
          <w:fldChar w:fldCharType="begin"/>
        </w:r>
        <w:r>
          <w:rPr>
            <w:noProof/>
            <w:webHidden/>
          </w:rPr>
          <w:instrText xml:space="preserve"> PAGEREF _Toc227738762 \h </w:instrText>
        </w:r>
        <w:r>
          <w:rPr>
            <w:noProof/>
            <w:webHidden/>
          </w:rPr>
        </w:r>
        <w:r>
          <w:rPr>
            <w:noProof/>
            <w:webHidden/>
          </w:rPr>
          <w:fldChar w:fldCharType="separate"/>
        </w:r>
        <w:r w:rsidR="001B29F2">
          <w:rPr>
            <w:noProof/>
            <w:webHidden/>
          </w:rPr>
          <w:t>24</w:t>
        </w:r>
        <w:r>
          <w:rPr>
            <w:noProof/>
            <w:webHidden/>
          </w:rPr>
          <w:fldChar w:fldCharType="end"/>
        </w:r>
      </w:hyperlink>
    </w:p>
    <w:p w14:paraId="508429D3" w14:textId="5056C57A" w:rsidR="002074FD" w:rsidRDefault="002074FD">
      <w:pPr>
        <w:pStyle w:val="TableofFigures"/>
        <w:tabs>
          <w:tab w:val="right" w:leader="dot" w:pos="9628"/>
        </w:tabs>
        <w:rPr>
          <w:noProof/>
          <w:kern w:val="2"/>
          <w:sz w:val="24"/>
          <w:szCs w:val="24"/>
          <w:lang w:val="hr-HR" w:eastAsia="hr-HR"/>
          <w14:ligatures w14:val="standardContextual"/>
        </w:rPr>
      </w:pPr>
      <w:hyperlink w:anchor="_Toc227738763" w:history="1">
        <w:r w:rsidRPr="00DC01AE">
          <w:rPr>
            <w:rStyle w:val="Hyperlink"/>
            <w:noProof/>
          </w:rPr>
          <w:t xml:space="preserve">Video 6. What is data management? </w:t>
        </w:r>
        <w:r>
          <w:rPr>
            <w:noProof/>
            <w:webHidden/>
          </w:rPr>
          <w:tab/>
        </w:r>
        <w:r>
          <w:rPr>
            <w:noProof/>
            <w:webHidden/>
          </w:rPr>
          <w:fldChar w:fldCharType="begin"/>
        </w:r>
        <w:r>
          <w:rPr>
            <w:noProof/>
            <w:webHidden/>
          </w:rPr>
          <w:instrText xml:space="preserve"> PAGEREF _Toc227738763 \h </w:instrText>
        </w:r>
        <w:r>
          <w:rPr>
            <w:noProof/>
            <w:webHidden/>
          </w:rPr>
        </w:r>
        <w:r>
          <w:rPr>
            <w:noProof/>
            <w:webHidden/>
          </w:rPr>
          <w:fldChar w:fldCharType="separate"/>
        </w:r>
        <w:r w:rsidR="001B29F2">
          <w:rPr>
            <w:noProof/>
            <w:webHidden/>
          </w:rPr>
          <w:t>32</w:t>
        </w:r>
        <w:r>
          <w:rPr>
            <w:noProof/>
            <w:webHidden/>
          </w:rPr>
          <w:fldChar w:fldCharType="end"/>
        </w:r>
      </w:hyperlink>
    </w:p>
    <w:p w14:paraId="79455CE4" w14:textId="32004015" w:rsidR="002074FD" w:rsidRDefault="002074FD">
      <w:pPr>
        <w:pStyle w:val="TableofFigures"/>
        <w:tabs>
          <w:tab w:val="right" w:leader="dot" w:pos="9628"/>
        </w:tabs>
        <w:rPr>
          <w:noProof/>
          <w:kern w:val="2"/>
          <w:sz w:val="24"/>
          <w:szCs w:val="24"/>
          <w:lang w:val="hr-HR" w:eastAsia="hr-HR"/>
          <w14:ligatures w14:val="standardContextual"/>
        </w:rPr>
      </w:pPr>
      <w:hyperlink w:anchor="_Toc227738764" w:history="1">
        <w:r w:rsidRPr="00DC01AE">
          <w:rPr>
            <w:rStyle w:val="Hyperlink"/>
            <w:noProof/>
          </w:rPr>
          <w:t xml:space="preserve">Video 7. Data Governance </w:t>
        </w:r>
        <w:r>
          <w:rPr>
            <w:noProof/>
            <w:webHidden/>
          </w:rPr>
          <w:tab/>
        </w:r>
        <w:r>
          <w:rPr>
            <w:noProof/>
            <w:webHidden/>
          </w:rPr>
          <w:fldChar w:fldCharType="begin"/>
        </w:r>
        <w:r>
          <w:rPr>
            <w:noProof/>
            <w:webHidden/>
          </w:rPr>
          <w:instrText xml:space="preserve"> PAGEREF _Toc227738764 \h </w:instrText>
        </w:r>
        <w:r>
          <w:rPr>
            <w:noProof/>
            <w:webHidden/>
          </w:rPr>
        </w:r>
        <w:r>
          <w:rPr>
            <w:noProof/>
            <w:webHidden/>
          </w:rPr>
          <w:fldChar w:fldCharType="separate"/>
        </w:r>
        <w:r w:rsidR="001B29F2">
          <w:rPr>
            <w:noProof/>
            <w:webHidden/>
          </w:rPr>
          <w:t>34</w:t>
        </w:r>
        <w:r>
          <w:rPr>
            <w:noProof/>
            <w:webHidden/>
          </w:rPr>
          <w:fldChar w:fldCharType="end"/>
        </w:r>
      </w:hyperlink>
    </w:p>
    <w:p w14:paraId="75097D7A" w14:textId="7D46DDC9" w:rsidR="002074FD" w:rsidRDefault="002074FD">
      <w:pPr>
        <w:pStyle w:val="TableofFigures"/>
        <w:tabs>
          <w:tab w:val="right" w:leader="dot" w:pos="9628"/>
        </w:tabs>
        <w:rPr>
          <w:noProof/>
          <w:kern w:val="2"/>
          <w:sz w:val="24"/>
          <w:szCs w:val="24"/>
          <w:lang w:val="hr-HR" w:eastAsia="hr-HR"/>
          <w14:ligatures w14:val="standardContextual"/>
        </w:rPr>
      </w:pPr>
      <w:hyperlink w:anchor="_Toc227738765" w:history="1">
        <w:r w:rsidRPr="00DC01AE">
          <w:rPr>
            <w:rStyle w:val="Hyperlink"/>
            <w:noProof/>
          </w:rPr>
          <w:t xml:space="preserve">Video 8. </w:t>
        </w:r>
        <w:r w:rsidRPr="00DC01AE">
          <w:rPr>
            <w:rStyle w:val="Hyperlink"/>
            <w:noProof/>
            <w:lang w:val="et-EE"/>
          </w:rPr>
          <w:t>Design and data visualization</w:t>
        </w:r>
        <w:r>
          <w:rPr>
            <w:noProof/>
            <w:webHidden/>
          </w:rPr>
          <w:tab/>
        </w:r>
        <w:r>
          <w:rPr>
            <w:noProof/>
            <w:webHidden/>
          </w:rPr>
          <w:fldChar w:fldCharType="begin"/>
        </w:r>
        <w:r>
          <w:rPr>
            <w:noProof/>
            <w:webHidden/>
          </w:rPr>
          <w:instrText xml:space="preserve"> PAGEREF _Toc227738765 \h </w:instrText>
        </w:r>
        <w:r>
          <w:rPr>
            <w:noProof/>
            <w:webHidden/>
          </w:rPr>
        </w:r>
        <w:r>
          <w:rPr>
            <w:noProof/>
            <w:webHidden/>
          </w:rPr>
          <w:fldChar w:fldCharType="separate"/>
        </w:r>
        <w:r w:rsidR="001B29F2">
          <w:rPr>
            <w:noProof/>
            <w:webHidden/>
          </w:rPr>
          <w:t>54</w:t>
        </w:r>
        <w:r>
          <w:rPr>
            <w:noProof/>
            <w:webHidden/>
          </w:rPr>
          <w:fldChar w:fldCharType="end"/>
        </w:r>
      </w:hyperlink>
    </w:p>
    <w:p w14:paraId="081FABD5" w14:textId="7000F1A4" w:rsidR="002074FD" w:rsidRDefault="002074FD">
      <w:pPr>
        <w:pStyle w:val="TableofFigures"/>
        <w:tabs>
          <w:tab w:val="right" w:leader="dot" w:pos="9628"/>
        </w:tabs>
        <w:rPr>
          <w:noProof/>
          <w:kern w:val="2"/>
          <w:sz w:val="24"/>
          <w:szCs w:val="24"/>
          <w:lang w:val="hr-HR" w:eastAsia="hr-HR"/>
          <w14:ligatures w14:val="standardContextual"/>
        </w:rPr>
      </w:pPr>
      <w:hyperlink w:anchor="_Toc227738766" w:history="1">
        <w:r w:rsidRPr="00DC01AE">
          <w:rPr>
            <w:rStyle w:val="Hyperlink"/>
            <w:noProof/>
          </w:rPr>
          <w:t xml:space="preserve">Video 9. </w:t>
        </w:r>
        <w:r w:rsidRPr="00DC01AE">
          <w:rPr>
            <w:rStyle w:val="Hyperlink"/>
            <w:noProof/>
            <w:lang w:val="et-EE"/>
          </w:rPr>
          <w:t xml:space="preserve">Building a good data visualization </w:t>
        </w:r>
        <w:r>
          <w:rPr>
            <w:noProof/>
            <w:webHidden/>
          </w:rPr>
          <w:tab/>
        </w:r>
        <w:r>
          <w:rPr>
            <w:noProof/>
            <w:webHidden/>
          </w:rPr>
          <w:fldChar w:fldCharType="begin"/>
        </w:r>
        <w:r>
          <w:rPr>
            <w:noProof/>
            <w:webHidden/>
          </w:rPr>
          <w:instrText xml:space="preserve"> PAGEREF _Toc227738766 \h </w:instrText>
        </w:r>
        <w:r>
          <w:rPr>
            <w:noProof/>
            <w:webHidden/>
          </w:rPr>
        </w:r>
        <w:r>
          <w:rPr>
            <w:noProof/>
            <w:webHidden/>
          </w:rPr>
          <w:fldChar w:fldCharType="separate"/>
        </w:r>
        <w:r w:rsidR="001B29F2">
          <w:rPr>
            <w:noProof/>
            <w:webHidden/>
          </w:rPr>
          <w:t>60</w:t>
        </w:r>
        <w:r>
          <w:rPr>
            <w:noProof/>
            <w:webHidden/>
          </w:rPr>
          <w:fldChar w:fldCharType="end"/>
        </w:r>
      </w:hyperlink>
    </w:p>
    <w:p w14:paraId="420FBD41" w14:textId="7E0841EB" w:rsidR="002074FD" w:rsidRDefault="002074FD">
      <w:pPr>
        <w:pStyle w:val="TableofFigures"/>
        <w:tabs>
          <w:tab w:val="right" w:leader="dot" w:pos="9628"/>
        </w:tabs>
        <w:rPr>
          <w:noProof/>
          <w:kern w:val="2"/>
          <w:sz w:val="24"/>
          <w:szCs w:val="24"/>
          <w:lang w:val="hr-HR" w:eastAsia="hr-HR"/>
          <w14:ligatures w14:val="standardContextual"/>
        </w:rPr>
      </w:pPr>
      <w:hyperlink w:anchor="_Toc227738767" w:history="1">
        <w:r w:rsidRPr="00DC01AE">
          <w:rPr>
            <w:rStyle w:val="Hyperlink"/>
            <w:noProof/>
          </w:rPr>
          <w:t xml:space="preserve">Video 10. </w:t>
        </w:r>
        <w:r w:rsidRPr="00DC01AE">
          <w:rPr>
            <w:rStyle w:val="Hyperlink"/>
            <w:noProof/>
            <w:lang w:val="en-US"/>
          </w:rPr>
          <w:t>Building an effective dashboard</w:t>
        </w:r>
        <w:r>
          <w:rPr>
            <w:noProof/>
            <w:webHidden/>
          </w:rPr>
          <w:tab/>
        </w:r>
        <w:r>
          <w:rPr>
            <w:noProof/>
            <w:webHidden/>
          </w:rPr>
          <w:fldChar w:fldCharType="begin"/>
        </w:r>
        <w:r>
          <w:rPr>
            <w:noProof/>
            <w:webHidden/>
          </w:rPr>
          <w:instrText xml:space="preserve"> PAGEREF _Toc227738767 \h </w:instrText>
        </w:r>
        <w:r>
          <w:rPr>
            <w:noProof/>
            <w:webHidden/>
          </w:rPr>
        </w:r>
        <w:r>
          <w:rPr>
            <w:noProof/>
            <w:webHidden/>
          </w:rPr>
          <w:fldChar w:fldCharType="separate"/>
        </w:r>
        <w:r w:rsidR="001B29F2">
          <w:rPr>
            <w:noProof/>
            <w:webHidden/>
          </w:rPr>
          <w:t>66</w:t>
        </w:r>
        <w:r>
          <w:rPr>
            <w:noProof/>
            <w:webHidden/>
          </w:rPr>
          <w:fldChar w:fldCharType="end"/>
        </w:r>
      </w:hyperlink>
    </w:p>
    <w:p w14:paraId="2C2D3B08" w14:textId="70DC4D43" w:rsidR="00BD0CF5" w:rsidRDefault="002074FD" w:rsidP="00413340">
      <w:pPr>
        <w:spacing w:line="240" w:lineRule="auto"/>
        <w:rPr>
          <w:rFonts w:asciiTheme="majorHAnsi" w:hAnsiTheme="majorHAnsi"/>
          <w:b/>
          <w:bCs/>
          <w:color w:val="00AC4E" w:themeColor="accent1"/>
          <w:sz w:val="40"/>
          <w:szCs w:val="40"/>
        </w:rPr>
      </w:pPr>
      <w:r>
        <w:rPr>
          <w:rFonts w:asciiTheme="majorHAnsi" w:hAnsiTheme="majorHAnsi"/>
          <w:b/>
          <w:bCs/>
          <w:color w:val="00AC4E" w:themeColor="accent1"/>
          <w:sz w:val="40"/>
          <w:szCs w:val="40"/>
        </w:rPr>
        <w:fldChar w:fldCharType="end"/>
      </w:r>
    </w:p>
    <w:p w14:paraId="343F7376" w14:textId="77777777" w:rsidR="00900767" w:rsidRDefault="00900767" w:rsidP="00413340">
      <w:pPr>
        <w:spacing w:line="240" w:lineRule="auto"/>
        <w:rPr>
          <w:rFonts w:asciiTheme="majorHAnsi" w:hAnsiTheme="majorHAnsi"/>
          <w:b/>
          <w:bCs/>
          <w:color w:val="00AC4E" w:themeColor="accent1"/>
          <w:sz w:val="40"/>
          <w:szCs w:val="40"/>
        </w:rPr>
      </w:pPr>
    </w:p>
    <w:p w14:paraId="2921B92D" w14:textId="77777777" w:rsidR="00900767" w:rsidRPr="00EF521E" w:rsidRDefault="00900767" w:rsidP="00413340">
      <w:pPr>
        <w:spacing w:line="240" w:lineRule="auto"/>
      </w:pPr>
    </w:p>
    <w:p w14:paraId="0DC25F74" w14:textId="77777777" w:rsidR="0050484C" w:rsidRPr="00EF521E" w:rsidRDefault="0050484C" w:rsidP="00413340">
      <w:pPr>
        <w:spacing w:line="240" w:lineRule="auto"/>
      </w:pPr>
    </w:p>
    <w:p w14:paraId="1A31FF9C" w14:textId="77777777" w:rsidR="0050484C" w:rsidRDefault="0050484C" w:rsidP="00413340">
      <w:pPr>
        <w:spacing w:line="240" w:lineRule="auto"/>
      </w:pPr>
    </w:p>
    <w:p w14:paraId="49608447" w14:textId="77777777" w:rsidR="001B29F2" w:rsidRDefault="001B29F2" w:rsidP="00413340">
      <w:pPr>
        <w:spacing w:line="240" w:lineRule="auto"/>
      </w:pPr>
    </w:p>
    <w:p w14:paraId="4C87E238" w14:textId="77777777" w:rsidR="001B29F2" w:rsidRDefault="001B29F2" w:rsidP="00413340">
      <w:pPr>
        <w:spacing w:line="240" w:lineRule="auto"/>
      </w:pPr>
    </w:p>
    <w:p w14:paraId="1D988B1F" w14:textId="77777777" w:rsidR="001B29F2" w:rsidRDefault="001B29F2" w:rsidP="00413340">
      <w:pPr>
        <w:spacing w:line="240" w:lineRule="auto"/>
      </w:pPr>
    </w:p>
    <w:p w14:paraId="17347971" w14:textId="77777777" w:rsidR="001B29F2" w:rsidRDefault="001B29F2" w:rsidP="00413340">
      <w:pPr>
        <w:spacing w:line="240" w:lineRule="auto"/>
      </w:pPr>
    </w:p>
    <w:p w14:paraId="1A6CF412" w14:textId="77777777" w:rsidR="001B29F2" w:rsidRDefault="001B29F2" w:rsidP="00413340">
      <w:pPr>
        <w:spacing w:line="240" w:lineRule="auto"/>
      </w:pPr>
    </w:p>
    <w:p w14:paraId="792A9710" w14:textId="77777777" w:rsidR="001B29F2" w:rsidRDefault="001B29F2" w:rsidP="00413340">
      <w:pPr>
        <w:spacing w:line="240" w:lineRule="auto"/>
      </w:pPr>
    </w:p>
    <w:p w14:paraId="76338282" w14:textId="77777777" w:rsidR="001B29F2" w:rsidRDefault="001B29F2" w:rsidP="00413340">
      <w:pPr>
        <w:spacing w:line="240" w:lineRule="auto"/>
      </w:pPr>
    </w:p>
    <w:p w14:paraId="1866B370" w14:textId="77777777" w:rsidR="001B29F2" w:rsidRDefault="001B29F2" w:rsidP="00413340">
      <w:pPr>
        <w:spacing w:line="240" w:lineRule="auto"/>
      </w:pPr>
    </w:p>
    <w:p w14:paraId="60E0270D" w14:textId="77777777" w:rsidR="001B29F2" w:rsidRDefault="001B29F2" w:rsidP="00413340">
      <w:pPr>
        <w:spacing w:line="240" w:lineRule="auto"/>
      </w:pPr>
    </w:p>
    <w:p w14:paraId="4BAD51C8" w14:textId="77777777" w:rsidR="001B29F2" w:rsidRDefault="001B29F2" w:rsidP="00413340">
      <w:pPr>
        <w:spacing w:line="240" w:lineRule="auto"/>
      </w:pPr>
    </w:p>
    <w:p w14:paraId="006F2A38" w14:textId="77777777" w:rsidR="002074FD" w:rsidRPr="00EF521E" w:rsidRDefault="002074FD" w:rsidP="00413340">
      <w:pPr>
        <w:spacing w:line="240" w:lineRule="auto"/>
      </w:pPr>
    </w:p>
    <w:p w14:paraId="6929F272" w14:textId="77777777" w:rsidR="0050484C" w:rsidRPr="00EF521E" w:rsidRDefault="0050484C" w:rsidP="00413340">
      <w:pPr>
        <w:spacing w:line="240" w:lineRule="auto"/>
      </w:pPr>
    </w:p>
    <w:p w14:paraId="5B688A81" w14:textId="2F0BE1BF" w:rsidR="00BD0CF5" w:rsidRPr="00EF521E" w:rsidRDefault="00BD0CF5" w:rsidP="003A5F86">
      <w:pPr>
        <w:pStyle w:val="Heading1"/>
        <w:numPr>
          <w:ilvl w:val="0"/>
          <w:numId w:val="0"/>
        </w:numPr>
        <w:ind w:left="360" w:hanging="360"/>
        <w:rPr>
          <w:sz w:val="40"/>
          <w:szCs w:val="40"/>
        </w:rPr>
      </w:pPr>
      <w:bookmarkStart w:id="1" w:name="_Toc227485157"/>
      <w:r w:rsidRPr="00EF521E">
        <w:rPr>
          <w:sz w:val="40"/>
          <w:szCs w:val="40"/>
        </w:rPr>
        <w:lastRenderedPageBreak/>
        <w:t xml:space="preserve">Introduction to Upskilling Curricula: </w:t>
      </w:r>
      <w:r w:rsidR="0050484C" w:rsidRPr="00EF521E">
        <w:rPr>
          <w:sz w:val="40"/>
          <w:szCs w:val="40"/>
        </w:rPr>
        <w:t>Sustainability Data Essentials</w:t>
      </w:r>
      <w:bookmarkEnd w:id="1"/>
      <w:r w:rsidR="0050484C" w:rsidRPr="00EF521E">
        <w:rPr>
          <w:sz w:val="40"/>
          <w:szCs w:val="40"/>
        </w:rPr>
        <w:t xml:space="preserve"> </w:t>
      </w:r>
    </w:p>
    <w:tbl>
      <w:tblPr>
        <w:tblStyle w:val="TableGrid"/>
        <w:tblW w:w="0" w:type="auto"/>
        <w:tblLook w:val="04A0" w:firstRow="1" w:lastRow="0" w:firstColumn="1" w:lastColumn="0" w:noHBand="0" w:noVBand="1"/>
      </w:tblPr>
      <w:tblGrid>
        <w:gridCol w:w="9628"/>
      </w:tblGrid>
      <w:tr w:rsidR="001B6962" w:rsidRPr="00EF521E" w14:paraId="45DEAF83" w14:textId="77777777" w:rsidTr="00BD0CF5">
        <w:trPr>
          <w:trHeight w:val="422"/>
        </w:trPr>
        <w:tc>
          <w:tcPr>
            <w:tcW w:w="9628" w:type="dxa"/>
            <w:shd w:val="clear" w:color="auto" w:fill="D9D9D9" w:themeFill="background1" w:themeFillShade="D9"/>
          </w:tcPr>
          <w:p w14:paraId="51E47EBB" w14:textId="7888F315" w:rsidR="001B6962" w:rsidRPr="00EF521E" w:rsidRDefault="00FF0F54" w:rsidP="00413340">
            <w:pPr>
              <w:rPr>
                <w:b/>
                <w:bCs/>
              </w:rPr>
            </w:pPr>
            <w:bookmarkStart w:id="2" w:name="_Toc227159290"/>
            <w:r w:rsidRPr="00EF521E">
              <w:rPr>
                <w:b/>
                <w:bCs/>
              </w:rPr>
              <w:t>Overview</w:t>
            </w:r>
            <w:r w:rsidR="00BD0CF5" w:rsidRPr="00EF521E">
              <w:rPr>
                <w:b/>
                <w:bCs/>
              </w:rPr>
              <w:t>:</w:t>
            </w:r>
            <w:bookmarkEnd w:id="2"/>
          </w:p>
        </w:tc>
      </w:tr>
      <w:tr w:rsidR="001B6962" w:rsidRPr="00EF521E" w14:paraId="1E83A920" w14:textId="77777777" w:rsidTr="006203D4">
        <w:tc>
          <w:tcPr>
            <w:tcW w:w="9628" w:type="dxa"/>
          </w:tcPr>
          <w:p w14:paraId="0145CA1A" w14:textId="77777777" w:rsidR="00413340" w:rsidRPr="00EF521E" w:rsidRDefault="00413340" w:rsidP="00413340">
            <w:pPr>
              <w:jc w:val="both"/>
              <w:rPr>
                <w:rFonts w:cstheme="minorHAnsi"/>
                <w:bCs/>
                <w:szCs w:val="20"/>
              </w:rPr>
            </w:pPr>
            <w:r w:rsidRPr="00EF521E">
              <w:rPr>
                <w:rFonts w:cstheme="minorHAnsi"/>
                <w:bCs/>
                <w:szCs w:val="20"/>
              </w:rPr>
              <w:t>The Sustainability Data Essentials upskilling curriculum focuses on developing practical competencies in managing, analysing, and communicating sustainability (ESG) data in line with modern reporting requirements. It is designed for EQF Level 6 learners, including analysts, sustainability coordinators, and reporting specialists who require structured data competences.</w:t>
            </w:r>
          </w:p>
          <w:p w14:paraId="6D6702DC" w14:textId="77777777" w:rsidR="00413340" w:rsidRPr="00EF521E" w:rsidRDefault="00413340" w:rsidP="00413340">
            <w:pPr>
              <w:jc w:val="both"/>
              <w:rPr>
                <w:rFonts w:cstheme="minorHAnsi"/>
                <w:bCs/>
                <w:szCs w:val="20"/>
              </w:rPr>
            </w:pPr>
          </w:p>
          <w:p w14:paraId="23E5B3B3" w14:textId="77777777" w:rsidR="00413340" w:rsidRPr="00EF521E" w:rsidRDefault="00413340" w:rsidP="00413340">
            <w:pPr>
              <w:jc w:val="both"/>
              <w:rPr>
                <w:rFonts w:cstheme="minorHAnsi"/>
                <w:bCs/>
                <w:szCs w:val="20"/>
              </w:rPr>
            </w:pPr>
            <w:r w:rsidRPr="00EF521E">
              <w:rPr>
                <w:rFonts w:cstheme="minorHAnsi"/>
                <w:bCs/>
                <w:szCs w:val="20"/>
              </w:rPr>
              <w:t>By completing the programme, learners will be able to analyse ESG metrics, implement data collection workflows, ensure data quality, and design interactive dashboards for diverse stakeholders. The learning journey is structured into Modules and Topics that progressively build knowledge and skills. Each topic includes learning content, reflection points, micro-activities, and self-check quizzes to support understanding and continuous assessment. Modules are further supported by Face-to-Face (F2F) activities that enable discussion, collaboration, and applied problem-solving.</w:t>
            </w:r>
          </w:p>
          <w:p w14:paraId="3E2BB01F" w14:textId="77777777" w:rsidR="00413340" w:rsidRPr="00EF521E" w:rsidRDefault="00413340" w:rsidP="00413340">
            <w:pPr>
              <w:jc w:val="both"/>
              <w:rPr>
                <w:rFonts w:cstheme="minorHAnsi"/>
                <w:bCs/>
                <w:szCs w:val="20"/>
              </w:rPr>
            </w:pPr>
          </w:p>
          <w:p w14:paraId="0B001DCB" w14:textId="2D1063CA" w:rsidR="001B6962" w:rsidRPr="00EF521E" w:rsidRDefault="00413340" w:rsidP="00413340">
            <w:pPr>
              <w:jc w:val="both"/>
              <w:rPr>
                <w:rFonts w:cstheme="minorHAnsi"/>
                <w:bCs/>
                <w:i/>
                <w:iCs/>
                <w:szCs w:val="20"/>
              </w:rPr>
            </w:pPr>
            <w:r w:rsidRPr="00EF521E">
              <w:rPr>
                <w:rFonts w:cstheme="minorHAnsi"/>
                <w:bCs/>
                <w:szCs w:val="20"/>
              </w:rPr>
              <w:t>Theory is consistently connected to practice through topic-level exercises, F2F sessions, and applied tasks. The programme culminates in a capstone project, where learners integrate their knowledge by developing a sustainability data solution, including dashboards, metadata documentation, and data quality assessment outputs.</w:t>
            </w:r>
          </w:p>
        </w:tc>
      </w:tr>
      <w:tr w:rsidR="001B6962" w:rsidRPr="00EF521E" w14:paraId="44BACF26" w14:textId="77777777" w:rsidTr="006203D4">
        <w:tc>
          <w:tcPr>
            <w:tcW w:w="9628" w:type="dxa"/>
            <w:shd w:val="clear" w:color="auto" w:fill="D9D9D9" w:themeFill="background1" w:themeFillShade="D9"/>
          </w:tcPr>
          <w:p w14:paraId="3BFBE2D4" w14:textId="77777777" w:rsidR="001B6962" w:rsidRPr="00EF521E" w:rsidRDefault="001B6962" w:rsidP="00413340">
            <w:pPr>
              <w:rPr>
                <w:rStyle w:val="ng-star-inserted"/>
                <w:rFonts w:cstheme="minorHAnsi"/>
                <w:b/>
                <w:bCs/>
                <w:color w:val="1A1C1E"/>
                <w:szCs w:val="20"/>
                <w:highlight w:val="lightGray"/>
                <w:shd w:val="clear" w:color="auto" w:fill="FFFFFF"/>
              </w:rPr>
            </w:pPr>
            <w:r w:rsidRPr="00EF521E">
              <w:rPr>
                <w:rStyle w:val="ng-star-inserted"/>
                <w:rFonts w:eastAsia="Arial" w:cstheme="minorHAnsi"/>
                <w:b/>
                <w:bCs/>
                <w:color w:val="1A1C1E"/>
                <w:szCs w:val="20"/>
                <w:highlight w:val="lightGray"/>
                <w:shd w:val="clear" w:color="auto" w:fill="FFFFFF"/>
              </w:rPr>
              <w:t>Learning Outcomes (LO) for this UC:</w:t>
            </w:r>
          </w:p>
          <w:p w14:paraId="4939AD51" w14:textId="77777777" w:rsidR="001B6962" w:rsidRPr="00EF521E" w:rsidRDefault="001B6962" w:rsidP="00413340">
            <w:pPr>
              <w:rPr>
                <w:rFonts w:cstheme="minorHAnsi"/>
                <w:i/>
                <w:iCs/>
                <w:szCs w:val="20"/>
                <w:highlight w:val="lightGray"/>
              </w:rPr>
            </w:pPr>
            <w:r w:rsidRPr="00EF521E">
              <w:rPr>
                <w:rFonts w:eastAsia="Arial" w:cstheme="minorHAnsi"/>
                <w:i/>
                <w:iCs/>
                <w:szCs w:val="20"/>
                <w:highlight w:val="lightGray"/>
              </w:rPr>
              <w:t xml:space="preserve">The learner will be able to: </w:t>
            </w:r>
          </w:p>
        </w:tc>
      </w:tr>
      <w:tr w:rsidR="001B6962" w:rsidRPr="00EF521E" w14:paraId="38A6DA90" w14:textId="77777777" w:rsidTr="006203D4">
        <w:tc>
          <w:tcPr>
            <w:tcW w:w="9628" w:type="dxa"/>
          </w:tcPr>
          <w:p w14:paraId="50A87621" w14:textId="77777777"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Analyse ESG performance metrics across environmental, social, and governance dimensions.</w:t>
            </w:r>
          </w:p>
          <w:p w14:paraId="69C8B2BE" w14:textId="77777777"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Implement data collection workflows for sustainability reporting frameworks.</w:t>
            </w:r>
          </w:p>
          <w:p w14:paraId="537E0C4C" w14:textId="77777777"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Apply data quality assurance principles to sustainability datasets.</w:t>
            </w:r>
          </w:p>
          <w:p w14:paraId="25AAA151" w14:textId="5EE72B8B"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Know roles, tasks and parts of data governance and data management</w:t>
            </w:r>
          </w:p>
          <w:p w14:paraId="1DFB74DF" w14:textId="77777777"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Create meta-data documentation</w:t>
            </w:r>
          </w:p>
          <w:p w14:paraId="52BF5DB0" w14:textId="77777777" w:rsidR="00413340"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Design sustainability reporting dashboards using appropriate visualisation.</w:t>
            </w:r>
          </w:p>
          <w:p w14:paraId="0681B26E" w14:textId="770C9416" w:rsidR="001B6962" w:rsidRPr="00EF521E" w:rsidRDefault="00413340" w:rsidP="00413340">
            <w:pPr>
              <w:pStyle w:val="ListParagraph"/>
              <w:numPr>
                <w:ilvl w:val="0"/>
                <w:numId w:val="22"/>
              </w:numPr>
              <w:rPr>
                <w:rFonts w:eastAsia="Arial" w:cstheme="minorHAnsi"/>
                <w:szCs w:val="20"/>
              </w:rPr>
            </w:pPr>
            <w:r w:rsidRPr="00EF521E">
              <w:rPr>
                <w:rFonts w:eastAsia="Arial" w:cstheme="minorHAnsi"/>
                <w:szCs w:val="20"/>
              </w:rPr>
              <w:t>Create interactive data visualisations for diverse stakeholder audiences.</w:t>
            </w:r>
          </w:p>
        </w:tc>
      </w:tr>
      <w:tr w:rsidR="001B6962" w:rsidRPr="00EF521E" w14:paraId="4B7481AB" w14:textId="77777777" w:rsidTr="008A5A1A">
        <w:trPr>
          <w:trHeight w:val="300"/>
        </w:trPr>
        <w:tc>
          <w:tcPr>
            <w:tcW w:w="9628" w:type="dxa"/>
            <w:shd w:val="clear" w:color="auto" w:fill="D9D9D9" w:themeFill="background1" w:themeFillShade="D9"/>
          </w:tcPr>
          <w:p w14:paraId="741B8D6B" w14:textId="77777777" w:rsidR="001B6962" w:rsidRPr="00EF521E" w:rsidRDefault="001B6962" w:rsidP="00413340">
            <w:pPr>
              <w:rPr>
                <w:rFonts w:cstheme="minorHAnsi"/>
                <w:szCs w:val="20"/>
              </w:rPr>
            </w:pPr>
            <w:r w:rsidRPr="00EF521E">
              <w:rPr>
                <w:rFonts w:eastAsia="Arial" w:cstheme="minorHAnsi"/>
                <w:b/>
                <w:szCs w:val="20"/>
              </w:rPr>
              <w:t>Structure of the handbook</w:t>
            </w:r>
            <w:r w:rsidRPr="00EF521E">
              <w:rPr>
                <w:rFonts w:eastAsia="Arial" w:cstheme="minorHAnsi"/>
                <w:szCs w:val="20"/>
              </w:rPr>
              <w:t xml:space="preserve"> </w:t>
            </w:r>
          </w:p>
          <w:p w14:paraId="7417ADD4" w14:textId="17AABD85" w:rsidR="001B6962" w:rsidRPr="00EF521E" w:rsidRDefault="001B6962" w:rsidP="00413340">
            <w:pPr>
              <w:jc w:val="both"/>
              <w:rPr>
                <w:rFonts w:cstheme="minorHAnsi"/>
                <w:szCs w:val="20"/>
              </w:rPr>
            </w:pPr>
            <w:r w:rsidRPr="00EF521E">
              <w:rPr>
                <w:rFonts w:eastAsia="Arial" w:cstheme="minorHAnsi"/>
                <w:szCs w:val="20"/>
              </w:rPr>
              <w:t>This handbook is divided into Modules and topics.</w:t>
            </w:r>
          </w:p>
        </w:tc>
      </w:tr>
      <w:tr w:rsidR="001B6962" w:rsidRPr="00EF521E" w14:paraId="6A53641D" w14:textId="77777777" w:rsidTr="006203D4">
        <w:trPr>
          <w:trHeight w:val="300"/>
        </w:trPr>
        <w:tc>
          <w:tcPr>
            <w:tcW w:w="9628" w:type="dxa"/>
          </w:tcPr>
          <w:p w14:paraId="20F67559" w14:textId="591D6E7A" w:rsidR="00413340" w:rsidRPr="00EF521E" w:rsidRDefault="00413340" w:rsidP="00413340">
            <w:pPr>
              <w:rPr>
                <w:szCs w:val="20"/>
              </w:rPr>
            </w:pPr>
            <w:r w:rsidRPr="00EF521E">
              <w:rPr>
                <w:b/>
                <w:szCs w:val="20"/>
              </w:rPr>
              <w:t>Module 1:</w:t>
            </w:r>
            <w:r w:rsidRPr="00EF521E">
              <w:rPr>
                <w:szCs w:val="20"/>
              </w:rPr>
              <w:t xml:space="preserve"> Sustainability Reporting Fundamentals (20h)</w:t>
            </w:r>
          </w:p>
          <w:p w14:paraId="723314DC" w14:textId="0EBAD1F7" w:rsidR="00413340" w:rsidRPr="00EF521E" w:rsidRDefault="00413340" w:rsidP="00413340">
            <w:pPr>
              <w:rPr>
                <w:szCs w:val="20"/>
              </w:rPr>
            </w:pPr>
            <w:r w:rsidRPr="00EF521E">
              <w:rPr>
                <w:szCs w:val="20"/>
              </w:rPr>
              <w:t>T1.1. Sustainability Reporting Landscape and ESG Frameworks (CSRD, ESRS, GRI)</w:t>
            </w:r>
          </w:p>
          <w:p w14:paraId="2CB42F03" w14:textId="77777777" w:rsidR="00413340" w:rsidRPr="00EF521E" w:rsidRDefault="00413340" w:rsidP="00413340">
            <w:pPr>
              <w:rPr>
                <w:szCs w:val="20"/>
              </w:rPr>
            </w:pPr>
            <w:r w:rsidRPr="00EF521E">
              <w:rPr>
                <w:szCs w:val="20"/>
              </w:rPr>
              <w:t>T1.2. ESG Metrics and KPIs: What to Measure and Why</w:t>
            </w:r>
          </w:p>
          <w:p w14:paraId="177C5FEF" w14:textId="77777777" w:rsidR="00413340" w:rsidRPr="00EF521E" w:rsidRDefault="00413340" w:rsidP="00413340">
            <w:pPr>
              <w:rPr>
                <w:szCs w:val="20"/>
              </w:rPr>
            </w:pPr>
            <w:r w:rsidRPr="00EF521E">
              <w:rPr>
                <w:szCs w:val="20"/>
              </w:rPr>
              <w:t>T1.3. Double Materiality and Stakeholder Information Requirements</w:t>
            </w:r>
          </w:p>
          <w:p w14:paraId="1978FF23" w14:textId="30159A8B" w:rsidR="00413340" w:rsidRPr="00EF521E" w:rsidRDefault="00413340" w:rsidP="00413340">
            <w:pPr>
              <w:rPr>
                <w:szCs w:val="20"/>
              </w:rPr>
            </w:pPr>
            <w:r w:rsidRPr="00EF521E">
              <w:rPr>
                <w:szCs w:val="20"/>
              </w:rPr>
              <w:t>T1.4. Reporting Architecture and Sustainability Data Flows.</w:t>
            </w:r>
          </w:p>
          <w:p w14:paraId="0C1D3F98" w14:textId="77777777" w:rsidR="00413340" w:rsidRPr="00EF521E" w:rsidRDefault="00413340" w:rsidP="00413340">
            <w:pPr>
              <w:rPr>
                <w:szCs w:val="20"/>
              </w:rPr>
            </w:pPr>
          </w:p>
          <w:p w14:paraId="51E094BE" w14:textId="77777777" w:rsidR="00413340" w:rsidRPr="00EF521E" w:rsidRDefault="00413340" w:rsidP="00413340">
            <w:pPr>
              <w:rPr>
                <w:b/>
                <w:szCs w:val="20"/>
              </w:rPr>
            </w:pPr>
            <w:r w:rsidRPr="00EF521E">
              <w:rPr>
                <w:b/>
                <w:szCs w:val="20"/>
              </w:rPr>
              <w:t>Module 2:</w:t>
            </w:r>
            <w:r w:rsidRPr="00EF521E">
              <w:rPr>
                <w:szCs w:val="20"/>
              </w:rPr>
              <w:t xml:space="preserve"> Data Governance, Collection and Quality</w:t>
            </w:r>
          </w:p>
          <w:p w14:paraId="2FB70B40" w14:textId="77777777" w:rsidR="00413340" w:rsidRPr="00EF521E" w:rsidRDefault="00413340" w:rsidP="00413340">
            <w:pPr>
              <w:rPr>
                <w:szCs w:val="20"/>
              </w:rPr>
            </w:pPr>
            <w:r w:rsidRPr="00EF521E">
              <w:rPr>
                <w:szCs w:val="20"/>
              </w:rPr>
              <w:t>T2.1.  Data Governance and Management</w:t>
            </w:r>
          </w:p>
          <w:p w14:paraId="1C376201" w14:textId="77777777" w:rsidR="00413340" w:rsidRPr="00EF521E" w:rsidRDefault="00413340" w:rsidP="00413340">
            <w:pPr>
              <w:rPr>
                <w:szCs w:val="20"/>
              </w:rPr>
            </w:pPr>
            <w:r w:rsidRPr="00EF521E">
              <w:rPr>
                <w:szCs w:val="20"/>
              </w:rPr>
              <w:t>T2.2. Data Collection Workflows </w:t>
            </w:r>
          </w:p>
          <w:p w14:paraId="6A85A292" w14:textId="77777777" w:rsidR="00413340" w:rsidRPr="00EF521E" w:rsidRDefault="00413340" w:rsidP="00413340">
            <w:pPr>
              <w:rPr>
                <w:szCs w:val="20"/>
              </w:rPr>
            </w:pPr>
            <w:r w:rsidRPr="00EF521E">
              <w:rPr>
                <w:szCs w:val="20"/>
              </w:rPr>
              <w:t>T2.3. Data Quality Assurance and Data Cleaning.</w:t>
            </w:r>
          </w:p>
          <w:p w14:paraId="13B78C58" w14:textId="588E6A02" w:rsidR="00413340" w:rsidRPr="00EF521E" w:rsidRDefault="00413340" w:rsidP="00413340">
            <w:pPr>
              <w:rPr>
                <w:szCs w:val="20"/>
              </w:rPr>
            </w:pPr>
            <w:r w:rsidRPr="00EF521E">
              <w:rPr>
                <w:szCs w:val="20"/>
              </w:rPr>
              <w:t> </w:t>
            </w:r>
          </w:p>
          <w:p w14:paraId="038FC67E" w14:textId="77777777" w:rsidR="00413340" w:rsidRPr="00EF521E" w:rsidRDefault="00413340" w:rsidP="00413340">
            <w:pPr>
              <w:rPr>
                <w:b/>
                <w:szCs w:val="20"/>
              </w:rPr>
            </w:pPr>
            <w:r w:rsidRPr="00EF521E">
              <w:rPr>
                <w:b/>
                <w:szCs w:val="20"/>
              </w:rPr>
              <w:lastRenderedPageBreak/>
              <w:t>Module 3</w:t>
            </w:r>
            <w:r w:rsidRPr="00EF521E">
              <w:rPr>
                <w:szCs w:val="20"/>
              </w:rPr>
              <w:t>: Data Visualisation &amp; Dashboard Design</w:t>
            </w:r>
          </w:p>
          <w:p w14:paraId="3DBE7DEE" w14:textId="77777777" w:rsidR="00413340" w:rsidRPr="00EF521E" w:rsidRDefault="00413340" w:rsidP="00413340">
            <w:pPr>
              <w:rPr>
                <w:szCs w:val="20"/>
              </w:rPr>
            </w:pPr>
            <w:r w:rsidRPr="00EF521E">
              <w:rPr>
                <w:szCs w:val="20"/>
              </w:rPr>
              <w:t>T3.1. Principles of Effective Data Visualisation </w:t>
            </w:r>
          </w:p>
          <w:p w14:paraId="4FF1E91A" w14:textId="77777777" w:rsidR="00413340" w:rsidRPr="00EF521E" w:rsidRDefault="00413340" w:rsidP="00413340">
            <w:pPr>
              <w:rPr>
                <w:szCs w:val="20"/>
              </w:rPr>
            </w:pPr>
            <w:r w:rsidRPr="00EF521E">
              <w:rPr>
                <w:szCs w:val="20"/>
              </w:rPr>
              <w:t>T3.2. Designing ESG Dashboards: Structure and Information Architecture </w:t>
            </w:r>
          </w:p>
          <w:p w14:paraId="0E887BE4" w14:textId="77777777" w:rsidR="00413340" w:rsidRPr="00EF521E" w:rsidRDefault="00413340" w:rsidP="00413340">
            <w:pPr>
              <w:rPr>
                <w:szCs w:val="20"/>
              </w:rPr>
            </w:pPr>
            <w:r w:rsidRPr="00EF521E">
              <w:rPr>
                <w:szCs w:val="20"/>
              </w:rPr>
              <w:t>T3.3. Building Interactive Dashboards</w:t>
            </w:r>
          </w:p>
          <w:p w14:paraId="25058D75" w14:textId="77777777" w:rsidR="00413340" w:rsidRPr="00EF521E" w:rsidRDefault="00413340" w:rsidP="00413340">
            <w:pPr>
              <w:rPr>
                <w:szCs w:val="20"/>
              </w:rPr>
            </w:pPr>
            <w:r w:rsidRPr="00EF521E">
              <w:rPr>
                <w:szCs w:val="20"/>
              </w:rPr>
              <w:t>T3.4. Communicating Sustainability Performance to Stakeholders </w:t>
            </w:r>
          </w:p>
          <w:p w14:paraId="67E22932" w14:textId="2D6428A4" w:rsidR="001B6962" w:rsidRPr="00EF521E" w:rsidRDefault="00413340" w:rsidP="00413340">
            <w:pPr>
              <w:rPr>
                <w:szCs w:val="20"/>
              </w:rPr>
            </w:pPr>
            <w:r w:rsidRPr="00EF521E">
              <w:rPr>
                <w:szCs w:val="20"/>
              </w:rPr>
              <w:t>T3.5. Dashboard Evaluation and Performance Review.</w:t>
            </w:r>
          </w:p>
        </w:tc>
      </w:tr>
    </w:tbl>
    <w:p w14:paraId="579DB2D0" w14:textId="77777777" w:rsidR="00BD0CF5" w:rsidRDefault="00BD0CF5" w:rsidP="00413340">
      <w:pPr>
        <w:pStyle w:val="Heading1"/>
        <w:numPr>
          <w:ilvl w:val="0"/>
          <w:numId w:val="0"/>
        </w:numPr>
        <w:ind w:left="426" w:hanging="360"/>
        <w:rPr>
          <w:rFonts w:cstheme="minorHAnsi"/>
          <w:szCs w:val="20"/>
        </w:rPr>
      </w:pPr>
    </w:p>
    <w:p w14:paraId="4427AC61" w14:textId="77777777" w:rsidR="00900767" w:rsidRPr="00900767" w:rsidRDefault="00900767" w:rsidP="00900767"/>
    <w:p w14:paraId="1470626B" w14:textId="77777777" w:rsidR="00413340" w:rsidRPr="00EF521E" w:rsidRDefault="00413340" w:rsidP="00413340">
      <w:pPr>
        <w:spacing w:line="240" w:lineRule="auto"/>
      </w:pPr>
    </w:p>
    <w:p w14:paraId="510DE307" w14:textId="7D022B34" w:rsidR="00531361" w:rsidRPr="00EF521E" w:rsidRDefault="00531361" w:rsidP="00413340">
      <w:pPr>
        <w:pStyle w:val="Heading1"/>
        <w:numPr>
          <w:ilvl w:val="0"/>
          <w:numId w:val="0"/>
        </w:numPr>
        <w:ind w:left="426" w:hanging="360"/>
        <w:rPr>
          <w:sz w:val="40"/>
          <w:szCs w:val="40"/>
        </w:rPr>
      </w:pPr>
      <w:bookmarkStart w:id="3" w:name="_Toc227485158"/>
      <w:r w:rsidRPr="00EF521E">
        <w:rPr>
          <w:sz w:val="40"/>
          <w:szCs w:val="40"/>
        </w:rPr>
        <w:t xml:space="preserve">MODULE 1: </w:t>
      </w:r>
      <w:r w:rsidR="00413340" w:rsidRPr="00EF521E">
        <w:rPr>
          <w:sz w:val="40"/>
          <w:szCs w:val="40"/>
        </w:rPr>
        <w:t>Sustainability Reporting Fundamentals</w:t>
      </w:r>
      <w:bookmarkEnd w:id="3"/>
    </w:p>
    <w:tbl>
      <w:tblPr>
        <w:tblStyle w:val="TableGrid"/>
        <w:tblW w:w="0" w:type="auto"/>
        <w:tblLook w:val="04A0" w:firstRow="1" w:lastRow="0" w:firstColumn="1" w:lastColumn="0" w:noHBand="0" w:noVBand="1"/>
      </w:tblPr>
      <w:tblGrid>
        <w:gridCol w:w="9628"/>
      </w:tblGrid>
      <w:tr w:rsidR="00531361" w:rsidRPr="00EF521E" w14:paraId="358F2191" w14:textId="77777777" w:rsidTr="006203D4">
        <w:tc>
          <w:tcPr>
            <w:tcW w:w="9628" w:type="dxa"/>
            <w:shd w:val="clear" w:color="auto" w:fill="D9D9D9" w:themeFill="background1" w:themeFillShade="D9"/>
          </w:tcPr>
          <w:p w14:paraId="3FE4549F" w14:textId="410FDD52" w:rsidR="00531361" w:rsidRPr="00EF521E" w:rsidRDefault="00531361" w:rsidP="00413340">
            <w:pPr>
              <w:rPr>
                <w:rFonts w:cstheme="minorHAnsi"/>
                <w:b/>
                <w:bCs/>
                <w:szCs w:val="20"/>
              </w:rPr>
            </w:pPr>
            <w:r w:rsidRPr="00EF521E">
              <w:rPr>
                <w:rFonts w:cstheme="minorHAnsi"/>
                <w:b/>
                <w:bCs/>
                <w:szCs w:val="20"/>
              </w:rPr>
              <w:t xml:space="preserve">Module Overview: </w:t>
            </w:r>
          </w:p>
        </w:tc>
      </w:tr>
      <w:tr w:rsidR="00531361" w:rsidRPr="00EF521E" w14:paraId="6FEAAC2F" w14:textId="77777777" w:rsidTr="006203D4">
        <w:tc>
          <w:tcPr>
            <w:tcW w:w="9628" w:type="dxa"/>
          </w:tcPr>
          <w:p w14:paraId="4F078E4B" w14:textId="5EDE1DB9" w:rsidR="00531361" w:rsidRPr="00EF521E" w:rsidRDefault="00413340" w:rsidP="00413340">
            <w:pPr>
              <w:spacing w:after="160"/>
              <w:jc w:val="both"/>
              <w:rPr>
                <w:rFonts w:cstheme="minorHAnsi"/>
                <w:szCs w:val="20"/>
              </w:rPr>
            </w:pPr>
            <w:r w:rsidRPr="00EF521E">
              <w:rPr>
                <w:rFonts w:cstheme="minorHAnsi"/>
                <w:szCs w:val="20"/>
              </w:rPr>
              <w:t>This module establishes the foundational knowledge required to navigate the modern sustainability reporting landscape. It aims to transition learners from understanding voluntary reporting to mastering the rigorous, mandatory EU regulatory frameworks, emphasizing the critical role of high-quality data.</w:t>
            </w:r>
          </w:p>
        </w:tc>
      </w:tr>
      <w:tr w:rsidR="00531361" w:rsidRPr="00EF521E" w14:paraId="5CFCBA9C" w14:textId="77777777" w:rsidTr="006203D4">
        <w:tc>
          <w:tcPr>
            <w:tcW w:w="9628" w:type="dxa"/>
            <w:shd w:val="clear" w:color="auto" w:fill="D9D9D9" w:themeFill="background1" w:themeFillShade="D9"/>
          </w:tcPr>
          <w:p w14:paraId="18DC7838" w14:textId="7F9D4D4A" w:rsidR="00531361" w:rsidRPr="00EF521E" w:rsidRDefault="00531361" w:rsidP="00413340">
            <w:pPr>
              <w:rPr>
                <w:rFonts w:cstheme="minorHAnsi"/>
                <w:szCs w:val="20"/>
              </w:rPr>
            </w:pPr>
            <w:r w:rsidRPr="00EF521E">
              <w:rPr>
                <w:rFonts w:cstheme="minorHAnsi"/>
                <w:b/>
                <w:bCs/>
                <w:szCs w:val="20"/>
              </w:rPr>
              <w:t>Module learning outcomes:</w:t>
            </w:r>
            <w:r w:rsidRPr="00EF521E">
              <w:rPr>
                <w:rFonts w:cstheme="minorHAnsi"/>
                <w:szCs w:val="20"/>
              </w:rPr>
              <w:t xml:space="preserve"> </w:t>
            </w:r>
          </w:p>
        </w:tc>
      </w:tr>
      <w:tr w:rsidR="00531361" w:rsidRPr="00EF521E" w14:paraId="38BDC390" w14:textId="77777777" w:rsidTr="006203D4">
        <w:tc>
          <w:tcPr>
            <w:tcW w:w="9628" w:type="dxa"/>
          </w:tcPr>
          <w:p w14:paraId="3C81F96E" w14:textId="77777777" w:rsidR="00413340" w:rsidRPr="00EF521E" w:rsidRDefault="00413340" w:rsidP="00413340">
            <w:pPr>
              <w:pStyle w:val="ListParagraph"/>
              <w:numPr>
                <w:ilvl w:val="0"/>
                <w:numId w:val="96"/>
              </w:numPr>
              <w:jc w:val="both"/>
              <w:rPr>
                <w:rFonts w:cstheme="minorHAnsi"/>
                <w:szCs w:val="20"/>
              </w:rPr>
            </w:pPr>
            <w:r w:rsidRPr="00EF521E">
              <w:rPr>
                <w:rFonts w:cstheme="minorHAnsi"/>
                <w:szCs w:val="20"/>
              </w:rPr>
              <w:t>A clear understanding of the interplay between CSRD, ESRS, and GRI.</w:t>
            </w:r>
          </w:p>
          <w:p w14:paraId="614AB392" w14:textId="77777777" w:rsidR="00413340" w:rsidRPr="00EF521E" w:rsidRDefault="00413340" w:rsidP="00413340">
            <w:pPr>
              <w:pStyle w:val="ListParagraph"/>
              <w:numPr>
                <w:ilvl w:val="0"/>
                <w:numId w:val="96"/>
              </w:numPr>
              <w:jc w:val="both"/>
              <w:rPr>
                <w:rFonts w:cstheme="minorHAnsi"/>
                <w:szCs w:val="20"/>
              </w:rPr>
            </w:pPr>
            <w:r w:rsidRPr="00EF521E">
              <w:rPr>
                <w:rFonts w:cstheme="minorHAnsi"/>
                <w:szCs w:val="20"/>
              </w:rPr>
              <w:t>The ability to define and categorize ESG metrics across environmental, social, and governance dimensions.</w:t>
            </w:r>
          </w:p>
          <w:p w14:paraId="09D7D43D" w14:textId="77777777" w:rsidR="00413340" w:rsidRPr="00EF521E" w:rsidRDefault="00413340" w:rsidP="00413340">
            <w:pPr>
              <w:pStyle w:val="ListParagraph"/>
              <w:numPr>
                <w:ilvl w:val="0"/>
                <w:numId w:val="96"/>
              </w:numPr>
              <w:jc w:val="both"/>
              <w:rPr>
                <w:rFonts w:cstheme="minorHAnsi"/>
                <w:szCs w:val="20"/>
              </w:rPr>
            </w:pPr>
            <w:r w:rsidRPr="00EF521E">
              <w:rPr>
                <w:rFonts w:cstheme="minorHAnsi"/>
                <w:szCs w:val="20"/>
              </w:rPr>
              <w:t>Practical knowledge of the Double Materiality assessment process.</w:t>
            </w:r>
          </w:p>
          <w:p w14:paraId="7B20E9FF" w14:textId="37F5E6BA" w:rsidR="00531361" w:rsidRPr="00EF521E" w:rsidRDefault="00413340" w:rsidP="00413340">
            <w:pPr>
              <w:pStyle w:val="ListParagraph"/>
              <w:numPr>
                <w:ilvl w:val="0"/>
                <w:numId w:val="96"/>
              </w:numPr>
              <w:jc w:val="both"/>
              <w:rPr>
                <w:rFonts w:cstheme="minorHAnsi"/>
                <w:szCs w:val="20"/>
              </w:rPr>
            </w:pPr>
            <w:r w:rsidRPr="00EF521E">
              <w:rPr>
                <w:rFonts w:cstheme="minorHAnsi"/>
                <w:szCs w:val="20"/>
              </w:rPr>
              <w:t>Insight into the technical architecture required for robust sustainability data collection.</w:t>
            </w:r>
          </w:p>
        </w:tc>
      </w:tr>
      <w:tr w:rsidR="00AA562D" w:rsidRPr="00EF521E" w14:paraId="72119665" w14:textId="77777777" w:rsidTr="00AA562D">
        <w:tc>
          <w:tcPr>
            <w:tcW w:w="9628" w:type="dxa"/>
            <w:shd w:val="clear" w:color="auto" w:fill="D9D9D9" w:themeFill="background1" w:themeFillShade="D9"/>
          </w:tcPr>
          <w:p w14:paraId="17FA22B1" w14:textId="07CF620B" w:rsidR="00AA562D" w:rsidRPr="00EF521E" w:rsidRDefault="00AA562D" w:rsidP="00413340">
            <w:pPr>
              <w:rPr>
                <w:rFonts w:cstheme="minorHAnsi"/>
                <w:szCs w:val="20"/>
              </w:rPr>
            </w:pPr>
            <w:r w:rsidRPr="00EF521E">
              <w:rPr>
                <w:rFonts w:cstheme="minorHAnsi"/>
                <w:b/>
                <w:bCs/>
                <w:szCs w:val="20"/>
              </w:rPr>
              <w:t>Estimated workload</w:t>
            </w:r>
            <w:r w:rsidRPr="00EF521E">
              <w:rPr>
                <w:rFonts w:cstheme="minorHAnsi"/>
                <w:szCs w:val="20"/>
              </w:rPr>
              <w:t>:</w:t>
            </w:r>
          </w:p>
        </w:tc>
      </w:tr>
      <w:tr w:rsidR="00531361" w:rsidRPr="00EF521E" w14:paraId="05D2411C" w14:textId="77777777" w:rsidTr="006203D4">
        <w:tc>
          <w:tcPr>
            <w:tcW w:w="9628" w:type="dxa"/>
          </w:tcPr>
          <w:p w14:paraId="5CA6E837" w14:textId="77777777" w:rsidR="00413340" w:rsidRPr="00EF521E" w:rsidRDefault="00413340" w:rsidP="00413340">
            <w:pPr>
              <w:rPr>
                <w:rFonts w:cstheme="minorHAnsi"/>
                <w:szCs w:val="20"/>
              </w:rPr>
            </w:pPr>
            <w:r w:rsidRPr="00EF521E">
              <w:rPr>
                <w:rFonts w:cstheme="minorHAnsi"/>
                <w:szCs w:val="20"/>
              </w:rPr>
              <w:t>Lecture hours (F2F): 6 hours</w:t>
            </w:r>
          </w:p>
          <w:p w14:paraId="0A275ED9" w14:textId="77777777" w:rsidR="00413340" w:rsidRPr="00EF521E" w:rsidRDefault="00413340" w:rsidP="00413340">
            <w:pPr>
              <w:rPr>
                <w:rFonts w:cstheme="minorHAnsi"/>
                <w:szCs w:val="20"/>
              </w:rPr>
            </w:pPr>
            <w:r w:rsidRPr="00EF521E">
              <w:rPr>
                <w:rFonts w:cstheme="minorHAnsi"/>
                <w:szCs w:val="20"/>
              </w:rPr>
              <w:t>Self-study: 8 hours</w:t>
            </w:r>
          </w:p>
          <w:p w14:paraId="236E6EA5" w14:textId="77777777" w:rsidR="00413340" w:rsidRPr="00EF521E" w:rsidRDefault="00413340" w:rsidP="00413340">
            <w:pPr>
              <w:rPr>
                <w:rFonts w:cstheme="minorHAnsi"/>
                <w:szCs w:val="20"/>
              </w:rPr>
            </w:pPr>
            <w:r w:rsidRPr="00EF521E">
              <w:rPr>
                <w:rFonts w:cstheme="minorHAnsi"/>
                <w:szCs w:val="20"/>
              </w:rPr>
              <w:t>Practical application (if applicable): 6 hours</w:t>
            </w:r>
          </w:p>
          <w:p w14:paraId="3AE888BB" w14:textId="781CEC3F" w:rsidR="00BD0CF5" w:rsidRPr="00EF521E" w:rsidRDefault="00413340" w:rsidP="00413340">
            <w:pPr>
              <w:rPr>
                <w:rFonts w:cstheme="minorHAnsi"/>
                <w:szCs w:val="20"/>
              </w:rPr>
            </w:pPr>
            <w:r w:rsidRPr="00EF521E">
              <w:rPr>
                <w:rFonts w:cstheme="minorHAnsi"/>
                <w:szCs w:val="20"/>
              </w:rPr>
              <w:t>Assessment link: It provides fundamentals about sustainability reporting that will be used in capstone project.</w:t>
            </w:r>
          </w:p>
        </w:tc>
      </w:tr>
      <w:tr w:rsidR="00AA562D" w:rsidRPr="00EF521E" w14:paraId="21FB36E0" w14:textId="77777777" w:rsidTr="00AA562D">
        <w:tc>
          <w:tcPr>
            <w:tcW w:w="9628" w:type="dxa"/>
            <w:shd w:val="clear" w:color="auto" w:fill="D9D9D9" w:themeFill="background1" w:themeFillShade="D9"/>
          </w:tcPr>
          <w:p w14:paraId="6E7F3AAF" w14:textId="46F94715" w:rsidR="00AA562D" w:rsidRPr="00EF521E" w:rsidRDefault="00AA562D" w:rsidP="00413340">
            <w:pPr>
              <w:rPr>
                <w:rFonts w:cstheme="minorHAnsi"/>
                <w:b/>
                <w:bCs/>
                <w:szCs w:val="20"/>
              </w:rPr>
            </w:pPr>
            <w:r w:rsidRPr="00EF521E">
              <w:rPr>
                <w:rFonts w:cstheme="minorHAnsi"/>
                <w:b/>
                <w:bCs/>
                <w:szCs w:val="20"/>
              </w:rPr>
              <w:t>Practical focus / deliverable:</w:t>
            </w:r>
          </w:p>
        </w:tc>
      </w:tr>
      <w:tr w:rsidR="00531361" w:rsidRPr="00EF521E" w14:paraId="3B2B4511" w14:textId="77777777" w:rsidTr="006203D4">
        <w:tc>
          <w:tcPr>
            <w:tcW w:w="9628" w:type="dxa"/>
          </w:tcPr>
          <w:p w14:paraId="6E18741C" w14:textId="370054BD" w:rsidR="00531361" w:rsidRPr="00EF521E" w:rsidRDefault="00413340" w:rsidP="00413340">
            <w:pPr>
              <w:rPr>
                <w:rFonts w:cstheme="minorHAnsi"/>
                <w:szCs w:val="20"/>
              </w:rPr>
            </w:pPr>
            <w:r w:rsidRPr="00EF521E">
              <w:rPr>
                <w:rFonts w:cstheme="minorHAnsi"/>
                <w:szCs w:val="20"/>
              </w:rPr>
              <w:t>Learners will as a final assessment produce capstone project that will include Interactive sustainability dashboard, Meta-data description, Short data quality audit report and Stakeholder presentation.</w:t>
            </w:r>
          </w:p>
        </w:tc>
      </w:tr>
    </w:tbl>
    <w:p w14:paraId="49B17C7E" w14:textId="77777777" w:rsidR="00413340" w:rsidRPr="00EF521E" w:rsidRDefault="00413340" w:rsidP="00413340">
      <w:pPr>
        <w:spacing w:line="240" w:lineRule="auto"/>
      </w:pPr>
      <w:r w:rsidRPr="00EF521E">
        <w:rPr>
          <w:iCs/>
        </w:rPr>
        <w:br w:type="page"/>
      </w:r>
    </w:p>
    <w:tbl>
      <w:tblPr>
        <w:tblStyle w:val="TableGrid"/>
        <w:tblW w:w="0" w:type="auto"/>
        <w:tblLook w:val="04A0" w:firstRow="1" w:lastRow="0" w:firstColumn="1" w:lastColumn="0" w:noHBand="0" w:noVBand="1"/>
      </w:tblPr>
      <w:tblGrid>
        <w:gridCol w:w="9628"/>
      </w:tblGrid>
      <w:tr w:rsidR="00736E55" w:rsidRPr="00EF521E" w14:paraId="0264D2FC" w14:textId="77777777" w:rsidTr="00736E55">
        <w:tc>
          <w:tcPr>
            <w:tcW w:w="9628" w:type="dxa"/>
          </w:tcPr>
          <w:p w14:paraId="31FAED0D" w14:textId="363FD3EA" w:rsidR="00736E55" w:rsidRPr="00EF521E" w:rsidRDefault="00736E55" w:rsidP="00413340">
            <w:pPr>
              <w:pStyle w:val="Heading2"/>
              <w:numPr>
                <w:ilvl w:val="0"/>
                <w:numId w:val="0"/>
              </w:numPr>
              <w:spacing w:before="0"/>
              <w:rPr>
                <w:rFonts w:cstheme="minorHAnsi"/>
                <w:b/>
                <w:bCs/>
                <w:szCs w:val="40"/>
              </w:rPr>
            </w:pPr>
            <w:bookmarkStart w:id="4" w:name="_Toc227485159"/>
            <w:r w:rsidRPr="00EF521E">
              <w:rPr>
                <w:rFonts w:cstheme="minorHAnsi"/>
                <w:b/>
                <w:bCs/>
                <w:szCs w:val="40"/>
              </w:rPr>
              <w:lastRenderedPageBreak/>
              <w:t xml:space="preserve">Topic 1.1: </w:t>
            </w:r>
            <w:r w:rsidR="00413340" w:rsidRPr="00EF521E">
              <w:rPr>
                <w:rFonts w:cstheme="minorHAnsi"/>
                <w:b/>
                <w:bCs/>
                <w:szCs w:val="40"/>
              </w:rPr>
              <w:t>Sustainability Reporting Landscape and ESG Frameworks (CSRD, ESRS, GRI)</w:t>
            </w:r>
            <w:bookmarkEnd w:id="4"/>
          </w:p>
        </w:tc>
      </w:tr>
      <w:tr w:rsidR="00531361" w:rsidRPr="00EF521E" w14:paraId="3C57F1AF" w14:textId="77777777" w:rsidTr="00736E55">
        <w:tc>
          <w:tcPr>
            <w:tcW w:w="9628" w:type="dxa"/>
            <w:shd w:val="clear" w:color="auto" w:fill="D9D9D9" w:themeFill="background1" w:themeFillShade="D9"/>
          </w:tcPr>
          <w:p w14:paraId="505DDF9A" w14:textId="36A558E5" w:rsidR="00531361" w:rsidRPr="00EF521E" w:rsidRDefault="00736E55" w:rsidP="00413340">
            <w:pPr>
              <w:rPr>
                <w:rFonts w:cstheme="minorHAnsi"/>
                <w:b/>
                <w:szCs w:val="20"/>
              </w:rPr>
            </w:pPr>
            <w:r w:rsidRPr="00EF521E">
              <w:rPr>
                <w:rFonts w:cstheme="minorHAnsi"/>
                <w:b/>
                <w:szCs w:val="20"/>
              </w:rPr>
              <w:t>Short introduction:</w:t>
            </w:r>
          </w:p>
        </w:tc>
      </w:tr>
      <w:tr w:rsidR="00736E55" w:rsidRPr="00EF521E" w14:paraId="0DD6339B" w14:textId="77777777" w:rsidTr="00736E55">
        <w:tc>
          <w:tcPr>
            <w:tcW w:w="9628" w:type="dxa"/>
          </w:tcPr>
          <w:p w14:paraId="1F013EE2" w14:textId="2D45677F" w:rsidR="008A5A1A" w:rsidRPr="00EF521E" w:rsidRDefault="00413340" w:rsidP="00413340">
            <w:pPr>
              <w:rPr>
                <w:rFonts w:cstheme="minorHAnsi"/>
                <w:szCs w:val="20"/>
              </w:rPr>
            </w:pPr>
            <w:r w:rsidRPr="00EF521E">
              <w:rPr>
                <w:rFonts w:cstheme="minorHAnsi"/>
                <w:szCs w:val="20"/>
              </w:rPr>
              <w:t>This topic explores the fundamental shift in how companies communicate their non-financial performance. We move from the era of voluntary "Green Marketing" to a strictly regulated "Digital Sustainability" era. You will learn about the evolution of EU regulations (CSRD), the latest updates from the Omnibus Directive, and the internal governance structures required to transform raw data into audit-ready strategic information.</w:t>
            </w:r>
          </w:p>
        </w:tc>
      </w:tr>
      <w:tr w:rsidR="00736E55" w:rsidRPr="00EF521E" w14:paraId="6AEB3BB7" w14:textId="77777777" w:rsidTr="00736E55">
        <w:tc>
          <w:tcPr>
            <w:tcW w:w="9628" w:type="dxa"/>
            <w:shd w:val="clear" w:color="auto" w:fill="D9D9D9" w:themeFill="background1" w:themeFillShade="D9"/>
          </w:tcPr>
          <w:p w14:paraId="0E90FA9E" w14:textId="460F189C" w:rsidR="00736E55" w:rsidRPr="00EF521E" w:rsidRDefault="00736E55" w:rsidP="00413340">
            <w:pPr>
              <w:rPr>
                <w:rFonts w:cstheme="minorHAnsi"/>
                <w:b/>
                <w:szCs w:val="20"/>
              </w:rPr>
            </w:pPr>
            <w:r w:rsidRPr="00EF521E">
              <w:rPr>
                <w:rFonts w:cstheme="minorHAnsi"/>
                <w:b/>
                <w:szCs w:val="20"/>
              </w:rPr>
              <w:t xml:space="preserve">Theory &amp; Knowledge: </w:t>
            </w:r>
          </w:p>
        </w:tc>
      </w:tr>
      <w:tr w:rsidR="00531361" w:rsidRPr="00EF521E" w14:paraId="0D5478F8" w14:textId="77777777" w:rsidTr="00BD0CF5">
        <w:trPr>
          <w:trHeight w:val="2142"/>
        </w:trPr>
        <w:tc>
          <w:tcPr>
            <w:tcW w:w="9628" w:type="dxa"/>
          </w:tcPr>
          <w:p w14:paraId="2BF48C0D" w14:textId="7B183DBE" w:rsidR="00413340" w:rsidRPr="00EF521E" w:rsidRDefault="00413340" w:rsidP="00413340">
            <w:pPr>
              <w:spacing w:after="160"/>
              <w:jc w:val="both"/>
              <w:rPr>
                <w:rFonts w:cstheme="minorHAnsi"/>
                <w:b/>
                <w:color w:val="009889" w:themeColor="accent2"/>
                <w:sz w:val="22"/>
                <w:szCs w:val="22"/>
              </w:rPr>
            </w:pPr>
            <w:r w:rsidRPr="00EF521E">
              <w:rPr>
                <w:rFonts w:cstheme="minorHAnsi"/>
                <w:b/>
                <w:color w:val="009889" w:themeColor="accent2"/>
                <w:sz w:val="22"/>
                <w:szCs w:val="22"/>
              </w:rPr>
              <w:t>The Paradigm Shift: From NFRD to CSRD</w:t>
            </w:r>
          </w:p>
          <w:p w14:paraId="5FADAB2F" w14:textId="77777777" w:rsidR="00413340" w:rsidRPr="00EF521E" w:rsidRDefault="00413340" w:rsidP="00413340">
            <w:pPr>
              <w:spacing w:after="160"/>
              <w:jc w:val="both"/>
              <w:rPr>
                <w:rFonts w:cstheme="minorHAnsi"/>
                <w:szCs w:val="20"/>
              </w:rPr>
            </w:pPr>
            <w:r w:rsidRPr="00EF521E">
              <w:rPr>
                <w:rFonts w:cstheme="minorHAnsi"/>
                <w:szCs w:val="20"/>
              </w:rPr>
              <w:t xml:space="preserve">For a decade, sustainability reporting in the European Union was primarily governed by the </w:t>
            </w:r>
            <w:r w:rsidRPr="00EF521E">
              <w:rPr>
                <w:rFonts w:cstheme="minorHAnsi"/>
                <w:b/>
                <w:bCs/>
                <w:szCs w:val="20"/>
              </w:rPr>
              <w:t>Non-Financial Reporting Directive (NFRD).</w:t>
            </w:r>
            <w:r w:rsidRPr="00EF521E">
              <w:rPr>
                <w:rFonts w:cstheme="minorHAnsi"/>
                <w:szCs w:val="20"/>
              </w:rPr>
              <w:t xml:space="preserve"> However, this framework was often criticized for being vague and inconsistent, which allowed for "greenwashing." To address these gaps, the EU adopted the </w:t>
            </w:r>
            <w:r w:rsidRPr="00EF521E">
              <w:rPr>
                <w:rFonts w:cstheme="minorHAnsi"/>
                <w:b/>
                <w:bCs/>
                <w:szCs w:val="20"/>
              </w:rPr>
              <w:t>Corporate Sustainability Reporting Directive (CSRD) in</w:t>
            </w:r>
            <w:r w:rsidRPr="00EF521E">
              <w:rPr>
                <w:rFonts w:cstheme="minorHAnsi"/>
                <w:szCs w:val="20"/>
              </w:rPr>
              <w:t xml:space="preserve"> 2023. This legislation elevated sustainability reporting to the same level of importance as financial accounting.</w:t>
            </w:r>
          </w:p>
          <w:p w14:paraId="248D0976" w14:textId="77777777" w:rsidR="00413340" w:rsidRPr="00EF521E" w:rsidRDefault="00413340" w:rsidP="00413340">
            <w:pPr>
              <w:numPr>
                <w:ilvl w:val="0"/>
                <w:numId w:val="182"/>
              </w:numPr>
              <w:spacing w:after="160"/>
              <w:jc w:val="both"/>
              <w:rPr>
                <w:rFonts w:cstheme="minorHAnsi"/>
                <w:szCs w:val="20"/>
              </w:rPr>
            </w:pPr>
            <w:r w:rsidRPr="00EF521E">
              <w:rPr>
                <w:rFonts w:cstheme="minorHAnsi"/>
                <w:szCs w:val="20"/>
              </w:rPr>
              <w:t>Key Change in Scope: The number of companies required to report in the EU will jump from ~11,000 to over 50,000.</w:t>
            </w:r>
          </w:p>
          <w:p w14:paraId="51B0B01C" w14:textId="77777777" w:rsidR="00413340" w:rsidRPr="00EF521E" w:rsidRDefault="00413340" w:rsidP="00413340">
            <w:pPr>
              <w:numPr>
                <w:ilvl w:val="0"/>
                <w:numId w:val="182"/>
              </w:numPr>
              <w:spacing w:after="160"/>
              <w:jc w:val="both"/>
              <w:rPr>
                <w:rFonts w:cstheme="minorHAnsi"/>
                <w:szCs w:val="20"/>
              </w:rPr>
            </w:pPr>
            <w:r w:rsidRPr="00EF521E">
              <w:rPr>
                <w:rFonts w:cstheme="minorHAnsi"/>
                <w:szCs w:val="20"/>
              </w:rPr>
              <w:t>The Goal: To put sustainability reporting on the same level as financial reporting. This means reports must be digital, machine-readable, and subject to mandatory third-party assurance (auditing).</w:t>
            </w:r>
          </w:p>
          <w:p w14:paraId="0260FD83" w14:textId="77777777" w:rsidR="00413340" w:rsidRPr="00EF521E" w:rsidRDefault="00413340" w:rsidP="00413340">
            <w:pPr>
              <w:spacing w:after="160"/>
              <w:jc w:val="both"/>
              <w:rPr>
                <w:rFonts w:cstheme="minorHAnsi"/>
                <w:szCs w:val="20"/>
              </w:rPr>
            </w:pPr>
          </w:p>
          <w:p w14:paraId="5DEA4E2C" w14:textId="2C879236" w:rsidR="00413340" w:rsidRPr="00EF521E" w:rsidRDefault="00413340" w:rsidP="00413340">
            <w:pPr>
              <w:spacing w:after="160"/>
              <w:jc w:val="both"/>
              <w:rPr>
                <w:rFonts w:cstheme="minorHAnsi"/>
                <w:b/>
                <w:color w:val="009889" w:themeColor="accent2"/>
                <w:sz w:val="22"/>
                <w:szCs w:val="22"/>
              </w:rPr>
            </w:pPr>
            <w:hyperlink r:id="rId12">
              <w:r w:rsidRPr="00EF521E">
                <w:rPr>
                  <w:rStyle w:val="Hyperlink"/>
                  <w:rFonts w:cstheme="minorHAnsi"/>
                  <w:b/>
                  <w:bCs/>
                  <w:color w:val="009889" w:themeColor="accent2"/>
                  <w:sz w:val="22"/>
                  <w:szCs w:val="22"/>
                </w:rPr>
                <w:t>Omnibus I - Directive (EU) 2026/470</w:t>
              </w:r>
              <w:r w:rsidRPr="00EF521E">
                <w:rPr>
                  <w:rStyle w:val="Hyperlink"/>
                  <w:rFonts w:cstheme="minorHAnsi"/>
                  <w:color w:val="009889" w:themeColor="accent2"/>
                  <w:sz w:val="22"/>
                  <w:szCs w:val="22"/>
                </w:rPr>
                <w:t> </w:t>
              </w:r>
            </w:hyperlink>
          </w:p>
          <w:p w14:paraId="00C5E80D" w14:textId="77777777" w:rsidR="00413340" w:rsidRPr="00EF521E" w:rsidRDefault="00413340" w:rsidP="00413340">
            <w:pPr>
              <w:spacing w:after="160"/>
              <w:jc w:val="both"/>
              <w:rPr>
                <w:rFonts w:cstheme="minorHAnsi"/>
                <w:bCs/>
                <w:szCs w:val="20"/>
              </w:rPr>
            </w:pPr>
            <w:r w:rsidRPr="00EF521E">
              <w:rPr>
                <w:rFonts w:cstheme="minorHAnsi"/>
                <w:szCs w:val="20"/>
              </w:rPr>
              <w:t>Recently, the regulatory landscape </w:t>
            </w:r>
            <w:r w:rsidRPr="00EF521E">
              <w:rPr>
                <w:rFonts w:cstheme="minorHAnsi"/>
                <w:bCs/>
                <w:szCs w:val="20"/>
              </w:rPr>
              <w:t>has been optimized to reduce administrative burdens. The Omnibus update has refined the original CSRD scope:</w:t>
            </w:r>
          </w:p>
          <w:p w14:paraId="4363DAB8" w14:textId="02DD4256" w:rsidR="00413340" w:rsidRPr="00EF521E" w:rsidRDefault="00413340" w:rsidP="00413340">
            <w:pPr>
              <w:numPr>
                <w:ilvl w:val="0"/>
                <w:numId w:val="180"/>
              </w:numPr>
              <w:spacing w:after="160"/>
              <w:jc w:val="both"/>
              <w:rPr>
                <w:rFonts w:cstheme="minorHAnsi"/>
                <w:bCs/>
                <w:szCs w:val="20"/>
              </w:rPr>
            </w:pPr>
            <w:r w:rsidRPr="00EF521E">
              <w:rPr>
                <w:rFonts w:cstheme="minorHAnsi"/>
                <w:bCs/>
                <w:szCs w:val="20"/>
              </w:rPr>
              <w:t>New Mandatory Thresholds: Reporting now primarily applies to large undertakings with over 1,000 employees AND a turnover of </w:t>
            </w:r>
            <m:oMath>
              <m:r>
                <w:rPr>
                  <w:rFonts w:ascii="Cambria Math" w:hAnsi="Cambria Math" w:cstheme="minorHAnsi"/>
                  <w:szCs w:val="20"/>
                </w:rPr>
                <m:t>≥</m:t>
              </m:r>
            </m:oMath>
            <w:r w:rsidRPr="00EF521E">
              <w:rPr>
                <w:rFonts w:cstheme="minorHAnsi"/>
                <w:bCs/>
                <w:szCs w:val="20"/>
              </w:rPr>
              <w:t> €450 million.</w:t>
            </w:r>
          </w:p>
          <w:p w14:paraId="68CA8DD3" w14:textId="77777777" w:rsidR="00413340" w:rsidRPr="00EF521E" w:rsidRDefault="00413340" w:rsidP="00413340">
            <w:pPr>
              <w:numPr>
                <w:ilvl w:val="0"/>
                <w:numId w:val="180"/>
              </w:numPr>
              <w:spacing w:after="160"/>
              <w:jc w:val="both"/>
              <w:rPr>
                <w:rFonts w:cstheme="minorHAnsi"/>
                <w:bCs/>
                <w:szCs w:val="20"/>
              </w:rPr>
            </w:pPr>
            <w:r w:rsidRPr="00EF521E">
              <w:rPr>
                <w:rFonts w:cstheme="minorHAnsi"/>
                <w:bCs/>
                <w:szCs w:val="20"/>
              </w:rPr>
              <w:t>Streamlined Data: The number of mandatory technical data points has been reduced from 1,073 to approximately 320 core points.</w:t>
            </w:r>
          </w:p>
          <w:p w14:paraId="3DAFB9CF" w14:textId="77777777" w:rsidR="00413340" w:rsidRPr="00EF521E" w:rsidRDefault="00413340" w:rsidP="00413340">
            <w:pPr>
              <w:numPr>
                <w:ilvl w:val="0"/>
                <w:numId w:val="180"/>
              </w:numPr>
              <w:spacing w:after="160"/>
              <w:jc w:val="both"/>
              <w:rPr>
                <w:rFonts w:cstheme="minorHAnsi"/>
                <w:bCs/>
                <w:szCs w:val="20"/>
              </w:rPr>
            </w:pPr>
            <w:r w:rsidRPr="00EF521E">
              <w:rPr>
                <w:rFonts w:cstheme="minorHAnsi"/>
                <w:bCs/>
                <w:szCs w:val="20"/>
              </w:rPr>
              <w:t>Implementation: Formal reporting under these rules starts in 2027 (published in 2028/2029).</w:t>
            </w:r>
          </w:p>
          <w:p w14:paraId="19781218" w14:textId="7ED004F5" w:rsidR="00413340" w:rsidRPr="00EF521E" w:rsidRDefault="00676D4A" w:rsidP="00413340">
            <w:pPr>
              <w:jc w:val="both"/>
              <w:rPr>
                <w:rFonts w:cstheme="minorHAnsi"/>
                <w:b/>
                <w:bCs/>
                <w:szCs w:val="20"/>
              </w:rPr>
            </w:pPr>
            <w:r w:rsidRPr="00EF521E">
              <w:rPr>
                <w:rFonts w:cstheme="minorHAnsi"/>
                <w:b/>
                <w:bCs/>
                <w:noProof/>
                <w:szCs w:val="20"/>
              </w:rPr>
              <w:lastRenderedPageBreak/>
              <w:drawing>
                <wp:anchor distT="0" distB="0" distL="114300" distR="114300" simplePos="0" relativeHeight="251664384" behindDoc="0" locked="0" layoutInCell="1" allowOverlap="1" wp14:anchorId="64D302B9" wp14:editId="6F635388">
                  <wp:simplePos x="0" y="0"/>
                  <wp:positionH relativeFrom="column">
                    <wp:posOffset>222885</wp:posOffset>
                  </wp:positionH>
                  <wp:positionV relativeFrom="paragraph">
                    <wp:posOffset>52705</wp:posOffset>
                  </wp:positionV>
                  <wp:extent cx="5624678" cy="3636482"/>
                  <wp:effectExtent l="0" t="0" r="0" b="0"/>
                  <wp:wrapThrough wrapText="bothSides">
                    <wp:wrapPolygon edited="0">
                      <wp:start x="0" y="0"/>
                      <wp:lineTo x="0" y="21472"/>
                      <wp:lineTo x="21548" y="21472"/>
                      <wp:lineTo x="21548" y="0"/>
                      <wp:lineTo x="0" y="0"/>
                    </wp:wrapPolygon>
                  </wp:wrapThrough>
                  <wp:docPr id="374369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9188" name="Picture 22"/>
                          <pic:cNvPicPr/>
                        </pic:nvPicPr>
                        <pic:blipFill>
                          <a:blip r:embed="rId13" cstate="print">
                            <a:extLst>
                              <a:ext uri="{28A0092B-C50C-407E-A947-70E740481C1C}">
                                <a14:useLocalDpi xmlns:a14="http://schemas.microsoft.com/office/drawing/2010/main"/>
                              </a:ext>
                            </a:extLst>
                          </a:blip>
                          <a:stretch>
                            <a:fillRect/>
                          </a:stretch>
                        </pic:blipFill>
                        <pic:spPr>
                          <a:xfrm>
                            <a:off x="0" y="0"/>
                            <a:ext cx="5624678" cy="3636482"/>
                          </a:xfrm>
                          <a:prstGeom prst="rect">
                            <a:avLst/>
                          </a:prstGeom>
                        </pic:spPr>
                      </pic:pic>
                    </a:graphicData>
                  </a:graphic>
                  <wp14:sizeRelH relativeFrom="page">
                    <wp14:pctWidth>0</wp14:pctWidth>
                  </wp14:sizeRelH>
                  <wp14:sizeRelV relativeFrom="page">
                    <wp14:pctHeight>0</wp14:pctHeight>
                  </wp14:sizeRelV>
                </wp:anchor>
              </w:drawing>
            </w:r>
            <w:r w:rsidRPr="00EF521E">
              <w:rPr>
                <w:noProof/>
              </w:rPr>
              <mc:AlternateContent>
                <mc:Choice Requires="wps">
                  <w:drawing>
                    <wp:anchor distT="0" distB="0" distL="114300" distR="114300" simplePos="0" relativeHeight="251666432" behindDoc="0" locked="0" layoutInCell="1" allowOverlap="1" wp14:anchorId="3B2CB4B8" wp14:editId="21550295">
                      <wp:simplePos x="0" y="0"/>
                      <wp:positionH relativeFrom="column">
                        <wp:posOffset>160655</wp:posOffset>
                      </wp:positionH>
                      <wp:positionV relativeFrom="paragraph">
                        <wp:posOffset>3787775</wp:posOffset>
                      </wp:positionV>
                      <wp:extent cx="5624195" cy="635"/>
                      <wp:effectExtent l="0" t="0" r="0" b="0"/>
                      <wp:wrapThrough wrapText="bothSides">
                        <wp:wrapPolygon edited="0">
                          <wp:start x="0" y="0"/>
                          <wp:lineTo x="0" y="21600"/>
                          <wp:lineTo x="21600" y="21600"/>
                          <wp:lineTo x="21600" y="0"/>
                        </wp:wrapPolygon>
                      </wp:wrapThrough>
                      <wp:docPr id="2144305667" name="Text Box 1"/>
                      <wp:cNvGraphicFramePr/>
                      <a:graphic xmlns:a="http://schemas.openxmlformats.org/drawingml/2006/main">
                        <a:graphicData uri="http://schemas.microsoft.com/office/word/2010/wordprocessingShape">
                          <wps:wsp>
                            <wps:cNvSpPr txBox="1"/>
                            <wps:spPr>
                              <a:xfrm>
                                <a:off x="0" y="0"/>
                                <a:ext cx="5624195" cy="635"/>
                              </a:xfrm>
                              <a:prstGeom prst="rect">
                                <a:avLst/>
                              </a:prstGeom>
                              <a:solidFill>
                                <a:prstClr val="white"/>
                              </a:solidFill>
                              <a:ln>
                                <a:noFill/>
                              </a:ln>
                            </wps:spPr>
                            <wps:txbx>
                              <w:txbxContent>
                                <w:p w14:paraId="01396058" w14:textId="0AD6AEAF" w:rsidR="00676D4A" w:rsidRPr="00EF521E" w:rsidRDefault="00676D4A" w:rsidP="00676D4A">
                                  <w:pPr>
                                    <w:pStyle w:val="Caption"/>
                                    <w:jc w:val="center"/>
                                    <w:rPr>
                                      <w:rFonts w:cstheme="minorHAnsi"/>
                                      <w:b w:val="0"/>
                                      <w:bCs w:val="0"/>
                                      <w:sz w:val="20"/>
                                      <w:szCs w:val="20"/>
                                    </w:rPr>
                                  </w:pPr>
                                  <w:bookmarkStart w:id="5" w:name="_Toc227486379"/>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1</w:t>
                                  </w:r>
                                  <w:r w:rsidRPr="00EF521E">
                                    <w:rPr>
                                      <w:b w:val="0"/>
                                      <w:bCs w:val="0"/>
                                    </w:rPr>
                                    <w:fldChar w:fldCharType="end"/>
                                  </w:r>
                                  <w:r w:rsidRPr="00EF521E">
                                    <w:rPr>
                                      <w:b w:val="0"/>
                                      <w:bCs w:val="0"/>
                                    </w:rPr>
                                    <w:t>. Development of sustainability requirements in the EU (source: Author)</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2CB4B8" id="_x0000_t202" coordsize="21600,21600" o:spt="202" path="m,l,21600r21600,l21600,xe">
                      <v:stroke joinstyle="miter"/>
                      <v:path gradientshapeok="t" o:connecttype="rect"/>
                    </v:shapetype>
                    <v:shape id="Text Box 1" o:spid="_x0000_s1027" type="#_x0000_t202" style="position:absolute;left:0;text-align:left;margin-left:12.65pt;margin-top:298.25pt;width:442.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5nGQIAAD8EAAAOAAAAZHJzL2Uyb0RvYy54bWysU8Fu2zAMvQ/YPwi6L06yJViNOEWWIsOA&#10;oi2QDj0rshwLkEWNUmJnXz9KjpOu22nYRaZJihTfe1zcdo1hR4Vegy34ZDTmTFkJpbb7gn9/3nz4&#10;zJkPwpbCgFUFPynPb5fv3y1al6sp1GBKhYyKWJ+3ruB1CC7PMi9r1Qg/AqcsBSvARgT6xX1Womip&#10;emOy6Xg8z1rA0iFI5T157/ogX6b6VaVkeKwqrwIzBae3hXRiOnfxzJYLke9RuFrL8zPEP7yiEdpS&#10;00upOxEEO6D+o1SjJYKHKowkNBlUlZYqzUDTTMZvptnWwqk0C4Hj3QUm///Kyofj1j0hC90X6IjA&#10;CEjrfO7JGefpKmzil17KKE4Qni6wqS4wSc7ZfPppcjPjTFJs/nEWa2TXqw59+KqgYdEoOBInCSpx&#10;vPehTx1SYicPRpcbbUz8iYG1QXYUxF9b66DOxX/LMjbmWoi3+oLRk13niFbodh3T5asZd1CeaHSE&#10;XhXeyY2mfvfChyeBJAOalqQdHumoDLQFh7PFWQ3482/+mE/sUJSzlmRVcP/jIFBxZr5Z4i1qcDBw&#10;MHaDYQ/NGmjSCS2Nk8mkCxjMYFYIzQspfhW7UEhYSb0KHgZzHXpx08ZItVqlJFKaE+Hebp2MpQdc&#10;n7sXge7MSiAyH2AQnMjfkNPnJnrc6hAI6cRcxLVH8Qw3qTRxf96ouAav/1PWde+XvwAAAP//AwBQ&#10;SwMEFAAGAAgAAAAhAIA9LKzhAAAACgEAAA8AAABkcnMvZG93bnJldi54bWxMj7FOwzAQhnck3sE6&#10;JBZEnbRNREOcqqpggKUidGFzYzcOxOfIdtrw9hxdYLy7T/99f7mebM9O2ofOoYB0lgDT2DjVYStg&#10;//58/wAsRIlK9g61gG8dYF1dX5WyUO6Mb/pUx5ZRCIZCCjAxDgXnoTHayjBzg0a6HZ23MtLoW668&#10;PFO47fk8SXJuZYf0wchBb41uvurRCtgtP3bmbjw+vW6WC/+yH7f5Z1sLcXszbR6BRT3FPxh+9Ukd&#10;KnI6uBFVYL2AebYgUkC2yjNgBKzSlModLpsceFXy/xWqHwAAAP//AwBQSwECLQAUAAYACAAAACEA&#10;toM4kv4AAADhAQAAEwAAAAAAAAAAAAAAAAAAAAAAW0NvbnRlbnRfVHlwZXNdLnhtbFBLAQItABQA&#10;BgAIAAAAIQA4/SH/1gAAAJQBAAALAAAAAAAAAAAAAAAAAC8BAABfcmVscy8ucmVsc1BLAQItABQA&#10;BgAIAAAAIQD7JF5nGQIAAD8EAAAOAAAAAAAAAAAAAAAAAC4CAABkcnMvZTJvRG9jLnhtbFBLAQIt&#10;ABQABgAIAAAAIQCAPSys4QAAAAoBAAAPAAAAAAAAAAAAAAAAAHMEAABkcnMvZG93bnJldi54bWxQ&#10;SwUGAAAAAAQABADzAAAAgQUAAAAA&#10;" stroked="f">
                      <v:textbox style="mso-fit-shape-to-text:t" inset="0,0,0,0">
                        <w:txbxContent>
                          <w:p w14:paraId="01396058" w14:textId="0AD6AEAF" w:rsidR="00676D4A" w:rsidRPr="00EF521E" w:rsidRDefault="00676D4A" w:rsidP="00676D4A">
                            <w:pPr>
                              <w:pStyle w:val="Caption"/>
                              <w:jc w:val="center"/>
                              <w:rPr>
                                <w:rFonts w:cstheme="minorHAnsi"/>
                                <w:b w:val="0"/>
                                <w:bCs w:val="0"/>
                                <w:sz w:val="20"/>
                                <w:szCs w:val="20"/>
                              </w:rPr>
                            </w:pPr>
                            <w:bookmarkStart w:id="6" w:name="_Toc227486379"/>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1</w:t>
                            </w:r>
                            <w:r w:rsidRPr="00EF521E">
                              <w:rPr>
                                <w:b w:val="0"/>
                                <w:bCs w:val="0"/>
                              </w:rPr>
                              <w:fldChar w:fldCharType="end"/>
                            </w:r>
                            <w:r w:rsidRPr="00EF521E">
                              <w:rPr>
                                <w:b w:val="0"/>
                                <w:bCs w:val="0"/>
                              </w:rPr>
                              <w:t>. Development of sustainability requirements in the EU (source: Author)</w:t>
                            </w:r>
                            <w:bookmarkEnd w:id="6"/>
                          </w:p>
                        </w:txbxContent>
                      </v:textbox>
                      <w10:wrap type="through"/>
                    </v:shape>
                  </w:pict>
                </mc:Fallback>
              </mc:AlternateContent>
            </w:r>
          </w:p>
          <w:p w14:paraId="0556D16C" w14:textId="3A77F83E" w:rsidR="00413340" w:rsidRPr="00EF521E" w:rsidRDefault="00413340" w:rsidP="00413340">
            <w:pPr>
              <w:jc w:val="both"/>
              <w:rPr>
                <w:rFonts w:cstheme="minorHAnsi"/>
                <w:b/>
                <w:bCs/>
                <w:szCs w:val="20"/>
              </w:rPr>
            </w:pPr>
            <w:r w:rsidRPr="00EF521E">
              <w:rPr>
                <w:rFonts w:cstheme="minorHAnsi"/>
                <w:b/>
                <w:bCs/>
                <w:szCs w:val="20"/>
              </w:rPr>
              <w:t xml:space="preserve"> </w:t>
            </w:r>
            <w:r w:rsidRPr="00EF521E">
              <w:rPr>
                <w:rFonts w:cstheme="minorHAnsi"/>
                <w:szCs w:val="20"/>
              </w:rPr>
              <w:t xml:space="preserve">The image </w:t>
            </w:r>
            <w:r w:rsidR="00676D4A" w:rsidRPr="00EF521E">
              <w:rPr>
                <w:rFonts w:cstheme="minorHAnsi"/>
                <w:szCs w:val="20"/>
              </w:rPr>
              <w:t xml:space="preserve">above </w:t>
            </w:r>
            <w:r w:rsidRPr="00EF521E">
              <w:rPr>
                <w:rFonts w:cstheme="minorHAnsi"/>
                <w:szCs w:val="20"/>
              </w:rPr>
              <w:t>shows a flowchart illustrating the development and relationships of EU sustainability regulations, starting from the Paris Agreement and leading to key frameworks such as the EU Action Plan on Sustainable Finance and the European Green Deal. It includes major regulations and directives like SFDR, the EU Taxonomy, CSRD, CSDDD, and ESRS, ending with the future Omnibus I initiative.</w:t>
            </w:r>
          </w:p>
          <w:p w14:paraId="6EACCE6F" w14:textId="77777777" w:rsidR="00413340" w:rsidRPr="00EF521E" w:rsidRDefault="00413340" w:rsidP="00413340">
            <w:pPr>
              <w:jc w:val="both"/>
              <w:rPr>
                <w:rFonts w:cstheme="minorHAnsi"/>
                <w:szCs w:val="20"/>
              </w:rPr>
            </w:pPr>
          </w:p>
          <w:p w14:paraId="76786CFC" w14:textId="56B87479" w:rsidR="00413340" w:rsidRPr="00EF521E" w:rsidRDefault="00413340" w:rsidP="00413340">
            <w:pPr>
              <w:jc w:val="both"/>
              <w:rPr>
                <w:rFonts w:cstheme="minorHAnsi"/>
                <w:b/>
                <w:color w:val="009889" w:themeColor="accent2"/>
                <w:sz w:val="22"/>
                <w:szCs w:val="22"/>
              </w:rPr>
            </w:pPr>
            <w:r w:rsidRPr="00EF521E">
              <w:rPr>
                <w:rFonts w:cstheme="minorHAnsi"/>
                <w:b/>
                <w:color w:val="009889" w:themeColor="accent2"/>
                <w:sz w:val="22"/>
                <w:szCs w:val="22"/>
              </w:rPr>
              <w:t>The ESRS Structure: The Four Reporting Areas</w:t>
            </w:r>
          </w:p>
          <w:p w14:paraId="61BAC909" w14:textId="77777777" w:rsidR="00676D4A" w:rsidRPr="00EF521E" w:rsidRDefault="00676D4A" w:rsidP="00413340">
            <w:pPr>
              <w:jc w:val="both"/>
              <w:rPr>
                <w:rFonts w:cstheme="minorHAnsi"/>
                <w:b/>
                <w:color w:val="009889" w:themeColor="accent2"/>
                <w:sz w:val="22"/>
                <w:szCs w:val="22"/>
              </w:rPr>
            </w:pPr>
          </w:p>
          <w:p w14:paraId="04F9F8B6" w14:textId="518CFE8D" w:rsidR="00413340" w:rsidRPr="00EF521E" w:rsidRDefault="00413340" w:rsidP="00413340">
            <w:pPr>
              <w:spacing w:after="160"/>
              <w:jc w:val="both"/>
              <w:rPr>
                <w:rFonts w:cstheme="minorHAnsi"/>
                <w:szCs w:val="20"/>
              </w:rPr>
            </w:pPr>
            <w:r w:rsidRPr="00EF521E">
              <w:rPr>
                <w:rFonts w:cstheme="minorHAnsi"/>
                <w:szCs w:val="20"/>
              </w:rPr>
              <w:t>According to the official </w:t>
            </w:r>
            <w:r w:rsidRPr="00EF521E">
              <w:rPr>
                <w:rFonts w:cstheme="minorHAnsi"/>
                <w:b/>
                <w:szCs w:val="20"/>
              </w:rPr>
              <w:t>ESRS 1</w:t>
            </w:r>
            <w:r w:rsidRPr="00EF521E">
              <w:rPr>
                <w:rFonts w:cstheme="minorHAnsi"/>
                <w:szCs w:val="20"/>
              </w:rPr>
              <w:t>, every sustainability statement must be structured into four mandatory reporting areas:</w:t>
            </w:r>
          </w:p>
          <w:p w14:paraId="04C706A8" w14:textId="77777777" w:rsidR="00413340" w:rsidRPr="00EF521E" w:rsidRDefault="00413340" w:rsidP="00413340">
            <w:pPr>
              <w:numPr>
                <w:ilvl w:val="0"/>
                <w:numId w:val="181"/>
              </w:numPr>
              <w:tabs>
                <w:tab w:val="num" w:pos="360"/>
              </w:tabs>
              <w:spacing w:after="160"/>
              <w:jc w:val="both"/>
              <w:rPr>
                <w:rFonts w:cstheme="minorHAnsi"/>
                <w:szCs w:val="20"/>
              </w:rPr>
            </w:pPr>
            <w:r w:rsidRPr="00EF521E">
              <w:rPr>
                <w:rFonts w:cstheme="minorHAnsi"/>
                <w:b/>
                <w:szCs w:val="20"/>
              </w:rPr>
              <w:t>Governance (GOV):</w:t>
            </w:r>
            <w:r w:rsidRPr="00EF521E">
              <w:rPr>
                <w:rFonts w:cstheme="minorHAnsi"/>
                <w:szCs w:val="20"/>
              </w:rPr>
              <w:t> The processes and controls used to monitor and oversee impacts, risks, and opportunities.</w:t>
            </w:r>
          </w:p>
          <w:p w14:paraId="625718C5" w14:textId="77777777" w:rsidR="00413340" w:rsidRPr="00EF521E" w:rsidRDefault="00413340" w:rsidP="00413340">
            <w:pPr>
              <w:numPr>
                <w:ilvl w:val="0"/>
                <w:numId w:val="181"/>
              </w:numPr>
              <w:tabs>
                <w:tab w:val="num" w:pos="360"/>
              </w:tabs>
              <w:spacing w:after="160"/>
              <w:jc w:val="both"/>
              <w:rPr>
                <w:rFonts w:cstheme="minorHAnsi"/>
                <w:szCs w:val="20"/>
              </w:rPr>
            </w:pPr>
            <w:r w:rsidRPr="00EF521E">
              <w:rPr>
                <w:rFonts w:cstheme="minorHAnsi"/>
                <w:b/>
                <w:szCs w:val="20"/>
              </w:rPr>
              <w:t>Strategy (SBM):</w:t>
            </w:r>
            <w:r w:rsidRPr="00EF521E">
              <w:rPr>
                <w:rFonts w:cstheme="minorHAnsi"/>
                <w:szCs w:val="20"/>
              </w:rPr>
              <w:t> How the undertaking’s strategy and business model interact with its material impacts.</w:t>
            </w:r>
          </w:p>
          <w:p w14:paraId="425E312E" w14:textId="77777777" w:rsidR="00413340" w:rsidRPr="00EF521E" w:rsidRDefault="00413340" w:rsidP="00413340">
            <w:pPr>
              <w:numPr>
                <w:ilvl w:val="0"/>
                <w:numId w:val="181"/>
              </w:numPr>
              <w:tabs>
                <w:tab w:val="num" w:pos="360"/>
              </w:tabs>
              <w:spacing w:after="160"/>
              <w:jc w:val="both"/>
              <w:rPr>
                <w:rFonts w:cstheme="minorHAnsi"/>
                <w:szCs w:val="20"/>
              </w:rPr>
            </w:pPr>
            <w:r w:rsidRPr="00EF521E">
              <w:rPr>
                <w:rFonts w:cstheme="minorHAnsi"/>
                <w:b/>
                <w:szCs w:val="20"/>
              </w:rPr>
              <w:t>Impact, Risk, and Opportunity Management (IRO):</w:t>
            </w:r>
            <w:r w:rsidRPr="00EF521E">
              <w:rPr>
                <w:rFonts w:cstheme="minorHAnsi"/>
                <w:szCs w:val="20"/>
              </w:rPr>
              <w:t> The process by which the undertaking identifies and manages sustainability matters.</w:t>
            </w:r>
          </w:p>
          <w:p w14:paraId="329195F7" w14:textId="77777777" w:rsidR="00413340" w:rsidRPr="00EF521E" w:rsidRDefault="00413340" w:rsidP="00413340">
            <w:pPr>
              <w:numPr>
                <w:ilvl w:val="0"/>
                <w:numId w:val="181"/>
              </w:numPr>
              <w:tabs>
                <w:tab w:val="num" w:pos="360"/>
              </w:tabs>
              <w:spacing w:after="160"/>
              <w:jc w:val="both"/>
              <w:rPr>
                <w:rFonts w:cstheme="minorHAnsi"/>
                <w:szCs w:val="20"/>
              </w:rPr>
            </w:pPr>
            <w:r w:rsidRPr="00EF521E">
              <w:rPr>
                <w:rFonts w:cstheme="minorHAnsi"/>
                <w:b/>
                <w:szCs w:val="20"/>
              </w:rPr>
              <w:t>Metrics and Targets (MT):</w:t>
            </w:r>
            <w:r w:rsidRPr="00EF521E">
              <w:rPr>
                <w:rFonts w:cstheme="minorHAnsi"/>
                <w:szCs w:val="20"/>
              </w:rPr>
              <w:t> The quantitative data used to measure performance and track progress.</w:t>
            </w:r>
          </w:p>
          <w:p w14:paraId="1632FFEC" w14:textId="77777777" w:rsidR="00413340" w:rsidRPr="00EF521E" w:rsidRDefault="00413340" w:rsidP="00413340">
            <w:pPr>
              <w:spacing w:after="160"/>
              <w:jc w:val="both"/>
              <w:rPr>
                <w:rFonts w:cstheme="minorHAnsi"/>
                <w:b/>
                <w:szCs w:val="20"/>
              </w:rPr>
            </w:pPr>
          </w:p>
          <w:p w14:paraId="7CFD86B0" w14:textId="77777777" w:rsidR="00676D4A" w:rsidRPr="00EF521E" w:rsidRDefault="00676D4A" w:rsidP="00413340">
            <w:pPr>
              <w:spacing w:after="160"/>
              <w:jc w:val="both"/>
              <w:rPr>
                <w:rFonts w:cstheme="minorHAnsi"/>
                <w:b/>
                <w:szCs w:val="20"/>
              </w:rPr>
            </w:pPr>
          </w:p>
          <w:p w14:paraId="3D90B662" w14:textId="45E3D71D" w:rsidR="00413340" w:rsidRPr="00EF521E" w:rsidRDefault="00413340" w:rsidP="00413340">
            <w:pPr>
              <w:spacing w:after="160"/>
              <w:jc w:val="both"/>
              <w:rPr>
                <w:rFonts w:cstheme="minorHAnsi"/>
                <w:b/>
                <w:color w:val="009889" w:themeColor="accent2"/>
                <w:sz w:val="22"/>
                <w:szCs w:val="22"/>
              </w:rPr>
            </w:pPr>
            <w:r w:rsidRPr="00EF521E">
              <w:rPr>
                <w:rFonts w:cstheme="minorHAnsi"/>
                <w:b/>
                <w:color w:val="009889" w:themeColor="accent2"/>
                <w:sz w:val="22"/>
                <w:szCs w:val="22"/>
              </w:rPr>
              <w:lastRenderedPageBreak/>
              <w:t>Sustainability Data Governance: Roles and Ownership</w:t>
            </w:r>
          </w:p>
          <w:p w14:paraId="73B1A989" w14:textId="77777777" w:rsidR="00413340" w:rsidRPr="00EF521E" w:rsidRDefault="00413340" w:rsidP="00413340">
            <w:pPr>
              <w:spacing w:after="160"/>
              <w:jc w:val="both"/>
              <w:rPr>
                <w:rFonts w:cstheme="minorHAnsi"/>
                <w:szCs w:val="20"/>
              </w:rPr>
            </w:pPr>
            <w:r w:rsidRPr="00EF521E">
              <w:rPr>
                <w:rFonts w:cstheme="minorHAnsi"/>
                <w:szCs w:val="20"/>
              </w:rPr>
              <w:t>To transform raw data into audit-ready information, an undertaking must implement a formal governance model:</w:t>
            </w:r>
          </w:p>
          <w:p w14:paraId="01C1E81B" w14:textId="77777777" w:rsidR="00413340" w:rsidRPr="00EF521E" w:rsidRDefault="00413340" w:rsidP="00413340">
            <w:pPr>
              <w:numPr>
                <w:ilvl w:val="0"/>
                <w:numId w:val="183"/>
              </w:numPr>
              <w:spacing w:after="160"/>
              <w:jc w:val="both"/>
              <w:rPr>
                <w:rFonts w:cstheme="minorHAnsi"/>
                <w:bCs/>
                <w:szCs w:val="20"/>
              </w:rPr>
            </w:pPr>
            <w:r w:rsidRPr="00EF521E">
              <w:rPr>
                <w:rFonts w:cstheme="minorHAnsi"/>
                <w:b/>
                <w:szCs w:val="20"/>
              </w:rPr>
              <w:t>ESG Controller (or Data Validator):</w:t>
            </w:r>
            <w:r w:rsidRPr="00EF521E">
              <w:rPr>
                <w:rFonts w:cstheme="minorHAnsi"/>
                <w:bCs/>
                <w:szCs w:val="20"/>
              </w:rPr>
              <w:t> A specialized role that coordinates the reporting process and ensures compliance with quality standards.</w:t>
            </w:r>
          </w:p>
          <w:p w14:paraId="06F206B0" w14:textId="77777777" w:rsidR="00413340" w:rsidRPr="00EF521E" w:rsidRDefault="00413340" w:rsidP="00413340">
            <w:pPr>
              <w:numPr>
                <w:ilvl w:val="0"/>
                <w:numId w:val="183"/>
              </w:numPr>
              <w:spacing w:after="160"/>
              <w:jc w:val="both"/>
              <w:rPr>
                <w:rFonts w:cstheme="minorHAnsi"/>
                <w:bCs/>
                <w:szCs w:val="20"/>
              </w:rPr>
            </w:pPr>
            <w:r w:rsidRPr="00EF521E">
              <w:rPr>
                <w:rFonts w:cstheme="minorHAnsi"/>
                <w:b/>
                <w:szCs w:val="20"/>
              </w:rPr>
              <w:t>Data Owners:</w:t>
            </w:r>
            <w:r w:rsidRPr="00EF521E">
              <w:rPr>
                <w:rFonts w:cstheme="minorHAnsi"/>
                <w:bCs/>
                <w:szCs w:val="20"/>
              </w:rPr>
              <w:t> Subject matter experts in operational departments (e.g., HR or Facilities) who are responsible for the source data (e.g., invoices) at the source.</w:t>
            </w:r>
          </w:p>
          <w:p w14:paraId="0DF74E3B" w14:textId="77777777" w:rsidR="00413340" w:rsidRPr="00EF521E" w:rsidRDefault="00413340" w:rsidP="00413340">
            <w:pPr>
              <w:numPr>
                <w:ilvl w:val="0"/>
                <w:numId w:val="183"/>
              </w:numPr>
              <w:spacing w:after="160"/>
              <w:jc w:val="both"/>
              <w:rPr>
                <w:rFonts w:cstheme="minorHAnsi"/>
                <w:bCs/>
                <w:szCs w:val="20"/>
              </w:rPr>
            </w:pPr>
            <w:r w:rsidRPr="00EF521E">
              <w:rPr>
                <w:rFonts w:cstheme="minorHAnsi"/>
                <w:b/>
                <w:szCs w:val="20"/>
              </w:rPr>
              <w:t>Reporting Frequency:</w:t>
            </w:r>
            <w:r w:rsidRPr="00EF521E">
              <w:rPr>
                <w:rFonts w:cstheme="minorHAnsi"/>
                <w:bCs/>
                <w:szCs w:val="20"/>
              </w:rPr>
              <w:t> Data collection is no longer an annual event; robust systems require monthly or quarterly cycles to track progress and validate data.</w:t>
            </w:r>
          </w:p>
          <w:p w14:paraId="67C00922" w14:textId="77777777" w:rsidR="00676D4A" w:rsidRPr="00EF521E" w:rsidRDefault="00676D4A" w:rsidP="00676D4A">
            <w:pPr>
              <w:spacing w:after="160"/>
              <w:ind w:left="720"/>
              <w:jc w:val="both"/>
              <w:rPr>
                <w:rFonts w:cstheme="minorHAnsi"/>
                <w:szCs w:val="20"/>
              </w:rPr>
            </w:pPr>
          </w:p>
          <w:p w14:paraId="7917A1F1" w14:textId="77777777" w:rsidR="00676D4A" w:rsidRPr="00EF521E" w:rsidRDefault="00413340" w:rsidP="00413340">
            <w:pPr>
              <w:spacing w:after="160"/>
              <w:jc w:val="both"/>
              <w:rPr>
                <w:rFonts w:cstheme="minorHAnsi"/>
                <w:b/>
                <w:color w:val="009889" w:themeColor="accent2"/>
                <w:sz w:val="22"/>
                <w:szCs w:val="22"/>
              </w:rPr>
            </w:pPr>
            <w:r w:rsidRPr="00EF521E">
              <w:rPr>
                <w:rFonts w:cstheme="minorHAnsi"/>
                <w:b/>
                <w:color w:val="009889" w:themeColor="accent2"/>
                <w:sz w:val="22"/>
                <w:szCs w:val="22"/>
              </w:rPr>
              <w:t xml:space="preserve">Defining the Scope: System Boundaries </w:t>
            </w:r>
          </w:p>
          <w:p w14:paraId="6380F20F" w14:textId="4D2B468D" w:rsidR="00413340" w:rsidRPr="00EF521E" w:rsidRDefault="00413340" w:rsidP="00413340">
            <w:pPr>
              <w:spacing w:after="160"/>
              <w:jc w:val="both"/>
              <w:rPr>
                <w:rFonts w:cstheme="minorHAnsi"/>
                <w:szCs w:val="20"/>
              </w:rPr>
            </w:pPr>
            <w:r w:rsidRPr="00EF521E">
              <w:rPr>
                <w:rFonts w:cstheme="minorHAnsi"/>
                <w:szCs w:val="20"/>
              </w:rPr>
              <w:t xml:space="preserve">A critical step for a data analyst is defining the system boundaries. This involves deciding which parts of the organization—subsidiaries, factories, or leased assets—are included in the data collection. Clear boundaries ensure that metrics are comparable across reporting periods. </w:t>
            </w:r>
          </w:p>
          <w:p w14:paraId="4E73B637" w14:textId="77777777" w:rsidR="00676D4A" w:rsidRPr="00EF521E" w:rsidRDefault="00676D4A" w:rsidP="00413340">
            <w:pPr>
              <w:spacing w:after="160"/>
              <w:jc w:val="both"/>
              <w:rPr>
                <w:rFonts w:cstheme="minorHAnsi"/>
                <w:szCs w:val="20"/>
              </w:rPr>
            </w:pPr>
          </w:p>
          <w:p w14:paraId="2578B6E0" w14:textId="77777777" w:rsidR="00676D4A" w:rsidRPr="00EF521E" w:rsidRDefault="00676D4A" w:rsidP="00676D4A">
            <w:pPr>
              <w:rPr>
                <w:b/>
                <w:color w:val="00AC4E" w:themeColor="accent1"/>
                <w:szCs w:val="20"/>
              </w:rPr>
            </w:pPr>
            <w:r w:rsidRPr="00EF521E">
              <w:rPr>
                <w:b/>
                <w:color w:val="00AC4E" w:themeColor="accent1"/>
                <w:szCs w:val="20"/>
              </w:rPr>
              <w:t xml:space="preserve">What is CSRD?  </w:t>
            </w:r>
          </w:p>
          <w:p w14:paraId="230C8505" w14:textId="77777777" w:rsidR="00676D4A" w:rsidRPr="00EF521E" w:rsidRDefault="00676D4A" w:rsidP="00676D4A">
            <w:pPr>
              <w:rPr>
                <w:b/>
                <w:color w:val="00AC4E" w:themeColor="accent1"/>
                <w:szCs w:val="20"/>
              </w:rPr>
            </w:pPr>
            <w:r w:rsidRPr="00EF521E">
              <w:rPr>
                <w:b/>
                <w:color w:val="00AC4E" w:themeColor="accent1"/>
                <w:szCs w:val="20"/>
              </w:rPr>
              <w:t xml:space="preserve">What is  ESRS? </w:t>
            </w:r>
          </w:p>
          <w:p w14:paraId="0EA33018" w14:textId="2E98D000" w:rsidR="00676D4A" w:rsidRPr="00EF521E" w:rsidRDefault="00676D4A" w:rsidP="00676D4A">
            <w:pPr>
              <w:rPr>
                <w:rFonts w:cstheme="minorHAnsi"/>
                <w:sz w:val="18"/>
                <w:szCs w:val="18"/>
              </w:rPr>
            </w:pPr>
            <w:r w:rsidRPr="00EF521E">
              <w:rPr>
                <w:szCs w:val="20"/>
              </w:rPr>
              <w:t>Watch following video:</w:t>
            </w:r>
          </w:p>
          <w:p w14:paraId="0B9239C9" w14:textId="77777777" w:rsidR="008D7379" w:rsidRPr="00EF521E" w:rsidRDefault="00676D4A" w:rsidP="008D7379">
            <w:pPr>
              <w:keepNext/>
              <w:spacing w:after="160"/>
              <w:jc w:val="center"/>
            </w:pPr>
            <w:r w:rsidRPr="00EF521E">
              <w:rPr>
                <w:noProof/>
              </w:rPr>
              <w:drawing>
                <wp:inline distT="0" distB="0" distL="0" distR="0" wp14:anchorId="00AE2390" wp14:editId="12A60EBC">
                  <wp:extent cx="5410200" cy="4057650"/>
                  <wp:effectExtent l="95250" t="95250" r="95250" b="95250"/>
                  <wp:docPr id="1991321048" name="Video 18" descr="Day 1 - CSRD - 101 | ESRS | EFRA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21048" name="Video 18" descr="Day 1 - CSRD - 101 | ESRS | EFRAG">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Fp60jhcb1E?start=3&amp;feature=oembed&quot; frameborder=&quot;0&quot; allow=&quot;accelerometer; autoplay; clipboard-write; encrypted-media; gyroscope; picture-in-picture; web-share&quot; referrerpolicy=&quot;strict-origin-when-cross-origin&quot; allowfullscreen=&quot;&quot; title=&quot;Day 1 - CSRD - 101 | ESRS | EFRAG&quot; sandbox=&quot;allow-scripts allow-same-origin allow-popups&quot;&gt;&lt;/iframe&gt;" h="113" w="200"/>
                              </a:ext>
                            </a:extLst>
                          </a:blip>
                          <a:stretch>
                            <a:fillRect/>
                          </a:stretch>
                        </pic:blipFill>
                        <pic:spPr>
                          <a:xfrm>
                            <a:off x="0" y="0"/>
                            <a:ext cx="5414020" cy="40605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0C1E01" w14:textId="47632D1F" w:rsidR="00531361" w:rsidRPr="00900767" w:rsidRDefault="008D7379" w:rsidP="00900767">
            <w:pPr>
              <w:pStyle w:val="Caption"/>
              <w:jc w:val="center"/>
              <w:rPr>
                <w:rFonts w:cstheme="minorHAnsi"/>
                <w:b w:val="0"/>
                <w:bCs w:val="0"/>
                <w:szCs w:val="20"/>
              </w:rPr>
            </w:pPr>
            <w:bookmarkStart w:id="7" w:name="_Toc227738758"/>
            <w:r w:rsidRPr="00EF521E">
              <w:rPr>
                <w:b w:val="0"/>
                <w:bCs w:val="0"/>
              </w:rPr>
              <w:t xml:space="preserve">Video </w:t>
            </w:r>
            <w:r w:rsidRPr="00EF521E">
              <w:rPr>
                <w:b w:val="0"/>
                <w:bCs w:val="0"/>
              </w:rPr>
              <w:fldChar w:fldCharType="begin"/>
            </w:r>
            <w:r w:rsidRPr="00EF521E">
              <w:rPr>
                <w:b w:val="0"/>
                <w:bCs w:val="0"/>
              </w:rPr>
              <w:instrText xml:space="preserve"> SEQ Video \* ARABIC </w:instrText>
            </w:r>
            <w:r w:rsidRPr="00EF521E">
              <w:rPr>
                <w:b w:val="0"/>
                <w:bCs w:val="0"/>
              </w:rPr>
              <w:fldChar w:fldCharType="separate"/>
            </w:r>
            <w:r w:rsidR="002074FD">
              <w:rPr>
                <w:b w:val="0"/>
                <w:bCs w:val="0"/>
                <w:noProof/>
              </w:rPr>
              <w:t>1</w:t>
            </w:r>
            <w:r w:rsidRPr="00EF521E">
              <w:rPr>
                <w:b w:val="0"/>
                <w:bCs w:val="0"/>
              </w:rPr>
              <w:fldChar w:fldCharType="end"/>
            </w:r>
            <w:r w:rsidRPr="00EF521E">
              <w:rPr>
                <w:b w:val="0"/>
                <w:bCs w:val="0"/>
              </w:rPr>
              <w:t>. What is CSRD? (https://www.youtube.com/watch?v=vFp60jhcb1E&amp;t=141s)</w:t>
            </w:r>
            <w:bookmarkEnd w:id="7"/>
          </w:p>
          <w:p w14:paraId="21E7DC77" w14:textId="77777777" w:rsidR="00676D4A" w:rsidRPr="00EF521E" w:rsidRDefault="00531361" w:rsidP="00676D4A">
            <w:pPr>
              <w:spacing w:after="160"/>
              <w:jc w:val="both"/>
              <w:rPr>
                <w:rFonts w:cstheme="minorHAnsi"/>
                <w:b/>
                <w:color w:val="00AC4E" w:themeColor="accent1"/>
                <w:szCs w:val="20"/>
                <w:u w:val="single"/>
              </w:rPr>
            </w:pPr>
            <w:r w:rsidRPr="00EF521E">
              <w:rPr>
                <w:rFonts w:cstheme="minorHAnsi"/>
                <w:b/>
                <w:bCs/>
                <w:color w:val="00AC4E" w:themeColor="accent1"/>
                <w:szCs w:val="20"/>
                <w:u w:val="single"/>
              </w:rPr>
              <w:lastRenderedPageBreak/>
              <w:t>Micro-activity</w:t>
            </w:r>
            <w:r w:rsidRPr="00EF521E">
              <w:rPr>
                <w:rFonts w:cstheme="minorHAnsi"/>
                <w:b/>
                <w:color w:val="00AC4E" w:themeColor="accent1"/>
                <w:szCs w:val="20"/>
                <w:u w:val="single"/>
              </w:rPr>
              <w:t>:</w:t>
            </w:r>
            <w:r w:rsidR="00676D4A" w:rsidRPr="00EF521E">
              <w:rPr>
                <w:rFonts w:cstheme="minorHAnsi"/>
                <w:b/>
                <w:color w:val="00AC4E" w:themeColor="accent1"/>
                <w:szCs w:val="20"/>
                <w:u w:val="single"/>
              </w:rPr>
              <w:t xml:space="preserve">  </w:t>
            </w:r>
          </w:p>
          <w:p w14:paraId="2578F0F6" w14:textId="0A9C1BEC" w:rsidR="00531361" w:rsidRPr="00EF521E" w:rsidRDefault="00676D4A" w:rsidP="00676D4A">
            <w:pPr>
              <w:spacing w:after="160"/>
              <w:jc w:val="both"/>
              <w:rPr>
                <w:bCs/>
                <w:szCs w:val="20"/>
              </w:rPr>
            </w:pPr>
            <w:r w:rsidRPr="00EF521E">
              <w:rPr>
                <w:bCs/>
                <w:szCs w:val="20"/>
              </w:rPr>
              <w:t>Reflection Point (15 min)</w:t>
            </w:r>
          </w:p>
          <w:p w14:paraId="773A1748" w14:textId="77777777" w:rsidR="00676D4A" w:rsidRPr="00EF521E" w:rsidRDefault="009E2B70" w:rsidP="00413340">
            <w:pPr>
              <w:spacing w:after="160"/>
              <w:jc w:val="both"/>
              <w:rPr>
                <w:bCs/>
                <w:szCs w:val="20"/>
              </w:rPr>
            </w:pPr>
            <w:r w:rsidRPr="00EF521E">
              <w:rPr>
                <w:rFonts w:cstheme="minorHAnsi"/>
                <w:b/>
                <w:bCs/>
                <w:szCs w:val="20"/>
              </w:rPr>
              <w:t>Learner</w:t>
            </w:r>
            <w:r w:rsidR="00531361" w:rsidRPr="00EF521E">
              <w:rPr>
                <w:rFonts w:cstheme="minorHAnsi"/>
                <w:b/>
                <w:bCs/>
                <w:szCs w:val="20"/>
              </w:rPr>
              <w:t xml:space="preserve"> task</w:t>
            </w:r>
            <w:r w:rsidR="00B84450" w:rsidRPr="00EF521E">
              <w:rPr>
                <w:rFonts w:cstheme="minorHAnsi"/>
                <w:b/>
                <w:bCs/>
                <w:szCs w:val="20"/>
              </w:rPr>
              <w:t>:</w:t>
            </w:r>
            <w:r w:rsidR="00676D4A" w:rsidRPr="00EF521E">
              <w:rPr>
                <w:bCs/>
                <w:szCs w:val="20"/>
              </w:rPr>
              <w:t xml:space="preserve"> </w:t>
            </w:r>
          </w:p>
          <w:p w14:paraId="0E9378EF" w14:textId="22CCE346" w:rsidR="00531361" w:rsidRPr="00EF521E" w:rsidRDefault="00676D4A" w:rsidP="00676D4A">
            <w:pPr>
              <w:spacing w:after="160"/>
              <w:jc w:val="both"/>
              <w:rPr>
                <w:rFonts w:cstheme="minorHAnsi"/>
                <w:b/>
                <w:bCs/>
                <w:szCs w:val="20"/>
              </w:rPr>
            </w:pPr>
            <w:r w:rsidRPr="00EF521E">
              <w:rPr>
                <w:bCs/>
                <w:szCs w:val="20"/>
              </w:rPr>
              <w:t>Search for your own company or a well-known brand (e.g., IKEA or BMW). Look for their latest "Sustainability Report." Check the "Statement of Use" or "Index"—do they mention GRI or CSRD/ESRS? Identify which standard they currently follow.</w:t>
            </w:r>
          </w:p>
          <w:p w14:paraId="79E2EDE5" w14:textId="77777777" w:rsidR="00BB1CD7" w:rsidRPr="00EF521E" w:rsidRDefault="00BB1CD7" w:rsidP="00413340">
            <w:pPr>
              <w:ind w:left="1069"/>
              <w:jc w:val="both"/>
              <w:rPr>
                <w:rFonts w:cstheme="minorHAnsi"/>
                <w:szCs w:val="20"/>
              </w:rPr>
            </w:pPr>
          </w:p>
          <w:p w14:paraId="4A932597" w14:textId="2BABB827" w:rsidR="00531361" w:rsidRPr="00EF521E" w:rsidRDefault="00531361" w:rsidP="00413340">
            <w:pPr>
              <w:spacing w:after="160"/>
              <w:jc w:val="both"/>
              <w:rPr>
                <w:rFonts w:cstheme="minorHAnsi"/>
                <w:color w:val="00AC4E" w:themeColor="accent1"/>
                <w:szCs w:val="20"/>
              </w:rPr>
            </w:pPr>
            <w:r w:rsidRPr="00EF521E">
              <w:rPr>
                <w:rFonts w:cstheme="minorHAnsi"/>
                <w:b/>
                <w:color w:val="00AC4E" w:themeColor="accent1"/>
                <w:szCs w:val="20"/>
              </w:rPr>
              <w:t xml:space="preserve">Additional </w:t>
            </w:r>
            <w:r w:rsidR="00B84450" w:rsidRPr="00EF521E">
              <w:rPr>
                <w:rFonts w:cstheme="minorHAnsi"/>
                <w:b/>
                <w:color w:val="00AC4E" w:themeColor="accent1"/>
                <w:szCs w:val="20"/>
              </w:rPr>
              <w:t>resources</w:t>
            </w:r>
            <w:r w:rsidRPr="00EF521E">
              <w:rPr>
                <w:rFonts w:cstheme="minorHAnsi"/>
                <w:b/>
                <w:color w:val="00AC4E" w:themeColor="accent1"/>
                <w:szCs w:val="20"/>
              </w:rPr>
              <w:t xml:space="preserve">: </w:t>
            </w:r>
          </w:p>
          <w:p w14:paraId="03485988" w14:textId="0E25A677" w:rsidR="00676D4A" w:rsidRPr="00EF521E" w:rsidRDefault="00676D4A" w:rsidP="00676D4A">
            <w:pPr>
              <w:pStyle w:val="ListParagraph"/>
              <w:numPr>
                <w:ilvl w:val="0"/>
                <w:numId w:val="180"/>
              </w:numPr>
              <w:jc w:val="both"/>
            </w:pPr>
            <w:r w:rsidRPr="00EF521E">
              <w:t xml:space="preserve">European Commission (2023). </w:t>
            </w:r>
            <w:hyperlink r:id="rId16">
              <w:r w:rsidRPr="00EF521E">
                <w:rPr>
                  <w:rStyle w:val="Hyperlink"/>
                  <w:color w:val="00AC4E" w:themeColor="accent1"/>
                </w:rPr>
                <w:t>Questions and Answers on the Adoption of European Sustainability Reporting Standards.</w:t>
              </w:r>
            </w:hyperlink>
            <w:r w:rsidRPr="00EF521E">
              <w:rPr>
                <w:rFonts w:ascii="Arial" w:eastAsia="Times New Roman" w:hAnsi="Arial" w:cs="Arial"/>
                <w:b/>
                <w:color w:val="2B2D31"/>
              </w:rPr>
              <w:t xml:space="preserve"> (</w:t>
            </w:r>
            <w:r w:rsidRPr="00EF521E">
              <w:t>Read chapters </w:t>
            </w:r>
            <w:r w:rsidRPr="00EF521E">
              <w:rPr>
                <w:bCs/>
              </w:rPr>
              <w:t xml:space="preserve">"Why did the Commission adopt ESRS?" and "Who will have to apply ESRS?". </w:t>
            </w:r>
            <w:r w:rsidRPr="00EF521E">
              <w:t xml:space="preserve">These answers provide the strategic context and clarify who the entities subject to reporting requirements are.) </w:t>
            </w:r>
          </w:p>
          <w:p w14:paraId="099F616B" w14:textId="556FDA60" w:rsidR="00676D4A" w:rsidRPr="00EF521E" w:rsidRDefault="00676D4A" w:rsidP="00676D4A">
            <w:pPr>
              <w:pStyle w:val="ListParagraph"/>
              <w:numPr>
                <w:ilvl w:val="0"/>
                <w:numId w:val="180"/>
              </w:numPr>
              <w:jc w:val="both"/>
              <w:rPr>
                <w:lang w:eastAsia="en-IE"/>
              </w:rPr>
            </w:pPr>
            <w:r w:rsidRPr="00EF521E">
              <w:t xml:space="preserve">EFRAG (2023). </w:t>
            </w:r>
            <w:hyperlink r:id="rId17">
              <w:r w:rsidRPr="00EF521E">
                <w:rPr>
                  <w:rStyle w:val="Hyperlink"/>
                  <w:color w:val="00AC4E" w:themeColor="accent1"/>
                </w:rPr>
                <w:t>ESRS 1 General Requirements.</w:t>
              </w:r>
            </w:hyperlink>
            <w:r w:rsidRPr="00EF521E">
              <w:t xml:space="preserve"> </w:t>
            </w:r>
            <w:r w:rsidRPr="00EF521E">
              <w:rPr>
                <w:bCs/>
              </w:rPr>
              <w:t>(Read Chapter 1 : Objectives and Chapter 2: Qualitative characteristics of information.  These sections define the technical quality standards that data must meet in order to be “audit-ready.”)</w:t>
            </w:r>
          </w:p>
          <w:p w14:paraId="42690364" w14:textId="5AC900E3" w:rsidR="00676D4A" w:rsidRPr="00EF521E" w:rsidRDefault="00676D4A" w:rsidP="00676D4A">
            <w:pPr>
              <w:pStyle w:val="ListParagraph"/>
              <w:numPr>
                <w:ilvl w:val="0"/>
                <w:numId w:val="180"/>
              </w:numPr>
              <w:jc w:val="both"/>
              <w:rPr>
                <w:lang w:eastAsia="en-IE"/>
              </w:rPr>
            </w:pPr>
            <w:r w:rsidRPr="00EF521E">
              <w:t>GRI (2023</w:t>
            </w:r>
            <w:r w:rsidRPr="00EF521E">
              <w:rPr>
                <w:color w:val="00AC4E" w:themeColor="accent1"/>
              </w:rPr>
              <w:t xml:space="preserve">). </w:t>
            </w:r>
            <w:hyperlink r:id="rId18">
              <w:r w:rsidRPr="00EF521E">
                <w:rPr>
                  <w:rStyle w:val="Hyperlink"/>
                  <w:color w:val="00AC4E" w:themeColor="accent1"/>
                </w:rPr>
                <w:t>Interoperability Pilot: GRI and ESRS</w:t>
              </w:r>
            </w:hyperlink>
            <w:r w:rsidRPr="00EF521E">
              <w:t xml:space="preserve">.  </w:t>
            </w:r>
            <w:r w:rsidRPr="00EF521E">
              <w:rPr>
                <w:bCs/>
              </w:rPr>
              <w:t>(Read the FAQ section explaining how data collected according to ESRS aligns with GRI standards. This is particularly important for analysts working in global companies that use both frameworks.).</w:t>
            </w:r>
          </w:p>
          <w:p w14:paraId="2064FFA9" w14:textId="77777777" w:rsidR="00676D4A" w:rsidRPr="00EF521E" w:rsidRDefault="00676D4A" w:rsidP="00676D4A">
            <w:pPr>
              <w:jc w:val="both"/>
              <w:rPr>
                <w:lang w:eastAsia="en-IE"/>
              </w:rPr>
            </w:pPr>
          </w:p>
          <w:p w14:paraId="50D9B651" w14:textId="6AFF2060" w:rsidR="00531361" w:rsidRPr="00EF521E" w:rsidRDefault="00531361" w:rsidP="00413340">
            <w:pPr>
              <w:spacing w:after="160"/>
              <w:jc w:val="both"/>
              <w:rPr>
                <w:rFonts w:cstheme="minorHAnsi"/>
                <w:b/>
                <w:color w:val="00AC4E" w:themeColor="accent1"/>
                <w:szCs w:val="20"/>
              </w:rPr>
            </w:pPr>
            <w:r w:rsidRPr="00EF521E">
              <w:rPr>
                <w:rFonts w:cstheme="minorHAnsi"/>
                <w:b/>
                <w:color w:val="00AC4E" w:themeColor="accent1"/>
                <w:szCs w:val="20"/>
              </w:rPr>
              <w:t>Key Takeaways</w:t>
            </w:r>
            <w:r w:rsidR="009E2B70" w:rsidRPr="00EF521E">
              <w:rPr>
                <w:rFonts w:cstheme="minorHAnsi"/>
                <w:b/>
                <w:color w:val="00AC4E" w:themeColor="accent1"/>
                <w:szCs w:val="20"/>
              </w:rPr>
              <w:t>:</w:t>
            </w:r>
          </w:p>
          <w:p w14:paraId="323DD28C" w14:textId="77777777" w:rsidR="00676D4A" w:rsidRPr="00EF521E" w:rsidRDefault="00676D4A" w:rsidP="00676D4A">
            <w:pPr>
              <w:pStyle w:val="ListParagraph"/>
              <w:numPr>
                <w:ilvl w:val="0"/>
                <w:numId w:val="100"/>
              </w:numPr>
              <w:jc w:val="both"/>
            </w:pPr>
            <w:r w:rsidRPr="00EF521E">
              <w:t>Regulatory Evolution: Sustainability reporting has transitioned from the voluntary, often inconsistent NFRD framework to the mandatory and strictly regulated CSRD. This shift elevates ESG data to the same level of legal importance as financial accounting.</w:t>
            </w:r>
          </w:p>
          <w:p w14:paraId="08C30381" w14:textId="77777777" w:rsidR="00676D4A" w:rsidRPr="00EF521E" w:rsidRDefault="00676D4A" w:rsidP="00676D4A">
            <w:pPr>
              <w:pStyle w:val="ListParagraph"/>
              <w:numPr>
                <w:ilvl w:val="0"/>
                <w:numId w:val="100"/>
              </w:numPr>
              <w:jc w:val="both"/>
            </w:pPr>
            <w:r w:rsidRPr="00EF521E">
              <w:t>Omnibus Optimization: The Omnibus I Directive (EU 2026/470) has refined the reporting landscape by focusing on large undertakings (1,000+ employees and ≥€450m turnover) and streamlining the mandatory ESRS data points from over 1,000 to approximately 320 core metrics.</w:t>
            </w:r>
          </w:p>
          <w:p w14:paraId="3C6A19A5" w14:textId="77777777" w:rsidR="00676D4A" w:rsidRPr="00EF521E" w:rsidRDefault="00676D4A" w:rsidP="00676D4A">
            <w:pPr>
              <w:pStyle w:val="ListParagraph"/>
              <w:numPr>
                <w:ilvl w:val="0"/>
                <w:numId w:val="100"/>
              </w:numPr>
              <w:jc w:val="both"/>
            </w:pPr>
            <w:r w:rsidRPr="00EF521E">
              <w:t>Operational Governance: To achieve "financial-grade" data, undertakings must implement a clear governance model. This includes the appointment of ESG Controllers to oversee compliance and Data Owners within operational departments to ensure accuracy at the source.</w:t>
            </w:r>
          </w:p>
          <w:p w14:paraId="4D66A81B" w14:textId="77777777" w:rsidR="00676D4A" w:rsidRPr="00EF521E" w:rsidRDefault="00676D4A" w:rsidP="00676D4A">
            <w:pPr>
              <w:pStyle w:val="ListParagraph"/>
              <w:numPr>
                <w:ilvl w:val="0"/>
                <w:numId w:val="100"/>
              </w:numPr>
              <w:jc w:val="both"/>
            </w:pPr>
            <w:r w:rsidRPr="00EF521E">
              <w:t>Reporting Frequency &amp; Scope: Effective data management is no longer an annual event but an ongoing process. Implementing monthly or quarterly collection cycles and clearly defining system boundaries are essential for monitoring progress and ensuring verifiability.</w:t>
            </w:r>
          </w:p>
          <w:p w14:paraId="764BF37D" w14:textId="77777777" w:rsidR="00676D4A" w:rsidRPr="00EF521E" w:rsidRDefault="00676D4A" w:rsidP="00676D4A">
            <w:pPr>
              <w:pStyle w:val="ListParagraph"/>
              <w:numPr>
                <w:ilvl w:val="0"/>
                <w:numId w:val="100"/>
              </w:numPr>
              <w:jc w:val="both"/>
            </w:pPr>
            <w:r w:rsidRPr="00EF521E">
              <w:t xml:space="preserve">Digital Standards: Under the new mandate, reports must be machine-readable through </w:t>
            </w:r>
            <w:proofErr w:type="spellStart"/>
            <w:r w:rsidRPr="00EF521E">
              <w:t>iXBRL</w:t>
            </w:r>
            <w:proofErr w:type="spellEnd"/>
            <w:r w:rsidRPr="00EF521E">
              <w:t xml:space="preserve"> tagging. Every material data point must meet the four qualitative characteristics: Relevance, Faithful Representation, Comparability, and Verifiability.</w:t>
            </w:r>
          </w:p>
          <w:p w14:paraId="4B341CB0" w14:textId="48D7FC74" w:rsidR="00531361" w:rsidRPr="00EF521E" w:rsidRDefault="00531361" w:rsidP="00676D4A">
            <w:pPr>
              <w:ind w:left="360"/>
            </w:pPr>
          </w:p>
          <w:p w14:paraId="4E41F0CD" w14:textId="77777777" w:rsidR="00B84450" w:rsidRDefault="00B84450" w:rsidP="00413340">
            <w:pPr>
              <w:ind w:left="720"/>
              <w:jc w:val="both"/>
              <w:rPr>
                <w:rFonts w:cstheme="minorHAnsi"/>
                <w:szCs w:val="20"/>
              </w:rPr>
            </w:pPr>
          </w:p>
          <w:p w14:paraId="286CE74E" w14:textId="77777777" w:rsidR="003A5F86" w:rsidRDefault="003A5F86" w:rsidP="00413340">
            <w:pPr>
              <w:ind w:left="720"/>
              <w:jc w:val="both"/>
              <w:rPr>
                <w:rFonts w:cstheme="minorHAnsi"/>
                <w:szCs w:val="20"/>
              </w:rPr>
            </w:pPr>
          </w:p>
          <w:p w14:paraId="27004D8B" w14:textId="77777777" w:rsidR="005507F0" w:rsidRDefault="005507F0" w:rsidP="00413340">
            <w:pPr>
              <w:ind w:left="720"/>
              <w:jc w:val="both"/>
              <w:rPr>
                <w:rFonts w:cstheme="minorHAnsi"/>
                <w:szCs w:val="20"/>
              </w:rPr>
            </w:pPr>
          </w:p>
          <w:p w14:paraId="6A5C1D54" w14:textId="77777777" w:rsidR="003A5F86" w:rsidRPr="00EF521E" w:rsidRDefault="003A5F86" w:rsidP="00413340">
            <w:pPr>
              <w:ind w:left="720"/>
              <w:jc w:val="both"/>
              <w:rPr>
                <w:rFonts w:cstheme="minorHAnsi"/>
                <w:szCs w:val="20"/>
              </w:rPr>
            </w:pPr>
          </w:p>
          <w:p w14:paraId="0DB33A23" w14:textId="6660CEDF" w:rsidR="00B84450" w:rsidRPr="00EF521E" w:rsidRDefault="00531361" w:rsidP="00413340">
            <w:pPr>
              <w:jc w:val="both"/>
              <w:rPr>
                <w:rFonts w:cstheme="minorHAnsi"/>
                <w:b/>
                <w:bCs/>
                <w:color w:val="00AC4E" w:themeColor="accent1"/>
                <w:szCs w:val="20"/>
              </w:rPr>
            </w:pPr>
            <w:r w:rsidRPr="00EF521E">
              <w:rPr>
                <w:rFonts w:cstheme="minorHAnsi"/>
                <w:b/>
                <w:color w:val="00AC4E" w:themeColor="accent1"/>
                <w:szCs w:val="20"/>
              </w:rPr>
              <w:lastRenderedPageBreak/>
              <w:t xml:space="preserve">Quick Check: </w:t>
            </w:r>
          </w:p>
          <w:p w14:paraId="6C6E1A54" w14:textId="53955FE9" w:rsidR="00531361" w:rsidRPr="00EF521E" w:rsidRDefault="00531361" w:rsidP="00413340">
            <w:pPr>
              <w:jc w:val="both"/>
              <w:rPr>
                <w:rFonts w:cstheme="minorHAnsi"/>
                <w:color w:val="009889" w:themeColor="accent2"/>
                <w:szCs w:val="20"/>
              </w:rPr>
            </w:pPr>
            <w:r w:rsidRPr="00EF521E">
              <w:rPr>
                <w:rFonts w:cstheme="minorHAnsi"/>
                <w:color w:val="009889" w:themeColor="accent2"/>
                <w:szCs w:val="20"/>
              </w:rPr>
              <w:t xml:space="preserve">1. </w:t>
            </w:r>
            <w:r w:rsidR="00676D4A" w:rsidRPr="00EF521E">
              <w:rPr>
                <w:rFonts w:cstheme="minorHAnsi"/>
                <w:color w:val="009889" w:themeColor="accent2"/>
                <w:szCs w:val="20"/>
              </w:rPr>
              <w:t>Under the Omnibus I Directive (EU 2026/470), what is the new primary threshold for mandatory reporting?</w:t>
            </w:r>
          </w:p>
          <w:p w14:paraId="4256C0C6" w14:textId="77777777" w:rsidR="00676D4A" w:rsidRPr="00EF521E" w:rsidRDefault="00676D4A" w:rsidP="00676D4A">
            <w:pPr>
              <w:pStyle w:val="ListParagraph"/>
              <w:numPr>
                <w:ilvl w:val="0"/>
                <w:numId w:val="184"/>
              </w:numPr>
              <w:rPr>
                <w:szCs w:val="20"/>
              </w:rPr>
            </w:pPr>
            <w:r w:rsidRPr="00EF521E">
              <w:rPr>
                <w:szCs w:val="20"/>
              </w:rPr>
              <w:t>250+ employees and €50m turnover</w:t>
            </w:r>
          </w:p>
          <w:p w14:paraId="4392F9F5" w14:textId="77777777" w:rsidR="00676D4A" w:rsidRPr="00EF521E" w:rsidRDefault="00676D4A" w:rsidP="00676D4A">
            <w:pPr>
              <w:pStyle w:val="ListParagraph"/>
              <w:numPr>
                <w:ilvl w:val="0"/>
                <w:numId w:val="184"/>
              </w:numPr>
              <w:jc w:val="both"/>
              <w:rPr>
                <w:rFonts w:cstheme="minorHAnsi"/>
                <w:sz w:val="18"/>
                <w:szCs w:val="18"/>
              </w:rPr>
            </w:pPr>
            <w:r w:rsidRPr="00EF521E">
              <w:rPr>
                <w:szCs w:val="20"/>
              </w:rPr>
              <w:t>500+ employees and €150m turnover</w:t>
            </w:r>
          </w:p>
          <w:p w14:paraId="7778C70F" w14:textId="42EE1B1D" w:rsidR="00531361" w:rsidRPr="00EF521E" w:rsidRDefault="00676D4A" w:rsidP="00676D4A">
            <w:pPr>
              <w:pStyle w:val="ListParagraph"/>
              <w:numPr>
                <w:ilvl w:val="0"/>
                <w:numId w:val="184"/>
              </w:numPr>
              <w:jc w:val="both"/>
              <w:rPr>
                <w:rFonts w:cstheme="minorHAnsi"/>
                <w:bCs/>
                <w:sz w:val="18"/>
                <w:szCs w:val="18"/>
              </w:rPr>
            </w:pPr>
            <w:r w:rsidRPr="00EF521E">
              <w:rPr>
                <w:bCs/>
                <w:szCs w:val="20"/>
              </w:rPr>
              <w:t xml:space="preserve">1,000+ employees and €450m turnover </w:t>
            </w:r>
          </w:p>
          <w:p w14:paraId="2DA98E13" w14:textId="77777777" w:rsidR="00676D4A" w:rsidRPr="00EF521E" w:rsidRDefault="00676D4A" w:rsidP="00676D4A">
            <w:pPr>
              <w:pStyle w:val="ListParagraph"/>
              <w:jc w:val="both"/>
              <w:rPr>
                <w:rFonts w:cstheme="minorHAnsi"/>
                <w:szCs w:val="20"/>
              </w:rPr>
            </w:pPr>
          </w:p>
          <w:p w14:paraId="30729378" w14:textId="07F9949B" w:rsidR="00676D4A" w:rsidRPr="00EF521E" w:rsidRDefault="00531361" w:rsidP="00676D4A">
            <w:pPr>
              <w:rPr>
                <w:color w:val="009889" w:themeColor="accent2"/>
                <w:szCs w:val="20"/>
              </w:rPr>
            </w:pPr>
            <w:r w:rsidRPr="00EF521E">
              <w:rPr>
                <w:rFonts w:cstheme="minorHAnsi"/>
                <w:color w:val="009889" w:themeColor="accent2"/>
                <w:szCs w:val="20"/>
              </w:rPr>
              <w:t>2.</w:t>
            </w:r>
            <w:r w:rsidR="00676D4A" w:rsidRPr="00EF521E">
              <w:rPr>
                <w:rFonts w:cstheme="minorHAnsi"/>
                <w:color w:val="009889" w:themeColor="accent2"/>
                <w:szCs w:val="20"/>
              </w:rPr>
              <w:t xml:space="preserve"> </w:t>
            </w:r>
            <w:r w:rsidR="00676D4A" w:rsidRPr="00EF521E">
              <w:rPr>
                <w:color w:val="009889" w:themeColor="accent2"/>
                <w:szCs w:val="20"/>
              </w:rPr>
              <w:t>Which ESRS standards are "Cross-cutting" and mandatory for all undertakings?</w:t>
            </w:r>
          </w:p>
          <w:p w14:paraId="36902834" w14:textId="77777777" w:rsidR="00676D4A" w:rsidRPr="00EF521E" w:rsidRDefault="00676D4A" w:rsidP="00676D4A">
            <w:pPr>
              <w:numPr>
                <w:ilvl w:val="0"/>
                <w:numId w:val="186"/>
              </w:numPr>
              <w:rPr>
                <w:szCs w:val="20"/>
              </w:rPr>
            </w:pPr>
            <w:r w:rsidRPr="00EF521E">
              <w:rPr>
                <w:szCs w:val="20"/>
              </w:rPr>
              <w:t>ESRS E1 and S1</w:t>
            </w:r>
          </w:p>
          <w:p w14:paraId="536322EA" w14:textId="040DAA97" w:rsidR="00676D4A" w:rsidRPr="00EF521E" w:rsidRDefault="00676D4A" w:rsidP="00676D4A">
            <w:pPr>
              <w:numPr>
                <w:ilvl w:val="0"/>
                <w:numId w:val="186"/>
              </w:numPr>
              <w:rPr>
                <w:bCs/>
                <w:szCs w:val="20"/>
              </w:rPr>
            </w:pPr>
            <w:r w:rsidRPr="00EF521E">
              <w:rPr>
                <w:bCs/>
                <w:szCs w:val="20"/>
              </w:rPr>
              <w:t>ESRS 1 and ESRS 2</w:t>
            </w:r>
          </w:p>
          <w:p w14:paraId="1D3F448D" w14:textId="4F24732E" w:rsidR="00676D4A" w:rsidRPr="00EF521E" w:rsidRDefault="00676D4A" w:rsidP="00676D4A">
            <w:pPr>
              <w:numPr>
                <w:ilvl w:val="0"/>
                <w:numId w:val="186"/>
              </w:numPr>
              <w:rPr>
                <w:szCs w:val="20"/>
              </w:rPr>
            </w:pPr>
            <w:r w:rsidRPr="00EF521E">
              <w:rPr>
                <w:szCs w:val="20"/>
              </w:rPr>
              <w:t>ESRS G1 only.</w:t>
            </w:r>
          </w:p>
          <w:p w14:paraId="38100F04" w14:textId="77777777" w:rsidR="00676D4A" w:rsidRPr="00EF521E" w:rsidRDefault="00676D4A" w:rsidP="00676D4A">
            <w:pPr>
              <w:ind w:left="720"/>
              <w:rPr>
                <w:szCs w:val="20"/>
              </w:rPr>
            </w:pPr>
          </w:p>
          <w:p w14:paraId="1F358B06" w14:textId="77777777" w:rsidR="00676D4A" w:rsidRPr="00EF521E" w:rsidRDefault="00676D4A" w:rsidP="00676D4A">
            <w:pPr>
              <w:rPr>
                <w:color w:val="009889" w:themeColor="accent2"/>
                <w:szCs w:val="20"/>
              </w:rPr>
            </w:pPr>
            <w:r w:rsidRPr="00EF521E">
              <w:rPr>
                <w:color w:val="009889" w:themeColor="accent2"/>
                <w:szCs w:val="20"/>
              </w:rPr>
              <w:t>3. Which role is responsible for the accuracy of primary data at its point of origin (e.g., HR or Facilities)?</w:t>
            </w:r>
          </w:p>
          <w:p w14:paraId="642328B0" w14:textId="77777777" w:rsidR="00676D4A" w:rsidRPr="00EF521E" w:rsidRDefault="00676D4A" w:rsidP="00676D4A">
            <w:pPr>
              <w:numPr>
                <w:ilvl w:val="0"/>
                <w:numId w:val="185"/>
              </w:numPr>
              <w:rPr>
                <w:szCs w:val="20"/>
              </w:rPr>
            </w:pPr>
            <w:r w:rsidRPr="00EF521E">
              <w:rPr>
                <w:szCs w:val="20"/>
              </w:rPr>
              <w:t>The Board of Directors</w:t>
            </w:r>
          </w:p>
          <w:p w14:paraId="33DCDB07" w14:textId="77777777" w:rsidR="00676D4A" w:rsidRPr="00EF521E" w:rsidRDefault="00676D4A" w:rsidP="00676D4A">
            <w:pPr>
              <w:numPr>
                <w:ilvl w:val="0"/>
                <w:numId w:val="185"/>
              </w:numPr>
              <w:rPr>
                <w:szCs w:val="20"/>
              </w:rPr>
            </w:pPr>
            <w:r w:rsidRPr="00EF521E">
              <w:rPr>
                <w:szCs w:val="20"/>
              </w:rPr>
              <w:t>ESG Auditor</w:t>
            </w:r>
          </w:p>
          <w:p w14:paraId="3ACB7562" w14:textId="7667B813" w:rsidR="00676D4A" w:rsidRPr="00EF521E" w:rsidRDefault="00676D4A" w:rsidP="00676D4A">
            <w:pPr>
              <w:numPr>
                <w:ilvl w:val="0"/>
                <w:numId w:val="185"/>
              </w:numPr>
              <w:rPr>
                <w:bCs/>
                <w:szCs w:val="20"/>
              </w:rPr>
            </w:pPr>
            <w:r w:rsidRPr="00EF521E">
              <w:rPr>
                <w:bCs/>
                <w:szCs w:val="20"/>
              </w:rPr>
              <w:t>Data Owner.</w:t>
            </w:r>
          </w:p>
          <w:p w14:paraId="2A630246" w14:textId="77777777" w:rsidR="00676D4A" w:rsidRPr="00EF521E" w:rsidRDefault="00676D4A" w:rsidP="00676D4A">
            <w:pPr>
              <w:rPr>
                <w:szCs w:val="20"/>
              </w:rPr>
            </w:pPr>
          </w:p>
          <w:p w14:paraId="335B10D2" w14:textId="77777777" w:rsidR="00676D4A" w:rsidRPr="00EF521E" w:rsidRDefault="00676D4A" w:rsidP="00676D4A">
            <w:pPr>
              <w:rPr>
                <w:color w:val="009889" w:themeColor="accent2"/>
                <w:szCs w:val="20"/>
              </w:rPr>
            </w:pPr>
            <w:r w:rsidRPr="00EF521E">
              <w:rPr>
                <w:color w:val="009889" w:themeColor="accent2"/>
                <w:szCs w:val="20"/>
              </w:rPr>
              <w:t xml:space="preserve">4. Reflection Prompt: </w:t>
            </w:r>
          </w:p>
          <w:p w14:paraId="757C8083" w14:textId="5A7C50F1" w:rsidR="00531361" w:rsidRPr="00EF521E" w:rsidRDefault="00676D4A" w:rsidP="00676D4A">
            <w:pPr>
              <w:jc w:val="both"/>
              <w:rPr>
                <w:szCs w:val="20"/>
              </w:rPr>
            </w:pPr>
            <w:r w:rsidRPr="00EF521E">
              <w:rPr>
                <w:szCs w:val="20"/>
              </w:rPr>
              <w:t>Watch the video and then describe in two sentences why the transition from "voluntary" to "mandatory" reporting is important for investors.</w:t>
            </w:r>
          </w:p>
          <w:p w14:paraId="736C25AF" w14:textId="77777777" w:rsidR="00676D4A" w:rsidRPr="00EF521E" w:rsidRDefault="00676D4A" w:rsidP="00676D4A">
            <w:pPr>
              <w:jc w:val="both"/>
              <w:rPr>
                <w:szCs w:val="20"/>
              </w:rPr>
            </w:pPr>
          </w:p>
          <w:p w14:paraId="4CDD7A39" w14:textId="77777777" w:rsidR="00676D4A" w:rsidRPr="00EF521E" w:rsidRDefault="00676D4A" w:rsidP="00676D4A">
            <w:pPr>
              <w:keepNext/>
              <w:jc w:val="center"/>
            </w:pPr>
            <w:r w:rsidRPr="00EF521E">
              <w:rPr>
                <w:noProof/>
              </w:rPr>
              <w:drawing>
                <wp:inline distT="0" distB="0" distL="0" distR="0" wp14:anchorId="5D6242BB" wp14:editId="14CFF671">
                  <wp:extent cx="5219700" cy="3914775"/>
                  <wp:effectExtent l="95250" t="95250" r="95250" b="104775"/>
                  <wp:docPr id="587554829" name="Video 19" descr="Mandatory vs Voluntary ESG Report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4829" name="Video 19" descr="Mandatory vs Voluntary ESG Reporting">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TKLd8vwQcA?feature=oembed&quot; frameborder=&quot;0&quot; allow=&quot;accelerometer; autoplay; clipboard-write; encrypted-media; gyroscope; picture-in-picture; web-share&quot; referrerpolicy=&quot;strict-origin-when-cross-origin&quot; allowfullscreen=&quot;&quot; title=&quot;Mandatory vs Voluntary ESG Reporting&quot; sandbox=&quot;allow-scripts allow-same-origin allow-popups&quot;&gt;&lt;/iframe&gt;" h="113" w="200"/>
                              </a:ext>
                            </a:extLst>
                          </a:blip>
                          <a:stretch>
                            <a:fillRect/>
                          </a:stretch>
                        </pic:blipFill>
                        <pic:spPr>
                          <a:xfrm>
                            <a:off x="0" y="0"/>
                            <a:ext cx="5222792" cy="39170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3B9B5D" w14:textId="5B967CCF" w:rsidR="00676D4A" w:rsidRPr="00EF521E" w:rsidRDefault="00676D4A" w:rsidP="00676D4A">
            <w:pPr>
              <w:pStyle w:val="Caption"/>
              <w:jc w:val="center"/>
              <w:rPr>
                <w:b w:val="0"/>
                <w:bCs w:val="0"/>
              </w:rPr>
            </w:pPr>
            <w:bookmarkStart w:id="8" w:name="_Toc227738759"/>
            <w:r w:rsidRPr="00EF521E">
              <w:rPr>
                <w:b w:val="0"/>
                <w:bCs w:val="0"/>
              </w:rPr>
              <w:t xml:space="preserve">Video </w:t>
            </w:r>
            <w:r w:rsidRPr="00EF521E">
              <w:rPr>
                <w:b w:val="0"/>
                <w:bCs w:val="0"/>
              </w:rPr>
              <w:fldChar w:fldCharType="begin"/>
            </w:r>
            <w:r w:rsidRPr="00EF521E">
              <w:rPr>
                <w:b w:val="0"/>
                <w:bCs w:val="0"/>
              </w:rPr>
              <w:instrText xml:space="preserve"> SEQ Video \* ARABIC </w:instrText>
            </w:r>
            <w:r w:rsidRPr="00EF521E">
              <w:rPr>
                <w:b w:val="0"/>
                <w:bCs w:val="0"/>
              </w:rPr>
              <w:fldChar w:fldCharType="separate"/>
            </w:r>
            <w:r w:rsidR="002074FD">
              <w:rPr>
                <w:b w:val="0"/>
                <w:bCs w:val="0"/>
                <w:noProof/>
              </w:rPr>
              <w:t>2</w:t>
            </w:r>
            <w:r w:rsidRPr="00EF521E">
              <w:rPr>
                <w:b w:val="0"/>
                <w:bCs w:val="0"/>
              </w:rPr>
              <w:fldChar w:fldCharType="end"/>
            </w:r>
            <w:r w:rsidRPr="00EF521E">
              <w:rPr>
                <w:b w:val="0"/>
                <w:bCs w:val="0"/>
              </w:rPr>
              <w:t>. Mandatory vs. Voluntary ESG Reporting (</w:t>
            </w:r>
            <w:hyperlink r:id="rId21" w:history="1">
              <w:r w:rsidR="00B22513" w:rsidRPr="00EF521E">
                <w:rPr>
                  <w:rStyle w:val="Hyperlink"/>
                  <w:b w:val="0"/>
                  <w:bCs w:val="0"/>
                </w:rPr>
                <w:t>https://www.youtube.com/watch?v=_TKLd8vwQcA</w:t>
              </w:r>
            </w:hyperlink>
            <w:r w:rsidRPr="00EF521E">
              <w:rPr>
                <w:b w:val="0"/>
                <w:bCs w:val="0"/>
              </w:rPr>
              <w:t>)</w:t>
            </w:r>
            <w:bookmarkEnd w:id="8"/>
          </w:p>
          <w:p w14:paraId="0A7A2B77" w14:textId="77777777" w:rsidR="00B22513" w:rsidRPr="00EF521E" w:rsidRDefault="00B22513" w:rsidP="00B22513"/>
          <w:p w14:paraId="0161505C" w14:textId="0BE235A5" w:rsidR="00B22513" w:rsidRPr="00EF521E" w:rsidRDefault="00B22513" w:rsidP="00B22513">
            <w:pPr>
              <w:rPr>
                <w:i/>
                <w:iCs/>
              </w:rPr>
            </w:pPr>
            <w:r w:rsidRPr="00EF521E">
              <w:rPr>
                <w:i/>
                <w:iCs/>
              </w:rPr>
              <w:t>Answer key: 1. c), 2. b), 3. c).</w:t>
            </w:r>
          </w:p>
        </w:tc>
      </w:tr>
      <w:tr w:rsidR="008D7379" w:rsidRPr="00EF521E" w14:paraId="7E29C136" w14:textId="77777777" w:rsidTr="00515876">
        <w:tc>
          <w:tcPr>
            <w:tcW w:w="9628" w:type="dxa"/>
          </w:tcPr>
          <w:p w14:paraId="43FDE43D" w14:textId="52A3BA67" w:rsidR="008D7379" w:rsidRPr="00EF521E" w:rsidRDefault="008D7379" w:rsidP="00515876">
            <w:pPr>
              <w:pStyle w:val="Heading2"/>
              <w:numPr>
                <w:ilvl w:val="0"/>
                <w:numId w:val="0"/>
              </w:numPr>
              <w:spacing w:before="0"/>
              <w:rPr>
                <w:rFonts w:cstheme="minorHAnsi"/>
                <w:b/>
                <w:bCs/>
                <w:szCs w:val="40"/>
              </w:rPr>
            </w:pPr>
            <w:bookmarkStart w:id="9" w:name="_Toc227485160"/>
            <w:r w:rsidRPr="00EF521E">
              <w:rPr>
                <w:rFonts w:cstheme="minorHAnsi"/>
                <w:b/>
                <w:bCs/>
                <w:szCs w:val="40"/>
              </w:rPr>
              <w:lastRenderedPageBreak/>
              <w:t>Topic 1.2: ESG Metrics and KPIs: What to Measure and Why</w:t>
            </w:r>
            <w:bookmarkEnd w:id="9"/>
          </w:p>
        </w:tc>
      </w:tr>
      <w:tr w:rsidR="008D7379" w:rsidRPr="00EF521E" w14:paraId="7517C783" w14:textId="77777777" w:rsidTr="00515876">
        <w:tc>
          <w:tcPr>
            <w:tcW w:w="9628" w:type="dxa"/>
            <w:shd w:val="clear" w:color="auto" w:fill="D9D9D9" w:themeFill="background1" w:themeFillShade="D9"/>
          </w:tcPr>
          <w:p w14:paraId="22E638A5" w14:textId="77777777" w:rsidR="008D7379" w:rsidRPr="00EF521E" w:rsidRDefault="008D7379" w:rsidP="00515876">
            <w:pPr>
              <w:rPr>
                <w:rFonts w:cstheme="minorHAnsi"/>
                <w:b/>
                <w:szCs w:val="20"/>
              </w:rPr>
            </w:pPr>
            <w:r w:rsidRPr="00EF521E">
              <w:rPr>
                <w:rFonts w:cstheme="minorHAnsi"/>
                <w:b/>
                <w:szCs w:val="20"/>
              </w:rPr>
              <w:t>Short introduction:</w:t>
            </w:r>
          </w:p>
        </w:tc>
      </w:tr>
      <w:tr w:rsidR="008D7379" w:rsidRPr="00EF521E" w14:paraId="43C721F9" w14:textId="77777777" w:rsidTr="00515876">
        <w:tc>
          <w:tcPr>
            <w:tcW w:w="9628" w:type="dxa"/>
          </w:tcPr>
          <w:p w14:paraId="2C4DE7EC" w14:textId="2E2DF029" w:rsidR="008D7379" w:rsidRPr="00EF521E" w:rsidRDefault="008D7379" w:rsidP="008D7379">
            <w:pPr>
              <w:jc w:val="both"/>
              <w:rPr>
                <w:rFonts w:cstheme="minorHAnsi"/>
                <w:szCs w:val="20"/>
              </w:rPr>
            </w:pPr>
            <w:r w:rsidRPr="00EF521E">
              <w:rPr>
                <w:szCs w:val="20"/>
              </w:rPr>
              <w:t>Identifying the right metrics is the core of a sustainability analyst’s role. While Topic 1.1 established the legal landscape, this topic explores the technical construction of the data. You will learn how to systematically categorize KPIs according to the ESRS pillars, understand the logic of "Intensity" versus "Absolute" indicators, and define the metadata required to ensure every data point is audit-ready and useful for decision-making.</w:t>
            </w:r>
          </w:p>
        </w:tc>
      </w:tr>
      <w:tr w:rsidR="008D7379" w:rsidRPr="00EF521E" w14:paraId="4A2EEA2B" w14:textId="77777777" w:rsidTr="00515876">
        <w:tc>
          <w:tcPr>
            <w:tcW w:w="9628" w:type="dxa"/>
            <w:shd w:val="clear" w:color="auto" w:fill="D9D9D9" w:themeFill="background1" w:themeFillShade="D9"/>
          </w:tcPr>
          <w:p w14:paraId="496F341C" w14:textId="77777777" w:rsidR="008D7379" w:rsidRPr="00EF521E" w:rsidRDefault="008D7379" w:rsidP="00515876">
            <w:pPr>
              <w:rPr>
                <w:rFonts w:cstheme="minorHAnsi"/>
                <w:b/>
                <w:szCs w:val="20"/>
              </w:rPr>
            </w:pPr>
            <w:r w:rsidRPr="00EF521E">
              <w:rPr>
                <w:rFonts w:cstheme="minorHAnsi"/>
                <w:b/>
                <w:szCs w:val="20"/>
              </w:rPr>
              <w:t xml:space="preserve">Theory &amp; Knowledge: </w:t>
            </w:r>
          </w:p>
        </w:tc>
      </w:tr>
      <w:tr w:rsidR="008D7379" w:rsidRPr="00EF521E" w14:paraId="290FC767" w14:textId="77777777" w:rsidTr="00515876">
        <w:trPr>
          <w:trHeight w:val="2142"/>
        </w:trPr>
        <w:tc>
          <w:tcPr>
            <w:tcW w:w="9628" w:type="dxa"/>
          </w:tcPr>
          <w:p w14:paraId="3F565760" w14:textId="77777777" w:rsidR="008D7379" w:rsidRPr="00EF521E" w:rsidRDefault="008D7379" w:rsidP="008D7379">
            <w:pPr>
              <w:pStyle w:val="Caption"/>
              <w:rPr>
                <w:sz w:val="22"/>
                <w:szCs w:val="22"/>
              </w:rPr>
            </w:pPr>
            <w:r w:rsidRPr="00EF521E">
              <w:rPr>
                <w:sz w:val="22"/>
                <w:szCs w:val="22"/>
              </w:rPr>
              <w:t>The Three Pillars of Sustainability Measurement</w:t>
            </w:r>
          </w:p>
          <w:p w14:paraId="6E62CC9F" w14:textId="77777777" w:rsidR="008D7379" w:rsidRPr="00EF521E" w:rsidRDefault="008D7379" w:rsidP="008D7379">
            <w:pPr>
              <w:rPr>
                <w:b/>
                <w:sz w:val="22"/>
                <w:szCs w:val="22"/>
              </w:rPr>
            </w:pPr>
          </w:p>
          <w:p w14:paraId="5F50EC4A" w14:textId="77777777" w:rsidR="008D7379" w:rsidRPr="00EF521E" w:rsidRDefault="008D7379" w:rsidP="008D7379">
            <w:pPr>
              <w:keepNext/>
              <w:jc w:val="center"/>
            </w:pPr>
            <w:r w:rsidRPr="00EF521E">
              <w:rPr>
                <w:noProof/>
              </w:rPr>
              <w:drawing>
                <wp:inline distT="0" distB="0" distL="0" distR="0" wp14:anchorId="0B5D49AC" wp14:editId="01F07C88">
                  <wp:extent cx="4648048" cy="3023750"/>
                  <wp:effectExtent l="19050" t="19050" r="19685" b="24765"/>
                  <wp:docPr id="5182393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9327" name="Picture 518239327"/>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66962" cy="3036054"/>
                          </a:xfrm>
                          <a:prstGeom prst="rect">
                            <a:avLst/>
                          </a:prstGeom>
                          <a:ln>
                            <a:solidFill>
                              <a:schemeClr val="tx2"/>
                            </a:solidFill>
                          </a:ln>
                        </pic:spPr>
                      </pic:pic>
                    </a:graphicData>
                  </a:graphic>
                </wp:inline>
              </w:drawing>
            </w:r>
          </w:p>
          <w:p w14:paraId="3E85CEE4" w14:textId="76D09E35" w:rsidR="008D7379" w:rsidRPr="00EF521E" w:rsidRDefault="008D7379" w:rsidP="008D7379">
            <w:pPr>
              <w:pStyle w:val="Caption"/>
              <w:jc w:val="center"/>
              <w:rPr>
                <w:b w:val="0"/>
                <w:bCs w:val="0"/>
              </w:rPr>
            </w:pPr>
            <w:bookmarkStart w:id="10" w:name="_Toc227486380"/>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2</w:t>
            </w:r>
            <w:r w:rsidRPr="00EF521E">
              <w:rPr>
                <w:b w:val="0"/>
                <w:bCs w:val="0"/>
              </w:rPr>
              <w:fldChar w:fldCharType="end"/>
            </w:r>
            <w:r w:rsidRPr="00EF521E">
              <w:rPr>
                <w:b w:val="0"/>
                <w:bCs w:val="0"/>
              </w:rPr>
              <w:t xml:space="preserve">. ESRS cross </w:t>
            </w:r>
            <w:proofErr w:type="spellStart"/>
            <w:r w:rsidRPr="00EF521E">
              <w:rPr>
                <w:b w:val="0"/>
                <w:bCs w:val="0"/>
              </w:rPr>
              <w:t>cuttung</w:t>
            </w:r>
            <w:proofErr w:type="spellEnd"/>
            <w:r w:rsidRPr="00EF521E">
              <w:rPr>
                <w:b w:val="0"/>
                <w:bCs w:val="0"/>
              </w:rPr>
              <w:t xml:space="preserve"> standards and 3 pillars of ESG (source: </w:t>
            </w:r>
            <w:hyperlink r:id="rId24">
              <w:r w:rsidRPr="00EF521E">
                <w:rPr>
                  <w:rStyle w:val="Hyperlink"/>
                  <w:b w:val="0"/>
                  <w:bCs w:val="0"/>
                </w:rPr>
                <w:t>esgtool.eu</w:t>
              </w:r>
            </w:hyperlink>
            <w:r w:rsidRPr="00EF521E">
              <w:rPr>
                <w:b w:val="0"/>
                <w:bCs w:val="0"/>
              </w:rPr>
              <w:t>)</w:t>
            </w:r>
            <w:bookmarkEnd w:id="10"/>
          </w:p>
          <w:p w14:paraId="5A7854B0" w14:textId="77777777" w:rsidR="008D7379" w:rsidRPr="00EF521E" w:rsidRDefault="008D7379" w:rsidP="008D7379">
            <w:pPr>
              <w:jc w:val="center"/>
              <w:rPr>
                <w:i/>
                <w:iCs/>
              </w:rPr>
            </w:pPr>
          </w:p>
          <w:p w14:paraId="2E5ECBE8" w14:textId="46303EBA" w:rsidR="008D7379" w:rsidRPr="00EF521E" w:rsidRDefault="008D7379" w:rsidP="008D7379">
            <w:pPr>
              <w:jc w:val="both"/>
              <w:rPr>
                <w:rFonts w:cstheme="minorHAnsi"/>
                <w:szCs w:val="20"/>
              </w:rPr>
            </w:pPr>
            <w:r w:rsidRPr="00EF521E">
              <w:rPr>
                <w:rFonts w:cstheme="minorHAnsi"/>
                <w:szCs w:val="20"/>
              </w:rPr>
              <w:t>The image above shows a structured table of ESRS standards, divided into cross-cutting standards (ESRS 1 and ESRS 2) and topical standards grouped under three pillars: Environment, Social, and Governance. The environmental pillar includes E1–E5 topics, the social pillar includes S1–S4 topics, and the governance pillar includes G1 business conduct.</w:t>
            </w:r>
          </w:p>
          <w:p w14:paraId="7F18BB6B" w14:textId="77777777" w:rsidR="008D7379" w:rsidRPr="00EF521E" w:rsidRDefault="008D7379" w:rsidP="008D7379">
            <w:pPr>
              <w:jc w:val="both"/>
              <w:rPr>
                <w:rFonts w:cstheme="minorHAnsi"/>
                <w:szCs w:val="20"/>
              </w:rPr>
            </w:pPr>
            <w:r w:rsidRPr="00EF521E">
              <w:rPr>
                <w:rFonts w:cstheme="minorHAnsi"/>
                <w:szCs w:val="20"/>
              </w:rPr>
              <w:t xml:space="preserve">To manage sustainability effectively, organizations categorize their data into three distinct dimensions. </w:t>
            </w:r>
          </w:p>
          <w:p w14:paraId="5440D019" w14:textId="77777777" w:rsidR="008D7379" w:rsidRPr="00EF521E" w:rsidRDefault="008D7379" w:rsidP="008D7379">
            <w:pPr>
              <w:rPr>
                <w:rFonts w:cstheme="minorHAnsi"/>
                <w:szCs w:val="20"/>
              </w:rPr>
            </w:pPr>
          </w:p>
          <w:p w14:paraId="05C15D46" w14:textId="72DAF047" w:rsidR="008D7379" w:rsidRPr="00EF521E" w:rsidRDefault="008D7379" w:rsidP="008D7379">
            <w:pPr>
              <w:rPr>
                <w:rFonts w:cstheme="minorHAnsi"/>
                <w:szCs w:val="20"/>
              </w:rPr>
            </w:pPr>
            <w:r w:rsidRPr="00EF521E">
              <w:rPr>
                <w:rFonts w:cstheme="minorHAnsi"/>
                <w:szCs w:val="20"/>
              </w:rPr>
              <w:t>Following the </w:t>
            </w:r>
            <w:r w:rsidRPr="00EF521E">
              <w:rPr>
                <w:rFonts w:cstheme="minorHAnsi"/>
                <w:b/>
                <w:szCs w:val="20"/>
              </w:rPr>
              <w:t>EFRAG ESRS framework</w:t>
            </w:r>
            <w:r w:rsidRPr="00EF521E">
              <w:rPr>
                <w:rFonts w:cstheme="minorHAnsi"/>
                <w:szCs w:val="20"/>
              </w:rPr>
              <w:t>, typical KPIs include:</w:t>
            </w:r>
          </w:p>
          <w:p w14:paraId="6623FFAC" w14:textId="77777777" w:rsidR="008D7379" w:rsidRPr="00EF521E" w:rsidRDefault="008D7379" w:rsidP="008D7379">
            <w:pPr>
              <w:numPr>
                <w:ilvl w:val="0"/>
                <w:numId w:val="190"/>
              </w:numPr>
              <w:rPr>
                <w:rFonts w:cstheme="minorHAnsi"/>
                <w:szCs w:val="20"/>
              </w:rPr>
            </w:pPr>
            <w:r w:rsidRPr="00EF521E">
              <w:rPr>
                <w:rFonts w:cstheme="minorHAnsi"/>
                <w:b/>
                <w:szCs w:val="20"/>
              </w:rPr>
              <w:t>Environmental (E1–E5):</w:t>
            </w:r>
            <w:r w:rsidRPr="00EF521E">
              <w:rPr>
                <w:rFonts w:cstheme="minorHAnsi"/>
                <w:szCs w:val="20"/>
              </w:rPr>
              <w:t> Scope 1, 2, &amp; 3 Emissions (</w:t>
            </w:r>
            <m:oMath>
              <m:r>
                <w:rPr>
                  <w:rFonts w:ascii="Cambria Math" w:hAnsi="Cambria Math" w:cstheme="minorHAnsi"/>
                  <w:szCs w:val="20"/>
                </w:rPr>
                <m:t>tC</m:t>
              </m:r>
              <m:sSub>
                <m:sSubPr>
                  <m:ctrlPr>
                    <w:rPr>
                      <w:rFonts w:ascii="Cambria Math" w:hAnsi="Cambria Math" w:cstheme="minorHAnsi"/>
                      <w:szCs w:val="20"/>
                    </w:rPr>
                  </m:ctrlPr>
                </m:sSubPr>
                <m:e>
                  <m:r>
                    <w:rPr>
                      <w:rFonts w:ascii="Cambria Math" w:hAnsi="Cambria Math" w:cstheme="minorHAnsi"/>
                      <w:szCs w:val="20"/>
                    </w:rPr>
                    <m:t>O</m:t>
                  </m:r>
                </m:e>
                <m:sub>
                  <m:r>
                    <w:rPr>
                      <w:rFonts w:ascii="Cambria Math" w:hAnsi="Cambria Math" w:cstheme="minorHAnsi"/>
                      <w:szCs w:val="20"/>
                    </w:rPr>
                    <m:t>2</m:t>
                  </m:r>
                </m:sub>
              </m:sSub>
              <m:r>
                <w:rPr>
                  <w:rFonts w:ascii="Cambria Math" w:hAnsi="Cambria Math" w:cstheme="minorHAnsi"/>
                  <w:szCs w:val="20"/>
                </w:rPr>
                <m:t>e</m:t>
              </m:r>
            </m:oMath>
            <w:r w:rsidRPr="00EF521E">
              <w:rPr>
                <w:rFonts w:cstheme="minorHAnsi"/>
                <w:szCs w:val="20"/>
              </w:rPr>
              <w:t>); Energy intensity; Total water withdrawal (</w:t>
            </w:r>
            <m:oMath>
              <m:sSup>
                <m:sSupPr>
                  <m:ctrlPr>
                    <w:rPr>
                      <w:rFonts w:ascii="Cambria Math" w:hAnsi="Cambria Math" w:cstheme="minorHAnsi"/>
                      <w:szCs w:val="20"/>
                    </w:rPr>
                  </m:ctrlPr>
                </m:sSupPr>
                <m:e>
                  <m:r>
                    <w:rPr>
                      <w:rFonts w:ascii="Cambria Math" w:hAnsi="Cambria Math" w:cstheme="minorHAnsi"/>
                      <w:szCs w:val="20"/>
                    </w:rPr>
                    <m:t>m</m:t>
                  </m:r>
                </m:e>
                <m:sup>
                  <m:r>
                    <w:rPr>
                      <w:rFonts w:ascii="Cambria Math" w:hAnsi="Cambria Math" w:cstheme="minorHAnsi"/>
                      <w:szCs w:val="20"/>
                    </w:rPr>
                    <m:t>3</m:t>
                  </m:r>
                </m:sup>
              </m:sSup>
            </m:oMath>
            <w:r w:rsidRPr="00EF521E">
              <w:rPr>
                <w:rFonts w:cstheme="minorHAnsi"/>
                <w:szCs w:val="20"/>
              </w:rPr>
              <w:t>); Waste generated (t); Land-use change (ha).</w:t>
            </w:r>
          </w:p>
          <w:p w14:paraId="0E146100" w14:textId="77777777" w:rsidR="008D7379" w:rsidRPr="00EF521E" w:rsidRDefault="008D7379" w:rsidP="008D7379">
            <w:pPr>
              <w:numPr>
                <w:ilvl w:val="0"/>
                <w:numId w:val="190"/>
              </w:numPr>
              <w:rPr>
                <w:rFonts w:cstheme="minorHAnsi"/>
                <w:szCs w:val="20"/>
              </w:rPr>
            </w:pPr>
            <w:r w:rsidRPr="00EF521E">
              <w:rPr>
                <w:rFonts w:cstheme="minorHAnsi"/>
                <w:b/>
                <w:szCs w:val="20"/>
              </w:rPr>
              <w:t>Social (S):</w:t>
            </w:r>
            <w:r w:rsidRPr="00EF521E">
              <w:rPr>
                <w:rFonts w:cstheme="minorHAnsi"/>
                <w:szCs w:val="20"/>
              </w:rPr>
              <w:t> Gender pay gap (%); Employee turnover (%); Supplier social screening (%).</w:t>
            </w:r>
          </w:p>
          <w:p w14:paraId="3ED9E59D" w14:textId="77777777" w:rsidR="008D7379" w:rsidRPr="00EF521E" w:rsidRDefault="008D7379" w:rsidP="008D7379">
            <w:pPr>
              <w:numPr>
                <w:ilvl w:val="0"/>
                <w:numId w:val="190"/>
              </w:numPr>
              <w:rPr>
                <w:rFonts w:cstheme="minorHAnsi"/>
                <w:szCs w:val="20"/>
              </w:rPr>
            </w:pPr>
            <w:r w:rsidRPr="00EF521E">
              <w:rPr>
                <w:rFonts w:cstheme="minorHAnsi"/>
                <w:b/>
                <w:szCs w:val="20"/>
              </w:rPr>
              <w:t>Governance (G):</w:t>
            </w:r>
            <w:r w:rsidRPr="00EF521E">
              <w:rPr>
                <w:rFonts w:cstheme="minorHAnsi"/>
                <w:szCs w:val="20"/>
              </w:rPr>
              <w:t> Anti-corruption training (%); Confirmed incidents of bribery (#).</w:t>
            </w:r>
          </w:p>
          <w:p w14:paraId="484A7CBF" w14:textId="77777777" w:rsidR="008D7379" w:rsidRPr="00EF521E" w:rsidRDefault="008D7379" w:rsidP="008D7379">
            <w:pPr>
              <w:rPr>
                <w:rFonts w:cstheme="minorHAnsi"/>
                <w:szCs w:val="20"/>
              </w:rPr>
            </w:pPr>
          </w:p>
          <w:p w14:paraId="07F63B80" w14:textId="346C159B" w:rsidR="00957ED1" w:rsidRPr="00957ED1" w:rsidRDefault="00957ED1" w:rsidP="00957ED1">
            <w:pPr>
              <w:pStyle w:val="Caption"/>
              <w:keepNext/>
              <w:rPr>
                <w:b w:val="0"/>
                <w:bCs w:val="0"/>
              </w:rPr>
            </w:pPr>
            <w:bookmarkStart w:id="11" w:name="_Toc227739595"/>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1</w:t>
            </w:r>
            <w:r w:rsidRPr="00957ED1">
              <w:rPr>
                <w:b w:val="0"/>
                <w:bCs w:val="0"/>
              </w:rPr>
              <w:fldChar w:fldCharType="end"/>
            </w:r>
            <w:r w:rsidRPr="00957ED1">
              <w:rPr>
                <w:b w:val="0"/>
                <w:bCs w:val="0"/>
              </w:rPr>
              <w:t>. ESRS KPIs (adopted from EC: Guideline for the Integration of ESG into Financial Analysis and Corporate Valuation)</w:t>
            </w:r>
            <w:bookmarkEnd w:id="11"/>
          </w:p>
          <w:tbl>
            <w:tblPr>
              <w:tblStyle w:val="TableGrid"/>
              <w:tblW w:w="0" w:type="auto"/>
              <w:jc w:val="center"/>
              <w:tblLook w:val="04A0" w:firstRow="1" w:lastRow="0" w:firstColumn="1" w:lastColumn="0" w:noHBand="0" w:noVBand="1"/>
            </w:tblPr>
            <w:tblGrid>
              <w:gridCol w:w="1057"/>
              <w:gridCol w:w="2885"/>
              <w:gridCol w:w="4733"/>
            </w:tblGrid>
            <w:tr w:rsidR="008D7379" w:rsidRPr="00EF521E" w14:paraId="0971EBC5" w14:textId="77777777" w:rsidTr="008D7379">
              <w:trPr>
                <w:jc w:val="center"/>
              </w:trPr>
              <w:tc>
                <w:tcPr>
                  <w:tcW w:w="0" w:type="auto"/>
                  <w:hideMark/>
                </w:tcPr>
                <w:p w14:paraId="1B28BBDF" w14:textId="77777777" w:rsidR="008D7379" w:rsidRPr="00EF521E" w:rsidRDefault="008D7379" w:rsidP="008D7379">
                  <w:pPr>
                    <w:spacing w:line="315" w:lineRule="atLeast"/>
                    <w:rPr>
                      <w:rFonts w:eastAsia="Times New Roman"/>
                      <w:sz w:val="18"/>
                      <w:szCs w:val="18"/>
                      <w:lang w:eastAsia="hr-HR"/>
                    </w:rPr>
                  </w:pPr>
                  <w:r w:rsidRPr="00EF521E">
                    <w:rPr>
                      <w:rFonts w:eastAsia="Times New Roman"/>
                      <w:sz w:val="18"/>
                      <w:szCs w:val="18"/>
                    </w:rPr>
                    <w:t>Standard</w:t>
                  </w:r>
                </w:p>
              </w:tc>
              <w:tc>
                <w:tcPr>
                  <w:tcW w:w="0" w:type="auto"/>
                  <w:hideMark/>
                </w:tcPr>
                <w:p w14:paraId="04BC2864" w14:textId="77777777" w:rsidR="008D7379" w:rsidRPr="00EF521E" w:rsidRDefault="008D7379" w:rsidP="008D7379">
                  <w:pPr>
                    <w:spacing w:line="315" w:lineRule="atLeast"/>
                    <w:rPr>
                      <w:rFonts w:eastAsia="Times New Roman"/>
                      <w:sz w:val="18"/>
                      <w:szCs w:val="18"/>
                      <w:lang w:eastAsia="hr-HR"/>
                    </w:rPr>
                  </w:pPr>
                  <w:r w:rsidRPr="00EF521E">
                    <w:rPr>
                      <w:rFonts w:eastAsia="Times New Roman"/>
                      <w:sz w:val="18"/>
                      <w:szCs w:val="18"/>
                    </w:rPr>
                    <w:t>Focus Area</w:t>
                  </w:r>
                </w:p>
              </w:tc>
              <w:tc>
                <w:tcPr>
                  <w:tcW w:w="0" w:type="auto"/>
                  <w:hideMark/>
                </w:tcPr>
                <w:p w14:paraId="416637A7" w14:textId="77777777" w:rsidR="008D7379" w:rsidRPr="00EF521E" w:rsidRDefault="008D7379" w:rsidP="008D7379">
                  <w:pPr>
                    <w:spacing w:line="315" w:lineRule="atLeast"/>
                    <w:rPr>
                      <w:rFonts w:eastAsia="Times New Roman"/>
                      <w:sz w:val="18"/>
                      <w:szCs w:val="18"/>
                      <w:lang w:eastAsia="hr-HR"/>
                    </w:rPr>
                  </w:pPr>
                  <w:r w:rsidRPr="00EF521E">
                    <w:rPr>
                      <w:rFonts w:eastAsia="Times New Roman"/>
                      <w:sz w:val="18"/>
                      <w:szCs w:val="18"/>
                    </w:rPr>
                    <w:t>Typical KPIs (Metrics)</w:t>
                  </w:r>
                </w:p>
              </w:tc>
            </w:tr>
            <w:tr w:rsidR="008D7379" w:rsidRPr="00EF521E" w14:paraId="345FD68D" w14:textId="77777777" w:rsidTr="008D7379">
              <w:trPr>
                <w:jc w:val="center"/>
              </w:trPr>
              <w:tc>
                <w:tcPr>
                  <w:tcW w:w="0" w:type="auto"/>
                  <w:hideMark/>
                </w:tcPr>
                <w:p w14:paraId="726E9FD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E1</w:t>
                  </w:r>
                </w:p>
              </w:tc>
              <w:tc>
                <w:tcPr>
                  <w:tcW w:w="0" w:type="auto"/>
                  <w:hideMark/>
                </w:tcPr>
                <w:p w14:paraId="18F6A239"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Climate Change</w:t>
                  </w:r>
                </w:p>
              </w:tc>
              <w:tc>
                <w:tcPr>
                  <w:tcW w:w="0" w:type="auto"/>
                  <w:hideMark/>
                </w:tcPr>
                <w:p w14:paraId="48BA114A"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lang w:eastAsia="hr-HR"/>
                    </w:rPr>
                    <w:t>Scope 1, 2, &amp; 3 Emissions (</w:t>
                  </w:r>
                  <m:oMath>
                    <m:r>
                      <w:rPr>
                        <w:rFonts w:ascii="Cambria Math" w:eastAsia="Times New Roman" w:hAnsi="Cambria Math" w:cstheme="minorHAnsi"/>
                        <w:sz w:val="18"/>
                        <w:szCs w:val="18"/>
                        <w:lang w:eastAsia="hr-HR"/>
                      </w:rPr>
                      <m:t>tC</m:t>
                    </m:r>
                    <m:sSub>
                      <m:sSubPr>
                        <m:ctrlPr>
                          <w:rPr>
                            <w:rFonts w:ascii="Cambria Math" w:eastAsia="Times New Roman" w:hAnsi="Cambria Math" w:cstheme="minorHAnsi"/>
                            <w:sz w:val="18"/>
                            <w:szCs w:val="18"/>
                            <w:lang w:eastAsia="hr-HR"/>
                          </w:rPr>
                        </m:ctrlPr>
                      </m:sSubPr>
                      <m:e>
                        <m:r>
                          <w:rPr>
                            <w:rFonts w:ascii="Cambria Math" w:eastAsia="Times New Roman" w:hAnsi="Cambria Math" w:cstheme="minorHAnsi"/>
                            <w:sz w:val="18"/>
                            <w:szCs w:val="18"/>
                            <w:lang w:eastAsia="hr-HR"/>
                          </w:rPr>
                          <m:t>O</m:t>
                        </m:r>
                      </m:e>
                      <m:sub>
                        <m:r>
                          <w:rPr>
                            <w:rFonts w:ascii="Cambria Math" w:eastAsia="Times New Roman" w:hAnsi="Cambria Math" w:cstheme="minorHAnsi"/>
                            <w:sz w:val="18"/>
                            <w:szCs w:val="18"/>
                            <w:lang w:eastAsia="hr-HR"/>
                          </w:rPr>
                          <m:t>2</m:t>
                        </m:r>
                      </m:sub>
                    </m:sSub>
                    <m:r>
                      <w:rPr>
                        <w:rFonts w:ascii="Cambria Math" w:eastAsia="Times New Roman" w:hAnsi="Cambria Math" w:cstheme="minorHAnsi"/>
                        <w:sz w:val="18"/>
                        <w:szCs w:val="18"/>
                        <w:lang w:eastAsia="hr-HR"/>
                      </w:rPr>
                      <m:t>e</m:t>
                    </m:r>
                  </m:oMath>
                  <w:r w:rsidRPr="00EF521E">
                    <w:rPr>
                      <w:rFonts w:eastAsia="Times New Roman"/>
                      <w:color w:val="2B2D31"/>
                      <w:sz w:val="18"/>
                      <w:szCs w:val="18"/>
                      <w:lang w:eastAsia="hr-HR"/>
                    </w:rPr>
                    <w:t xml:space="preserve">); </w:t>
                  </w:r>
                </w:p>
                <w:p w14:paraId="253620A5"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Total GHG emissions</w:t>
                  </w:r>
                </w:p>
                <w:p w14:paraId="288F2ED6"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lastRenderedPageBreak/>
                    <w:t xml:space="preserve">Emissions intensity (t </w:t>
                  </w:r>
                  <w:proofErr w:type="spellStart"/>
                  <w:r w:rsidRPr="00EF521E">
                    <w:rPr>
                      <w:rFonts w:eastAsia="Times New Roman"/>
                      <w:color w:val="2B2D31"/>
                      <w:sz w:val="18"/>
                      <w:szCs w:val="18"/>
                    </w:rPr>
                    <w:t>CO</w:t>
                  </w:r>
                  <w:r w:rsidRPr="00EF521E">
                    <w:rPr>
                      <w:rFonts w:ascii="Cambria Math" w:eastAsia="Times New Roman" w:hAnsi="Cambria Math" w:cs="Cambria Math"/>
                      <w:color w:val="2B2D31"/>
                      <w:sz w:val="18"/>
                      <w:szCs w:val="18"/>
                    </w:rPr>
                    <w:t>₂</w:t>
                  </w:r>
                  <w:r w:rsidRPr="00EF521E">
                    <w:rPr>
                      <w:rFonts w:eastAsia="Times New Roman"/>
                      <w:color w:val="2B2D31"/>
                      <w:sz w:val="18"/>
                      <w:szCs w:val="18"/>
                    </w:rPr>
                    <w:t>e</w:t>
                  </w:r>
                  <w:proofErr w:type="spellEnd"/>
                  <w:r w:rsidRPr="00EF521E">
                    <w:rPr>
                      <w:rFonts w:eastAsia="Times New Roman"/>
                      <w:color w:val="2B2D31"/>
                      <w:sz w:val="18"/>
                      <w:szCs w:val="18"/>
                    </w:rPr>
                    <w:t xml:space="preserve"> / revenue or / product)</w:t>
                  </w:r>
                </w:p>
                <w:p w14:paraId="180499DE"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Energy consumption (MWh)</w:t>
                  </w:r>
                </w:p>
                <w:p w14:paraId="038F9020"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Renewable energy share (%)</w:t>
                  </w:r>
                </w:p>
                <w:p w14:paraId="3598D120"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Energy intensity (MWh / output)</w:t>
                  </w:r>
                </w:p>
                <w:p w14:paraId="429B86A0"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CO</w:t>
                  </w:r>
                  <w:r w:rsidRPr="00EF521E">
                    <w:rPr>
                      <w:rFonts w:ascii="Cambria Math" w:eastAsia="Times New Roman" w:hAnsi="Cambria Math" w:cs="Cambria Math"/>
                      <w:color w:val="2B2D31"/>
                      <w:sz w:val="18"/>
                      <w:szCs w:val="18"/>
                    </w:rPr>
                    <w:t>₂</w:t>
                  </w:r>
                  <w:r w:rsidRPr="00EF521E">
                    <w:rPr>
                      <w:rFonts w:eastAsia="Times New Roman"/>
                      <w:color w:val="2B2D31"/>
                      <w:sz w:val="18"/>
                      <w:szCs w:val="18"/>
                    </w:rPr>
                    <w:t xml:space="preserve"> reduction vs baseline (%)</w:t>
                  </w:r>
                </w:p>
                <w:p w14:paraId="63888555" w14:textId="77777777" w:rsidR="008D7379" w:rsidRPr="00EF521E" w:rsidRDefault="008D7379" w:rsidP="008D7379">
                  <w:pPr>
                    <w:tabs>
                      <w:tab w:val="num" w:pos="720"/>
                    </w:tabs>
                    <w:spacing w:line="315" w:lineRule="atLeast"/>
                    <w:rPr>
                      <w:rFonts w:eastAsia="Times New Roman"/>
                      <w:color w:val="2B2D31"/>
                      <w:sz w:val="18"/>
                      <w:szCs w:val="18"/>
                      <w:lang w:eastAsia="hr-HR"/>
                    </w:rPr>
                  </w:pPr>
                  <w:r w:rsidRPr="00EF521E">
                    <w:rPr>
                      <w:rFonts w:eastAsia="Times New Roman"/>
                      <w:color w:val="2B2D31"/>
                      <w:sz w:val="18"/>
                      <w:szCs w:val="18"/>
                    </w:rPr>
                    <w:t xml:space="preserve">Internal carbon price (€ / t </w:t>
                  </w:r>
                  <w:proofErr w:type="spellStart"/>
                  <w:r w:rsidRPr="00EF521E">
                    <w:rPr>
                      <w:rFonts w:eastAsia="Times New Roman"/>
                      <w:color w:val="2B2D31"/>
                      <w:sz w:val="18"/>
                      <w:szCs w:val="18"/>
                    </w:rPr>
                    <w:t>CO</w:t>
                  </w:r>
                  <w:r w:rsidRPr="00EF521E">
                    <w:rPr>
                      <w:rFonts w:ascii="Cambria Math" w:eastAsia="Times New Roman" w:hAnsi="Cambria Math" w:cs="Cambria Math"/>
                      <w:color w:val="2B2D31"/>
                      <w:sz w:val="18"/>
                      <w:szCs w:val="18"/>
                    </w:rPr>
                    <w:t>₂</w:t>
                  </w:r>
                  <w:r w:rsidRPr="00EF521E">
                    <w:rPr>
                      <w:rFonts w:eastAsia="Times New Roman"/>
                      <w:color w:val="2B2D31"/>
                      <w:sz w:val="18"/>
                      <w:szCs w:val="18"/>
                    </w:rPr>
                    <w:t>e</w:t>
                  </w:r>
                  <w:proofErr w:type="spellEnd"/>
                </w:p>
                <w:p w14:paraId="07700C96" w14:textId="77777777" w:rsidR="008D7379" w:rsidRPr="00EF521E" w:rsidRDefault="008D7379" w:rsidP="008D7379">
                  <w:pPr>
                    <w:tabs>
                      <w:tab w:val="num" w:pos="720"/>
                    </w:tabs>
                    <w:spacing w:line="315" w:lineRule="atLeast"/>
                    <w:rPr>
                      <w:rFonts w:eastAsia="Times New Roman"/>
                      <w:color w:val="2B2D31"/>
                      <w:sz w:val="18"/>
                      <w:szCs w:val="18"/>
                      <w:lang w:eastAsia="hr-HR"/>
                    </w:rPr>
                  </w:pPr>
                  <w:proofErr w:type="spellStart"/>
                  <w:r w:rsidRPr="00EF521E">
                    <w:rPr>
                      <w:rFonts w:eastAsia="Times New Roman"/>
                      <w:color w:val="2B2D31"/>
                      <w:sz w:val="18"/>
                      <w:szCs w:val="18"/>
                    </w:rPr>
                    <w:t>CapEx</w:t>
                  </w:r>
                  <w:proofErr w:type="spellEnd"/>
                  <w:r w:rsidRPr="00EF521E">
                    <w:rPr>
                      <w:rFonts w:eastAsia="Times New Roman"/>
                      <w:color w:val="2B2D31"/>
                      <w:sz w:val="18"/>
                      <w:szCs w:val="18"/>
                    </w:rPr>
                    <w:t xml:space="preserve"> aligned with climate transition (%)</w:t>
                  </w:r>
                </w:p>
                <w:p w14:paraId="709F8FE2" w14:textId="77777777" w:rsidR="008D7379" w:rsidRPr="00EF521E" w:rsidRDefault="008D7379" w:rsidP="008D7379">
                  <w:pPr>
                    <w:spacing w:line="315" w:lineRule="atLeast"/>
                    <w:rPr>
                      <w:rFonts w:eastAsia="Times New Roman"/>
                      <w:color w:val="2B2D31"/>
                      <w:sz w:val="18"/>
                      <w:szCs w:val="18"/>
                      <w:lang w:eastAsia="hr-HR"/>
                    </w:rPr>
                  </w:pPr>
                </w:p>
              </w:tc>
            </w:tr>
            <w:tr w:rsidR="008D7379" w:rsidRPr="00EF521E" w14:paraId="54F96B72" w14:textId="77777777" w:rsidTr="008D7379">
              <w:trPr>
                <w:jc w:val="center"/>
              </w:trPr>
              <w:tc>
                <w:tcPr>
                  <w:tcW w:w="0" w:type="auto"/>
                  <w:hideMark/>
                </w:tcPr>
                <w:p w14:paraId="5BB6A607"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lastRenderedPageBreak/>
                    <w:t>E2</w:t>
                  </w:r>
                </w:p>
              </w:tc>
              <w:tc>
                <w:tcPr>
                  <w:tcW w:w="0" w:type="auto"/>
                  <w:hideMark/>
                </w:tcPr>
                <w:p w14:paraId="090C4D56"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Pollution</w:t>
                  </w:r>
                </w:p>
              </w:tc>
              <w:tc>
                <w:tcPr>
                  <w:tcW w:w="0" w:type="auto"/>
                  <w:hideMark/>
                </w:tcPr>
                <w:p w14:paraId="37FF9A3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 xml:space="preserve">Air pollutant emissions (NOx, </w:t>
                  </w:r>
                  <w:proofErr w:type="spellStart"/>
                  <w:r w:rsidRPr="00EF521E">
                    <w:rPr>
                      <w:rFonts w:eastAsia="Times New Roman"/>
                      <w:color w:val="2B2D31"/>
                      <w:sz w:val="18"/>
                      <w:szCs w:val="18"/>
                    </w:rPr>
                    <w:t>SOx</w:t>
                  </w:r>
                  <w:proofErr w:type="spellEnd"/>
                  <w:r w:rsidRPr="00EF521E">
                    <w:rPr>
                      <w:rFonts w:eastAsia="Times New Roman"/>
                      <w:color w:val="2B2D31"/>
                      <w:sz w:val="18"/>
                      <w:szCs w:val="18"/>
                    </w:rPr>
                    <w:t>, PM, VOC);</w:t>
                  </w:r>
                </w:p>
                <w:p w14:paraId="63CBC568"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 xml:space="preserve">Pollutant emissions to water (kg); </w:t>
                  </w:r>
                </w:p>
                <w:p w14:paraId="1B61250A"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 xml:space="preserve">Hazardous substances released (kg); </w:t>
                  </w:r>
                </w:p>
                <w:p w14:paraId="78D6A694"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Soil contamination incidents (#)</w:t>
                  </w:r>
                </w:p>
                <w:p w14:paraId="5DC17393"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Hazardous waste generated (t)</w:t>
                  </w:r>
                </w:p>
                <w:p w14:paraId="617BB953"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Toxic chemical use (kg)</w:t>
                  </w:r>
                </w:p>
                <w:p w14:paraId="628186B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Pollution incidents (#)</w:t>
                  </w:r>
                </w:p>
                <w:p w14:paraId="1E19BAA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Environmental fines related to pollution (€)</w:t>
                  </w:r>
                </w:p>
                <w:p w14:paraId="5C19630A" w14:textId="77777777" w:rsidR="008D7379" w:rsidRPr="00EF521E" w:rsidRDefault="008D7379" w:rsidP="008D7379">
                  <w:pPr>
                    <w:spacing w:line="315" w:lineRule="atLeast"/>
                    <w:rPr>
                      <w:rFonts w:eastAsia="Times New Roman"/>
                      <w:color w:val="2B2D31"/>
                      <w:sz w:val="18"/>
                      <w:szCs w:val="18"/>
                      <w:lang w:eastAsia="hr-HR"/>
                    </w:rPr>
                  </w:pPr>
                </w:p>
              </w:tc>
            </w:tr>
            <w:tr w:rsidR="008D7379" w:rsidRPr="00EF521E" w14:paraId="3A3ADA18" w14:textId="77777777" w:rsidTr="008D7379">
              <w:trPr>
                <w:jc w:val="center"/>
              </w:trPr>
              <w:tc>
                <w:tcPr>
                  <w:tcW w:w="0" w:type="auto"/>
                  <w:hideMark/>
                </w:tcPr>
                <w:p w14:paraId="7F9BD51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E3</w:t>
                  </w:r>
                </w:p>
              </w:tc>
              <w:tc>
                <w:tcPr>
                  <w:tcW w:w="0" w:type="auto"/>
                  <w:hideMark/>
                </w:tcPr>
                <w:p w14:paraId="1849F98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Water and marine resources</w:t>
                  </w:r>
                </w:p>
              </w:tc>
              <w:tc>
                <w:tcPr>
                  <w:tcW w:w="0" w:type="auto"/>
                  <w:hideMark/>
                </w:tcPr>
                <w:p w14:paraId="68F61F08"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Total water withdrawal (m³)</w:t>
                  </w:r>
                </w:p>
                <w:p w14:paraId="45116D3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Water consumption (m³)</w:t>
                  </w:r>
                </w:p>
                <w:p w14:paraId="4896D13C"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Water discharge (m³)</w:t>
                  </w:r>
                </w:p>
                <w:p w14:paraId="5CE5BBDE"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Water intensity (m³ / product or revenue)</w:t>
                  </w:r>
                </w:p>
                <w:p w14:paraId="74652204"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Water use in water-stressed areas (%)</w:t>
                  </w:r>
                </w:p>
                <w:p w14:paraId="66D6E2A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Water recycled and reused (%)</w:t>
                  </w:r>
                </w:p>
                <w:p w14:paraId="5CC1C30F"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Pollutant discharge to water (kg)</w:t>
                  </w:r>
                </w:p>
                <w:p w14:paraId="1064FE9A"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Marine ecosystem impact indicators</w:t>
                  </w:r>
                </w:p>
                <w:p w14:paraId="0D881FDB" w14:textId="77777777" w:rsidR="008D7379" w:rsidRPr="00EF521E" w:rsidRDefault="008D7379" w:rsidP="008D7379">
                  <w:pPr>
                    <w:spacing w:line="315" w:lineRule="atLeast"/>
                    <w:rPr>
                      <w:rFonts w:eastAsia="Times New Roman"/>
                      <w:color w:val="2B2D31"/>
                      <w:sz w:val="18"/>
                      <w:szCs w:val="18"/>
                      <w:lang w:eastAsia="hr-HR"/>
                    </w:rPr>
                  </w:pPr>
                </w:p>
              </w:tc>
            </w:tr>
            <w:tr w:rsidR="008D7379" w:rsidRPr="00EF521E" w14:paraId="25C8CB43" w14:textId="77777777" w:rsidTr="008D7379">
              <w:trPr>
                <w:jc w:val="center"/>
              </w:trPr>
              <w:tc>
                <w:tcPr>
                  <w:tcW w:w="0" w:type="auto"/>
                  <w:hideMark/>
                </w:tcPr>
                <w:p w14:paraId="7ECD93C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E4</w:t>
                  </w:r>
                </w:p>
              </w:tc>
              <w:tc>
                <w:tcPr>
                  <w:tcW w:w="0" w:type="auto"/>
                  <w:hideMark/>
                </w:tcPr>
                <w:p w14:paraId="2FAAF097"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Biodiversity and ecosystems</w:t>
                  </w:r>
                </w:p>
              </w:tc>
              <w:tc>
                <w:tcPr>
                  <w:tcW w:w="0" w:type="auto"/>
                  <w:hideMark/>
                </w:tcPr>
                <w:p w14:paraId="4BDCACC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Operational sites in protected areas (# / %)</w:t>
                  </w:r>
                </w:p>
                <w:p w14:paraId="6BDDBCB6"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Land use / land conversion (ha)</w:t>
                  </w:r>
                </w:p>
                <w:p w14:paraId="349D9192"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Habitat restoration area (ha)</w:t>
                  </w:r>
                </w:p>
                <w:p w14:paraId="1BE666D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Biodiversity impact score (e.g., GBS / MSA)</w:t>
                  </w:r>
                </w:p>
                <w:p w14:paraId="7103B638"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Deforestation risk in supply chain (%)</w:t>
                  </w:r>
                </w:p>
                <w:p w14:paraId="36726F1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Species affected (#)</w:t>
                  </w:r>
                </w:p>
                <w:p w14:paraId="5F1BA83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Biodiversity investments (€)</w:t>
                  </w:r>
                </w:p>
                <w:p w14:paraId="4311BD18"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Supplier biodiversity screening (%)</w:t>
                  </w:r>
                </w:p>
                <w:p w14:paraId="1A901D82" w14:textId="77777777" w:rsidR="008D7379" w:rsidRPr="00EF521E" w:rsidRDefault="008D7379" w:rsidP="008D7379">
                  <w:pPr>
                    <w:spacing w:line="315" w:lineRule="atLeast"/>
                    <w:rPr>
                      <w:rFonts w:eastAsia="Times New Roman"/>
                      <w:color w:val="2B2D31"/>
                      <w:sz w:val="18"/>
                      <w:szCs w:val="18"/>
                      <w:lang w:eastAsia="hr-HR"/>
                    </w:rPr>
                  </w:pPr>
                </w:p>
              </w:tc>
            </w:tr>
            <w:tr w:rsidR="008D7379" w:rsidRPr="00EF521E" w14:paraId="493CBB71" w14:textId="77777777" w:rsidTr="008D7379">
              <w:trPr>
                <w:jc w:val="center"/>
              </w:trPr>
              <w:tc>
                <w:tcPr>
                  <w:tcW w:w="0" w:type="auto"/>
                  <w:hideMark/>
                </w:tcPr>
                <w:p w14:paraId="232A844F"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E5</w:t>
                  </w:r>
                </w:p>
              </w:tc>
              <w:tc>
                <w:tcPr>
                  <w:tcW w:w="0" w:type="auto"/>
                  <w:hideMark/>
                </w:tcPr>
                <w:p w14:paraId="3122A2A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Circular Economy</w:t>
                  </w:r>
                </w:p>
              </w:tc>
              <w:tc>
                <w:tcPr>
                  <w:tcW w:w="0" w:type="auto"/>
                  <w:hideMark/>
                </w:tcPr>
                <w:p w14:paraId="18C7370A"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Total material use (t)</w:t>
                  </w:r>
                </w:p>
                <w:p w14:paraId="2D9747F6"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Recycled material share (%)</w:t>
                  </w:r>
                </w:p>
                <w:p w14:paraId="1FB06D3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Renewable material share (%)</w:t>
                  </w:r>
                </w:p>
                <w:p w14:paraId="4E5B2123"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Waste generated (t)</w:t>
                  </w:r>
                </w:p>
                <w:p w14:paraId="1913181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Hazardous vs non-hazardous waste (t)</w:t>
                  </w:r>
                </w:p>
                <w:p w14:paraId="0C9075DD"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Waste recycled (%)</w:t>
                  </w:r>
                </w:p>
                <w:p w14:paraId="1D065FA7"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Waste diverted from landfill (%)</w:t>
                  </w:r>
                </w:p>
                <w:p w14:paraId="18903E45"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Product recyclability (%)</w:t>
                  </w:r>
                </w:p>
                <w:p w14:paraId="70B1A42C"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Product lifetime / durability metrics</w:t>
                  </w:r>
                </w:p>
                <w:p w14:paraId="69F41448"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Circular revenue (%)</w:t>
                  </w:r>
                </w:p>
                <w:p w14:paraId="53BB085D" w14:textId="77777777" w:rsidR="008D7379" w:rsidRPr="00EF521E" w:rsidRDefault="008D7379" w:rsidP="008D7379">
                  <w:pPr>
                    <w:spacing w:line="315" w:lineRule="atLeast"/>
                    <w:rPr>
                      <w:rFonts w:eastAsia="Times New Roman"/>
                      <w:color w:val="2B2D31"/>
                      <w:sz w:val="18"/>
                      <w:szCs w:val="18"/>
                      <w:lang w:eastAsia="hr-HR"/>
                    </w:rPr>
                  </w:pPr>
                </w:p>
              </w:tc>
            </w:tr>
            <w:tr w:rsidR="008D7379" w:rsidRPr="00EF521E" w14:paraId="66D0B51A" w14:textId="77777777" w:rsidTr="008D7379">
              <w:trPr>
                <w:jc w:val="center"/>
              </w:trPr>
              <w:tc>
                <w:tcPr>
                  <w:tcW w:w="0" w:type="auto"/>
                  <w:hideMark/>
                </w:tcPr>
                <w:p w14:paraId="39EFA7D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S1-S4</w:t>
                  </w:r>
                </w:p>
              </w:tc>
              <w:tc>
                <w:tcPr>
                  <w:tcW w:w="0" w:type="auto"/>
                  <w:hideMark/>
                </w:tcPr>
                <w:p w14:paraId="3A07532D"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Social</w:t>
                  </w:r>
                </w:p>
              </w:tc>
              <w:tc>
                <w:tcPr>
                  <w:tcW w:w="0" w:type="auto"/>
                  <w:hideMark/>
                </w:tcPr>
                <w:p w14:paraId="460EBE4A"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Gender Pay Gap (%)</w:t>
                  </w:r>
                </w:p>
                <w:p w14:paraId="3EA6E7A9"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Employee Turnover (%)</w:t>
                  </w:r>
                </w:p>
                <w:p w14:paraId="241222E0"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Supplier Social Screening (%).</w:t>
                  </w:r>
                </w:p>
              </w:tc>
            </w:tr>
            <w:tr w:rsidR="008D7379" w:rsidRPr="00EF521E" w14:paraId="483139D0" w14:textId="77777777" w:rsidTr="008D7379">
              <w:trPr>
                <w:jc w:val="center"/>
              </w:trPr>
              <w:tc>
                <w:tcPr>
                  <w:tcW w:w="0" w:type="auto"/>
                  <w:hideMark/>
                </w:tcPr>
                <w:p w14:paraId="6FC09C74"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lastRenderedPageBreak/>
                    <w:t>G1</w:t>
                  </w:r>
                </w:p>
              </w:tc>
              <w:tc>
                <w:tcPr>
                  <w:tcW w:w="0" w:type="auto"/>
                  <w:hideMark/>
                </w:tcPr>
                <w:p w14:paraId="4B3F119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b/>
                      <w:color w:val="2B2D31"/>
                      <w:sz w:val="18"/>
                      <w:szCs w:val="18"/>
                    </w:rPr>
                    <w:t>Governance</w:t>
                  </w:r>
                </w:p>
              </w:tc>
              <w:tc>
                <w:tcPr>
                  <w:tcW w:w="0" w:type="auto"/>
                  <w:hideMark/>
                </w:tcPr>
                <w:p w14:paraId="4D91B23B"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Anti-corruption training (%)</w:t>
                  </w:r>
                </w:p>
                <w:p w14:paraId="696F510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Confirmed incidents of bribery (#)</w:t>
                  </w:r>
                </w:p>
                <w:p w14:paraId="6E838FD1" w14:textId="77777777" w:rsidR="008D7379" w:rsidRPr="00EF521E" w:rsidRDefault="008D7379" w:rsidP="008D7379">
                  <w:pPr>
                    <w:spacing w:line="315" w:lineRule="atLeast"/>
                    <w:rPr>
                      <w:rFonts w:eastAsia="Times New Roman"/>
                      <w:color w:val="2B2D31"/>
                      <w:sz w:val="18"/>
                      <w:szCs w:val="18"/>
                      <w:lang w:eastAsia="hr-HR"/>
                    </w:rPr>
                  </w:pPr>
                  <w:r w:rsidRPr="00EF521E">
                    <w:rPr>
                      <w:rFonts w:eastAsia="Times New Roman"/>
                      <w:color w:val="2B2D31"/>
                      <w:sz w:val="18"/>
                      <w:szCs w:val="18"/>
                    </w:rPr>
                    <w:t>Board Diversity (%).</w:t>
                  </w:r>
                </w:p>
              </w:tc>
            </w:tr>
          </w:tbl>
          <w:p w14:paraId="64D5BA23" w14:textId="77777777" w:rsidR="003A5F86" w:rsidRDefault="003A5F86" w:rsidP="008D7379">
            <w:pPr>
              <w:rPr>
                <w:b/>
                <w:color w:val="009889" w:themeColor="accent2"/>
                <w:sz w:val="22"/>
                <w:szCs w:val="22"/>
              </w:rPr>
            </w:pPr>
          </w:p>
          <w:p w14:paraId="51550EA0" w14:textId="6ADE14ED" w:rsidR="008D7379" w:rsidRPr="00EF521E" w:rsidRDefault="008D7379" w:rsidP="008D7379">
            <w:pPr>
              <w:rPr>
                <w:b/>
                <w:color w:val="009889" w:themeColor="accent2"/>
                <w:sz w:val="22"/>
                <w:szCs w:val="22"/>
              </w:rPr>
            </w:pPr>
            <w:r w:rsidRPr="00EF521E">
              <w:rPr>
                <w:b/>
                <w:color w:val="009889" w:themeColor="accent2"/>
                <w:sz w:val="22"/>
                <w:szCs w:val="22"/>
              </w:rPr>
              <w:t xml:space="preserve">Quantitative vs. Qualitative Data </w:t>
            </w:r>
          </w:p>
          <w:p w14:paraId="471EFCEC" w14:textId="77777777" w:rsidR="008D7379" w:rsidRPr="00EF521E" w:rsidRDefault="008D7379" w:rsidP="008D7379">
            <w:pPr>
              <w:jc w:val="both"/>
              <w:rPr>
                <w:rFonts w:cstheme="minorHAnsi"/>
                <w:b/>
                <w:szCs w:val="20"/>
              </w:rPr>
            </w:pPr>
            <w:r w:rsidRPr="00EF521E">
              <w:rPr>
                <w:rFonts w:eastAsia="Times New Roman" w:cstheme="minorHAnsi"/>
                <w:color w:val="2B2D31"/>
                <w:szCs w:val="20"/>
              </w:rPr>
              <w:t>A sustainability report is not just a list of numbers; it is a narrative supported by data. Analysts must manage two types of information:</w:t>
            </w:r>
          </w:p>
          <w:p w14:paraId="0AD9B9B0" w14:textId="77777777" w:rsidR="008D7379" w:rsidRPr="00EF521E" w:rsidRDefault="008D7379" w:rsidP="008D7379">
            <w:pPr>
              <w:pStyle w:val="ListParagraph"/>
              <w:numPr>
                <w:ilvl w:val="0"/>
                <w:numId w:val="193"/>
              </w:numPr>
              <w:jc w:val="both"/>
              <w:rPr>
                <w:rFonts w:cstheme="minorHAnsi"/>
                <w:szCs w:val="20"/>
                <w:lang w:eastAsia="hr-HR"/>
              </w:rPr>
            </w:pPr>
            <w:r w:rsidRPr="00EF521E">
              <w:rPr>
                <w:rFonts w:cstheme="minorHAnsi"/>
                <w:b/>
                <w:szCs w:val="20"/>
              </w:rPr>
              <w:t>Quantitative Information (The "What"):</w:t>
            </w:r>
            <w:r w:rsidRPr="00EF521E">
              <w:rPr>
                <w:rFonts w:cstheme="minorHAnsi"/>
                <w:szCs w:val="20"/>
              </w:rPr>
              <w:t> Numerical data points like "4,500 GJ of energy used." This is essential for tracking progress against targets and creating dashboards.</w:t>
            </w:r>
          </w:p>
          <w:p w14:paraId="5DB54125" w14:textId="77777777" w:rsidR="008D7379" w:rsidRPr="00EF521E" w:rsidRDefault="008D7379" w:rsidP="008D7379">
            <w:pPr>
              <w:pStyle w:val="ListParagraph"/>
              <w:numPr>
                <w:ilvl w:val="0"/>
                <w:numId w:val="193"/>
              </w:numPr>
              <w:jc w:val="both"/>
              <w:rPr>
                <w:rFonts w:cstheme="minorHAnsi"/>
                <w:szCs w:val="20"/>
                <w:lang w:eastAsia="hr-HR"/>
              </w:rPr>
            </w:pPr>
            <w:r w:rsidRPr="00EF521E">
              <w:rPr>
                <w:rFonts w:cstheme="minorHAnsi"/>
                <w:b/>
                <w:szCs w:val="20"/>
              </w:rPr>
              <w:t>Qualitative Information (The "How"):</w:t>
            </w:r>
            <w:r w:rsidRPr="00EF521E">
              <w:rPr>
                <w:rFonts w:cstheme="minorHAnsi"/>
                <w:szCs w:val="20"/>
              </w:rPr>
              <w:t> Narrative descriptions of policies, risks, and strategies. For example, a company must describe its </w:t>
            </w:r>
            <w:r w:rsidRPr="00EF521E">
              <w:rPr>
                <w:rFonts w:cstheme="minorHAnsi"/>
                <w:i/>
                <w:szCs w:val="20"/>
              </w:rPr>
              <w:t>policy</w:t>
            </w:r>
            <w:r w:rsidRPr="00EF521E">
              <w:rPr>
                <w:rFonts w:cstheme="minorHAnsi"/>
                <w:szCs w:val="20"/>
              </w:rPr>
              <w:t> on anti-bribery alongside the </w:t>
            </w:r>
            <w:r w:rsidRPr="00EF521E">
              <w:rPr>
                <w:rFonts w:cstheme="minorHAnsi"/>
                <w:i/>
                <w:szCs w:val="20"/>
              </w:rPr>
              <w:t>number</w:t>
            </w:r>
            <w:r w:rsidRPr="00EF521E">
              <w:rPr>
                <w:rFonts w:cstheme="minorHAnsi"/>
                <w:szCs w:val="20"/>
              </w:rPr>
              <w:t> of incidents.</w:t>
            </w:r>
          </w:p>
          <w:p w14:paraId="0D9108BA" w14:textId="77777777" w:rsidR="008D7379" w:rsidRPr="00EF521E" w:rsidRDefault="008D7379" w:rsidP="008D7379">
            <w:pPr>
              <w:pStyle w:val="ListParagraph"/>
              <w:numPr>
                <w:ilvl w:val="0"/>
                <w:numId w:val="193"/>
              </w:numPr>
              <w:jc w:val="both"/>
              <w:rPr>
                <w:rFonts w:cstheme="minorHAnsi"/>
                <w:szCs w:val="20"/>
                <w:lang w:eastAsia="hr-HR"/>
              </w:rPr>
            </w:pPr>
            <w:r w:rsidRPr="00EF521E">
              <w:rPr>
                <w:rFonts w:cstheme="minorHAnsi"/>
                <w:b/>
                <w:szCs w:val="20"/>
              </w:rPr>
              <w:t>The Metadata Solution:</w:t>
            </w:r>
            <w:r w:rsidRPr="00EF521E">
              <w:rPr>
                <w:rFonts w:cstheme="minorHAnsi"/>
                <w:szCs w:val="20"/>
              </w:rPr>
              <w:t> To make quantitative numbers trustworthy, analysts use a </w:t>
            </w:r>
            <w:r w:rsidRPr="00EF521E">
              <w:rPr>
                <w:rFonts w:cstheme="minorHAnsi"/>
                <w:bCs/>
                <w:szCs w:val="20"/>
              </w:rPr>
              <w:t>Data Dictionary. This document stores Metadata (data</w:t>
            </w:r>
            <w:r w:rsidRPr="00EF521E">
              <w:rPr>
                <w:rFonts w:cstheme="minorHAnsi"/>
                <w:szCs w:val="20"/>
              </w:rPr>
              <w:t xml:space="preserve"> about data), such as:</w:t>
            </w:r>
          </w:p>
          <w:p w14:paraId="10088AB6" w14:textId="77777777" w:rsidR="008D7379" w:rsidRPr="00EF521E" w:rsidRDefault="008D7379" w:rsidP="00D77986">
            <w:pPr>
              <w:pStyle w:val="ListParagraph"/>
              <w:numPr>
                <w:ilvl w:val="0"/>
                <w:numId w:val="194"/>
              </w:numPr>
              <w:jc w:val="both"/>
              <w:rPr>
                <w:rFonts w:cstheme="minorHAnsi"/>
                <w:bCs/>
                <w:szCs w:val="20"/>
                <w:lang w:eastAsia="hr-HR"/>
              </w:rPr>
            </w:pPr>
            <w:r w:rsidRPr="00EF521E">
              <w:rPr>
                <w:rFonts w:cstheme="minorHAnsi"/>
                <w:bCs/>
                <w:szCs w:val="20"/>
              </w:rPr>
              <w:t>Metric Definition: Exactly what is being measured.</w:t>
            </w:r>
          </w:p>
          <w:p w14:paraId="32BE1201" w14:textId="77777777" w:rsidR="008D7379" w:rsidRPr="00EF521E" w:rsidRDefault="008D7379" w:rsidP="00D77986">
            <w:pPr>
              <w:pStyle w:val="ListParagraph"/>
              <w:numPr>
                <w:ilvl w:val="0"/>
                <w:numId w:val="194"/>
              </w:numPr>
              <w:jc w:val="both"/>
              <w:rPr>
                <w:rFonts w:cstheme="minorHAnsi"/>
                <w:bCs/>
                <w:szCs w:val="20"/>
                <w:lang w:eastAsia="hr-HR"/>
              </w:rPr>
            </w:pPr>
            <w:r w:rsidRPr="00EF521E">
              <w:rPr>
                <w:rFonts w:cstheme="minorHAnsi"/>
                <w:bCs/>
                <w:szCs w:val="20"/>
              </w:rPr>
              <w:t>Calculation Logic: The formula used (e.g., </w:t>
            </w:r>
            <w:r w:rsidRPr="00EF521E">
              <w:rPr>
                <w:rFonts w:cstheme="minorHAnsi"/>
                <w:bCs/>
                <w:i/>
                <w:szCs w:val="20"/>
              </w:rPr>
              <w:t>Consumption × Emission Factor</w:t>
            </w:r>
            <w:r w:rsidRPr="00EF521E">
              <w:rPr>
                <w:rFonts w:cstheme="minorHAnsi"/>
                <w:bCs/>
                <w:szCs w:val="20"/>
              </w:rPr>
              <w:t>).</w:t>
            </w:r>
          </w:p>
          <w:p w14:paraId="40C57872" w14:textId="77777777" w:rsidR="008D7379" w:rsidRPr="00EF521E" w:rsidRDefault="008D7379" w:rsidP="00D77986">
            <w:pPr>
              <w:pStyle w:val="ListParagraph"/>
              <w:numPr>
                <w:ilvl w:val="0"/>
                <w:numId w:val="194"/>
              </w:numPr>
              <w:jc w:val="both"/>
              <w:rPr>
                <w:rFonts w:cstheme="minorHAnsi"/>
                <w:bCs/>
                <w:szCs w:val="20"/>
                <w:lang w:eastAsia="hr-HR"/>
              </w:rPr>
            </w:pPr>
            <w:r w:rsidRPr="00EF521E">
              <w:rPr>
                <w:rFonts w:cstheme="minorHAnsi"/>
                <w:bCs/>
                <w:szCs w:val="20"/>
              </w:rPr>
              <w:t>Data Owner: The person responsible for the source data.</w:t>
            </w:r>
          </w:p>
          <w:p w14:paraId="72AA7D36" w14:textId="77777777" w:rsidR="008D7379" w:rsidRPr="00EF521E" w:rsidRDefault="008D7379" w:rsidP="00D77986">
            <w:pPr>
              <w:pStyle w:val="ListParagraph"/>
              <w:numPr>
                <w:ilvl w:val="0"/>
                <w:numId w:val="194"/>
              </w:numPr>
              <w:jc w:val="both"/>
              <w:rPr>
                <w:rFonts w:cstheme="minorHAnsi"/>
                <w:bCs/>
                <w:szCs w:val="20"/>
                <w:lang w:eastAsia="hr-HR"/>
              </w:rPr>
            </w:pPr>
            <w:r w:rsidRPr="00EF521E">
              <w:rPr>
                <w:rFonts w:cstheme="minorHAnsi"/>
                <w:bCs/>
                <w:szCs w:val="20"/>
              </w:rPr>
              <w:t>Reporting Frequency: How often data is collected (Monthly vs. Annually).</w:t>
            </w:r>
          </w:p>
          <w:p w14:paraId="4D594D26" w14:textId="77777777" w:rsidR="008D7379" w:rsidRPr="00EF521E" w:rsidRDefault="008D7379" w:rsidP="008D7379">
            <w:pPr>
              <w:pStyle w:val="ListParagraph"/>
              <w:rPr>
                <w:rFonts w:cstheme="minorHAnsi"/>
                <w:bCs/>
                <w:szCs w:val="20"/>
                <w:lang w:eastAsia="hr-HR"/>
              </w:rPr>
            </w:pPr>
          </w:p>
          <w:p w14:paraId="11926B9E" w14:textId="75F19041" w:rsidR="008D7379" w:rsidRPr="00EF521E" w:rsidRDefault="008D7379" w:rsidP="008D7379">
            <w:pPr>
              <w:shd w:val="clear" w:color="auto" w:fill="FFFFFF" w:themeFill="background1"/>
              <w:outlineLvl w:val="2"/>
              <w:rPr>
                <w:rFonts w:eastAsia="Times New Roman"/>
                <w:b/>
                <w:color w:val="009889" w:themeColor="accent2"/>
                <w:sz w:val="22"/>
                <w:szCs w:val="22"/>
              </w:rPr>
            </w:pPr>
            <w:bookmarkStart w:id="12" w:name="_Toc227485161"/>
            <w:r w:rsidRPr="00EF521E">
              <w:rPr>
                <w:rFonts w:eastAsia="Times New Roman"/>
                <w:b/>
                <w:color w:val="009889" w:themeColor="accent2"/>
                <w:sz w:val="22"/>
                <w:szCs w:val="22"/>
              </w:rPr>
              <w:t>The Logic of Impact: Absolute vs. Intensity Indicators</w:t>
            </w:r>
            <w:bookmarkEnd w:id="12"/>
            <w:r w:rsidRPr="00EF521E">
              <w:rPr>
                <w:rFonts w:eastAsia="Times New Roman"/>
                <w:b/>
                <w:color w:val="009889" w:themeColor="accent2"/>
                <w:sz w:val="22"/>
                <w:szCs w:val="22"/>
              </w:rPr>
              <w:t xml:space="preserve"> </w:t>
            </w:r>
          </w:p>
          <w:p w14:paraId="39374E90" w14:textId="77777777" w:rsidR="008D7379" w:rsidRPr="00EF521E" w:rsidRDefault="008D7379" w:rsidP="008D7379">
            <w:pPr>
              <w:shd w:val="clear" w:color="auto" w:fill="FFFFFF" w:themeFill="background1"/>
              <w:spacing w:line="315" w:lineRule="atLeast"/>
              <w:jc w:val="both"/>
              <w:rPr>
                <w:rFonts w:eastAsia="Times New Roman" w:cstheme="minorHAnsi"/>
                <w:color w:val="2B2D31"/>
                <w:szCs w:val="20"/>
                <w:lang w:eastAsia="hr-HR"/>
              </w:rPr>
            </w:pPr>
            <w:r w:rsidRPr="00EF521E">
              <w:rPr>
                <w:rFonts w:eastAsia="Times New Roman" w:cstheme="minorHAnsi"/>
                <w:color w:val="2B2D31"/>
                <w:szCs w:val="20"/>
              </w:rPr>
              <w:t>To evaluate the performance of an </w:t>
            </w:r>
            <w:r w:rsidRPr="00EF521E">
              <w:rPr>
                <w:rFonts w:eastAsia="Times New Roman" w:cstheme="minorHAnsi"/>
                <w:b/>
                <w:color w:val="2B2D31"/>
                <w:szCs w:val="20"/>
              </w:rPr>
              <w:t>undertaking</w:t>
            </w:r>
            <w:r w:rsidRPr="00EF521E">
              <w:rPr>
                <w:rFonts w:eastAsia="Times New Roman" w:cstheme="minorHAnsi"/>
                <w:color w:val="2B2D31"/>
                <w:szCs w:val="20"/>
              </w:rPr>
              <w:t> effectively, analysts must understand the distinction between two types of quantitative logic:</w:t>
            </w:r>
          </w:p>
          <w:p w14:paraId="19CDACB4" w14:textId="77777777" w:rsidR="008D7379" w:rsidRPr="00EF521E" w:rsidRDefault="008D7379" w:rsidP="00D77986">
            <w:pPr>
              <w:pStyle w:val="ListParagraph"/>
              <w:numPr>
                <w:ilvl w:val="0"/>
                <w:numId w:val="195"/>
              </w:numPr>
              <w:shd w:val="clear" w:color="auto" w:fill="FFFFFF" w:themeFill="background1"/>
              <w:spacing w:line="315" w:lineRule="atLeast"/>
              <w:jc w:val="both"/>
              <w:rPr>
                <w:rFonts w:eastAsia="Times New Roman" w:cstheme="minorHAnsi"/>
                <w:color w:val="2B2D31"/>
                <w:szCs w:val="20"/>
                <w:lang w:eastAsia="hr-HR"/>
              </w:rPr>
            </w:pPr>
            <w:r w:rsidRPr="00EF521E">
              <w:rPr>
                <w:rFonts w:eastAsia="Times New Roman" w:cstheme="minorHAnsi"/>
                <w:b/>
                <w:color w:val="2B2D31"/>
                <w:szCs w:val="20"/>
                <w:lang w:eastAsia="hr-HR"/>
              </w:rPr>
              <w:t>Absolute Metrics:</w:t>
            </w:r>
            <w:r w:rsidRPr="00EF521E">
              <w:rPr>
                <w:rFonts w:eastAsia="Times New Roman" w:cstheme="minorHAnsi"/>
                <w:color w:val="2B2D31"/>
                <w:szCs w:val="20"/>
                <w:lang w:eastAsia="hr-HR"/>
              </w:rPr>
              <w:t> These measure the </w:t>
            </w:r>
            <w:r w:rsidRPr="00EF521E">
              <w:rPr>
                <w:rFonts w:eastAsia="Times New Roman" w:cstheme="minorHAnsi"/>
                <w:bCs/>
                <w:color w:val="2B2D31"/>
                <w:szCs w:val="20"/>
                <w:lang w:eastAsia="hr-HR"/>
              </w:rPr>
              <w:t>total quantity</w:t>
            </w:r>
            <w:r w:rsidRPr="00EF521E">
              <w:rPr>
                <w:rFonts w:eastAsia="Times New Roman" w:cstheme="minorHAnsi"/>
                <w:color w:val="2B2D31"/>
                <w:szCs w:val="20"/>
                <w:lang w:eastAsia="hr-HR"/>
              </w:rPr>
              <w:t> of an impact (e.g., "Total 5,000 tonnes of </w:t>
            </w:r>
            <m:oMath>
              <m:r>
                <w:rPr>
                  <w:rFonts w:ascii="Cambria Math" w:eastAsia="Times New Roman" w:hAnsi="Cambria Math" w:cstheme="minorHAnsi"/>
                  <w:szCs w:val="20"/>
                  <w:lang w:eastAsia="hr-HR"/>
                </w:rPr>
                <m:t>C</m:t>
              </m:r>
              <m:sSub>
                <m:sSubPr>
                  <m:ctrlPr>
                    <w:rPr>
                      <w:rFonts w:ascii="Cambria Math" w:eastAsia="Times New Roman" w:hAnsi="Cambria Math" w:cstheme="minorHAnsi"/>
                      <w:szCs w:val="20"/>
                      <w:lang w:eastAsia="hr-HR"/>
                    </w:rPr>
                  </m:ctrlPr>
                </m:sSubPr>
                <m:e>
                  <m:r>
                    <w:rPr>
                      <w:rFonts w:ascii="Cambria Math" w:eastAsia="Times New Roman" w:hAnsi="Cambria Math" w:cstheme="minorHAnsi"/>
                      <w:szCs w:val="20"/>
                      <w:lang w:eastAsia="hr-HR"/>
                    </w:rPr>
                    <m:t>O</m:t>
                  </m:r>
                </m:e>
                <m:sub>
                  <m:r>
                    <w:rPr>
                      <w:rFonts w:ascii="Cambria Math" w:eastAsia="Times New Roman" w:hAnsi="Cambria Math" w:cstheme="minorHAnsi"/>
                      <w:szCs w:val="20"/>
                      <w:lang w:eastAsia="hr-HR"/>
                    </w:rPr>
                    <m:t>2</m:t>
                  </m:r>
                </m:sub>
              </m:sSub>
            </m:oMath>
            <w:r w:rsidRPr="00EF521E">
              <w:rPr>
                <w:rFonts w:eastAsia="Times New Roman" w:cstheme="minorHAnsi"/>
                <w:color w:val="2B2D31"/>
                <w:szCs w:val="20"/>
                <w:lang w:eastAsia="hr-HR"/>
              </w:rPr>
              <w:t>"). Absolute numbers are crucial for understanding the total planetary burden and for staying within legal limits or carbon budgets.</w:t>
            </w:r>
          </w:p>
          <w:p w14:paraId="02672653" w14:textId="77777777" w:rsidR="008D7379" w:rsidRPr="00EF521E" w:rsidRDefault="008D7379" w:rsidP="00D77986">
            <w:pPr>
              <w:pStyle w:val="ListParagraph"/>
              <w:numPr>
                <w:ilvl w:val="0"/>
                <w:numId w:val="195"/>
              </w:numPr>
              <w:shd w:val="clear" w:color="auto" w:fill="FFFFFF" w:themeFill="background1"/>
              <w:spacing w:line="315" w:lineRule="atLeast"/>
              <w:jc w:val="both"/>
              <w:rPr>
                <w:rFonts w:eastAsia="Times New Roman" w:cstheme="minorHAnsi"/>
                <w:color w:val="2B2D31"/>
                <w:szCs w:val="20"/>
                <w:lang w:eastAsia="hr-HR"/>
              </w:rPr>
            </w:pPr>
            <w:r w:rsidRPr="00EF521E">
              <w:rPr>
                <w:rFonts w:eastAsia="Times New Roman" w:cstheme="minorHAnsi"/>
                <w:b/>
                <w:color w:val="2B2D31"/>
                <w:szCs w:val="20"/>
                <w:lang w:eastAsia="hr-HR"/>
              </w:rPr>
              <w:t>Intensity Indicators (Normalization):</w:t>
            </w:r>
            <w:r w:rsidRPr="00EF521E">
              <w:rPr>
                <w:rFonts w:eastAsia="Times New Roman" w:cstheme="minorHAnsi"/>
                <w:color w:val="2B2D31"/>
                <w:szCs w:val="20"/>
                <w:lang w:eastAsia="hr-HR"/>
              </w:rPr>
              <w:t> These measure </w:t>
            </w:r>
            <w:r w:rsidRPr="00EF521E">
              <w:rPr>
                <w:rFonts w:eastAsia="Times New Roman" w:cstheme="minorHAnsi"/>
                <w:bCs/>
                <w:color w:val="2B2D31"/>
                <w:szCs w:val="20"/>
                <w:lang w:eastAsia="hr-HR"/>
              </w:rPr>
              <w:t>efficiency</w:t>
            </w:r>
            <w:r w:rsidRPr="00EF521E">
              <w:rPr>
                <w:rFonts w:eastAsia="Times New Roman" w:cstheme="minorHAnsi"/>
                <w:color w:val="2B2D31"/>
                <w:szCs w:val="20"/>
                <w:lang w:eastAsia="hr-HR"/>
              </w:rPr>
              <w:t> by dividing the absolute impact by a business metric, such as revenue, production volume, or headcount (e.g., "</w:t>
            </w:r>
            <m:oMath>
              <m:r>
                <w:rPr>
                  <w:rFonts w:ascii="Cambria Math" w:eastAsia="Times New Roman" w:hAnsi="Cambria Math" w:cstheme="minorHAnsi"/>
                  <w:szCs w:val="20"/>
                  <w:lang w:eastAsia="hr-HR"/>
                </w:rPr>
                <m:t>tC</m:t>
              </m:r>
              <m:sSub>
                <m:sSubPr>
                  <m:ctrlPr>
                    <w:rPr>
                      <w:rFonts w:ascii="Cambria Math" w:eastAsia="Times New Roman" w:hAnsi="Cambria Math" w:cstheme="minorHAnsi"/>
                      <w:szCs w:val="20"/>
                      <w:lang w:eastAsia="hr-HR"/>
                    </w:rPr>
                  </m:ctrlPr>
                </m:sSubPr>
                <m:e>
                  <m:r>
                    <w:rPr>
                      <w:rFonts w:ascii="Cambria Math" w:eastAsia="Times New Roman" w:hAnsi="Cambria Math" w:cstheme="minorHAnsi"/>
                      <w:szCs w:val="20"/>
                      <w:lang w:eastAsia="hr-HR"/>
                    </w:rPr>
                    <m:t>O</m:t>
                  </m:r>
                </m:e>
                <m:sub>
                  <m:r>
                    <w:rPr>
                      <w:rFonts w:ascii="Cambria Math" w:eastAsia="Times New Roman" w:hAnsi="Cambria Math" w:cstheme="minorHAnsi"/>
                      <w:szCs w:val="20"/>
                      <w:lang w:eastAsia="hr-HR"/>
                    </w:rPr>
                    <m:t>2</m:t>
                  </m:r>
                </m:sub>
              </m:sSub>
              <m:r>
                <w:rPr>
                  <w:rFonts w:ascii="Cambria Math" w:eastAsia="Times New Roman" w:hAnsi="Cambria Math" w:cstheme="minorHAnsi"/>
                  <w:szCs w:val="20"/>
                  <w:lang w:eastAsia="hr-HR"/>
                </w:rPr>
                <m:t>e</m:t>
              </m:r>
            </m:oMath>
            <w:r w:rsidRPr="00EF521E">
              <w:rPr>
                <w:rFonts w:eastAsia="Times New Roman" w:cstheme="minorHAnsi"/>
                <w:color w:val="2B2D31"/>
                <w:szCs w:val="20"/>
                <w:lang w:eastAsia="hr-HR"/>
              </w:rPr>
              <w:t> per million € of revenue" or "</w:t>
            </w:r>
            <m:oMath>
              <m:sSup>
                <m:sSupPr>
                  <m:ctrlPr>
                    <w:rPr>
                      <w:rFonts w:ascii="Cambria Math" w:eastAsia="Times New Roman" w:hAnsi="Cambria Math" w:cstheme="minorHAnsi"/>
                      <w:szCs w:val="20"/>
                      <w:lang w:eastAsia="hr-HR"/>
                    </w:rPr>
                  </m:ctrlPr>
                </m:sSupPr>
                <m:e>
                  <m:r>
                    <w:rPr>
                      <w:rFonts w:ascii="Cambria Math" w:eastAsia="Times New Roman" w:hAnsi="Cambria Math" w:cstheme="minorHAnsi"/>
                      <w:szCs w:val="20"/>
                      <w:lang w:eastAsia="hr-HR"/>
                    </w:rPr>
                    <m:t>m</m:t>
                  </m:r>
                </m:e>
                <m:sup>
                  <m:r>
                    <w:rPr>
                      <w:rFonts w:ascii="Cambria Math" w:eastAsia="Times New Roman" w:hAnsi="Cambria Math" w:cstheme="minorHAnsi"/>
                      <w:szCs w:val="20"/>
                      <w:lang w:eastAsia="hr-HR"/>
                    </w:rPr>
                    <m:t>3</m:t>
                  </m:r>
                </m:sup>
              </m:sSup>
            </m:oMath>
            <w:r w:rsidRPr="00EF521E">
              <w:rPr>
                <w:rFonts w:eastAsia="Times New Roman" w:cstheme="minorHAnsi"/>
                <w:color w:val="2B2D31"/>
                <w:szCs w:val="20"/>
                <w:lang w:eastAsia="hr-HR"/>
              </w:rPr>
              <w:t> of water per unit of product").</w:t>
            </w:r>
          </w:p>
          <w:p w14:paraId="4A35E2B8" w14:textId="77777777" w:rsidR="008D7379" w:rsidRPr="00EF521E" w:rsidRDefault="008D7379" w:rsidP="008D7379">
            <w:pPr>
              <w:keepNext/>
              <w:shd w:val="clear" w:color="auto" w:fill="FFFFFF" w:themeFill="background1"/>
              <w:spacing w:line="315" w:lineRule="atLeast"/>
              <w:ind w:left="720"/>
              <w:jc w:val="center"/>
            </w:pPr>
          </w:p>
          <w:p w14:paraId="104778E7" w14:textId="77777777" w:rsidR="008D7379" w:rsidRPr="00EF521E" w:rsidRDefault="008D7379" w:rsidP="008D7379">
            <w:pPr>
              <w:keepNext/>
              <w:shd w:val="clear" w:color="auto" w:fill="FFFFFF" w:themeFill="background1"/>
              <w:spacing w:line="315" w:lineRule="atLeast"/>
              <w:ind w:left="720"/>
              <w:jc w:val="center"/>
            </w:pPr>
            <w:r w:rsidRPr="00EF521E">
              <w:rPr>
                <w:noProof/>
              </w:rPr>
              <w:drawing>
                <wp:inline distT="0" distB="0" distL="0" distR="0" wp14:anchorId="6EC9861C" wp14:editId="442AC074">
                  <wp:extent cx="4184435" cy="2211223"/>
                  <wp:effectExtent l="19050" t="19050" r="26035" b="17780"/>
                  <wp:docPr id="3610600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60014"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t="10482"/>
                          <a:stretch>
                            <a:fillRect/>
                          </a:stretch>
                        </pic:blipFill>
                        <pic:spPr bwMode="auto">
                          <a:xfrm>
                            <a:off x="0" y="0"/>
                            <a:ext cx="4185028" cy="2211536"/>
                          </a:xfrm>
                          <a:prstGeom prst="rect">
                            <a:avLst/>
                          </a:prstGeom>
                          <a:noFill/>
                          <a:ln w="9525" cap="flat" cmpd="sng" algn="ctr">
                            <a:solidFill>
                              <a:srgbClr val="282B3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F5E80C" w14:textId="7E504E0E" w:rsidR="008D7379" w:rsidRPr="00EF521E" w:rsidRDefault="008D7379" w:rsidP="008D7379">
            <w:pPr>
              <w:pStyle w:val="Caption"/>
              <w:jc w:val="center"/>
              <w:rPr>
                <w:b w:val="0"/>
                <w:bCs w:val="0"/>
              </w:rPr>
            </w:pPr>
            <w:bookmarkStart w:id="13" w:name="_Toc227486381"/>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3</w:t>
            </w:r>
            <w:r w:rsidRPr="00EF521E">
              <w:rPr>
                <w:b w:val="0"/>
                <w:bCs w:val="0"/>
              </w:rPr>
              <w:fldChar w:fldCharType="end"/>
            </w:r>
            <w:r w:rsidRPr="00EF521E">
              <w:rPr>
                <w:b w:val="0"/>
                <w:bCs w:val="0"/>
              </w:rPr>
              <w:t xml:space="preserve">. Visualizing the decoupling of business growth from environmental impact through Intensity Metrics (source: </w:t>
            </w:r>
            <w:hyperlink r:id="rId26">
              <w:r w:rsidRPr="00EF521E">
                <w:rPr>
                  <w:rStyle w:val="Hyperlink"/>
                  <w:b w:val="0"/>
                  <w:bCs w:val="0"/>
                </w:rPr>
                <w:t>unep.org</w:t>
              </w:r>
            </w:hyperlink>
            <w:r w:rsidRPr="00EF521E">
              <w:rPr>
                <w:b w:val="0"/>
                <w:bCs w:val="0"/>
              </w:rPr>
              <w:t>)</w:t>
            </w:r>
            <w:bookmarkEnd w:id="13"/>
            <w:r w:rsidRPr="00EF521E">
              <w:rPr>
                <w:b w:val="0"/>
                <w:bCs w:val="0"/>
              </w:rPr>
              <w:t xml:space="preserve"> </w:t>
            </w:r>
          </w:p>
          <w:p w14:paraId="2A381A89" w14:textId="77777777" w:rsidR="00D77986" w:rsidRPr="00EF521E" w:rsidRDefault="00D77986" w:rsidP="00D77986">
            <w:pPr>
              <w:rPr>
                <w:i/>
                <w:iCs/>
                <w:lang w:eastAsia="hr-HR"/>
              </w:rPr>
            </w:pPr>
          </w:p>
          <w:p w14:paraId="14D3DBB2" w14:textId="4C5D7AE6" w:rsidR="008D7379" w:rsidRPr="00EF521E" w:rsidRDefault="008D7379" w:rsidP="00D77986">
            <w:pPr>
              <w:jc w:val="both"/>
              <w:rPr>
                <w:lang w:eastAsia="hr-HR"/>
              </w:rPr>
            </w:pPr>
            <w:r w:rsidRPr="00EF521E">
              <w:rPr>
                <w:lang w:eastAsia="hr-HR"/>
              </w:rPr>
              <w:t xml:space="preserve">The image </w:t>
            </w:r>
            <w:r w:rsidR="00D77986" w:rsidRPr="00EF521E">
              <w:rPr>
                <w:lang w:eastAsia="hr-HR"/>
              </w:rPr>
              <w:t xml:space="preserve">above </w:t>
            </w:r>
            <w:r w:rsidRPr="00EF521E">
              <w:rPr>
                <w:lang w:eastAsia="hr-HR"/>
              </w:rPr>
              <w:t xml:space="preserve">shows a graph illustrating how human well-being and economic activity (GDP) increase over time, while resource use grows more slowly and environmental impact </w:t>
            </w:r>
            <w:r w:rsidRPr="00EF521E">
              <w:rPr>
                <w:lang w:eastAsia="hr-HR"/>
              </w:rPr>
              <w:lastRenderedPageBreak/>
              <w:t>declines. It highlights the concepts of resource decoupling and impact decoupling, demonstrating how economic growth can be separated from environmental harm.</w:t>
            </w:r>
          </w:p>
          <w:p w14:paraId="02AECA00" w14:textId="77777777" w:rsidR="00D77986" w:rsidRPr="00EF521E" w:rsidRDefault="00D77986" w:rsidP="00D77986">
            <w:pPr>
              <w:jc w:val="both"/>
              <w:rPr>
                <w:lang w:eastAsia="hr-HR"/>
              </w:rPr>
            </w:pPr>
          </w:p>
          <w:p w14:paraId="1E9FEC25" w14:textId="77777777" w:rsidR="008D7379" w:rsidRPr="00EF521E" w:rsidRDefault="008D7379" w:rsidP="00D77986">
            <w:pPr>
              <w:shd w:val="clear" w:color="auto" w:fill="FFFFFF" w:themeFill="background1"/>
              <w:spacing w:after="105" w:line="315" w:lineRule="atLeast"/>
              <w:jc w:val="both"/>
              <w:rPr>
                <w:rFonts w:eastAsia="Times New Roman"/>
                <w:szCs w:val="20"/>
              </w:rPr>
            </w:pPr>
            <w:r w:rsidRPr="00EF521E">
              <w:rPr>
                <w:rFonts w:eastAsia="Times New Roman"/>
                <w:b/>
                <w:szCs w:val="20"/>
              </w:rPr>
              <w:t>Why it matters:</w:t>
            </w:r>
            <w:r w:rsidRPr="00EF521E">
              <w:rPr>
                <w:rFonts w:eastAsia="Times New Roman"/>
                <w:szCs w:val="20"/>
              </w:rPr>
              <w:t> Intensity indicators allow investors to compare companies of different sizes. For example, a large company may have higher </w:t>
            </w:r>
            <w:r w:rsidRPr="00EF521E">
              <w:rPr>
                <w:rFonts w:eastAsia="Times New Roman"/>
                <w:i/>
                <w:szCs w:val="20"/>
              </w:rPr>
              <w:t>absolute</w:t>
            </w:r>
            <w:r w:rsidRPr="00EF521E">
              <w:rPr>
                <w:rFonts w:eastAsia="Times New Roman"/>
                <w:szCs w:val="20"/>
              </w:rPr>
              <w:t> emissions than a small one, but it might be more </w:t>
            </w:r>
            <w:r w:rsidRPr="00EF521E">
              <w:rPr>
                <w:rFonts w:eastAsia="Times New Roman"/>
                <w:i/>
                <w:szCs w:val="20"/>
              </w:rPr>
              <w:t>efficient</w:t>
            </w:r>
            <w:r w:rsidRPr="00EF521E">
              <w:rPr>
                <w:rFonts w:eastAsia="Times New Roman"/>
                <w:szCs w:val="20"/>
              </w:rPr>
              <w:t> (lower intensity), showing a more successful transition to green technologies.</w:t>
            </w:r>
          </w:p>
          <w:p w14:paraId="6BA55C44" w14:textId="77777777" w:rsidR="00D77986" w:rsidRPr="00EF521E" w:rsidRDefault="00D77986" w:rsidP="008D7379">
            <w:pPr>
              <w:shd w:val="clear" w:color="auto" w:fill="FFFFFF" w:themeFill="background1"/>
              <w:spacing w:after="105" w:line="315" w:lineRule="atLeast"/>
              <w:rPr>
                <w:rFonts w:eastAsia="Times New Roman"/>
                <w:color w:val="2B2D31"/>
                <w:szCs w:val="20"/>
                <w:lang w:eastAsia="hr-HR"/>
              </w:rPr>
            </w:pPr>
          </w:p>
          <w:p w14:paraId="78330EEB" w14:textId="7652BC3C" w:rsidR="008D7379" w:rsidRPr="003A5F86" w:rsidRDefault="008D7379" w:rsidP="003A5F86">
            <w:pPr>
              <w:rPr>
                <w:rFonts w:ascii="Poppins" w:hAnsi="Poppins" w:cs="Poppins"/>
                <w:b/>
                <w:color w:val="009889" w:themeColor="accent2"/>
                <w:sz w:val="22"/>
                <w:szCs w:val="22"/>
              </w:rPr>
            </w:pPr>
            <w:r w:rsidRPr="00EF521E">
              <w:rPr>
                <w:rFonts w:ascii="Poppins" w:hAnsi="Poppins" w:cs="Poppins"/>
                <w:b/>
                <w:color w:val="009889" w:themeColor="accent2"/>
                <w:sz w:val="22"/>
                <w:szCs w:val="22"/>
              </w:rPr>
              <w:t xml:space="preserve">Defining Time Horizons </w:t>
            </w:r>
            <w:r w:rsidRPr="00EF521E">
              <w:rPr>
                <w:sz w:val="18"/>
                <w:szCs w:val="20"/>
              </w:rPr>
              <w:br/>
            </w:r>
            <w:r w:rsidRPr="00EF521E">
              <w:rPr>
                <w:rFonts w:ascii="Poppins" w:hAnsi="Poppins" w:cs="Poppins"/>
                <w:szCs w:val="20"/>
              </w:rPr>
              <w:t>Every material metric and target must be categorized into specific time horizons:</w:t>
            </w:r>
          </w:p>
          <w:p w14:paraId="59D05883" w14:textId="77777777" w:rsidR="008D7379" w:rsidRPr="00EF521E" w:rsidRDefault="008D7379" w:rsidP="00D77986">
            <w:pPr>
              <w:numPr>
                <w:ilvl w:val="0"/>
                <w:numId w:val="191"/>
              </w:numPr>
              <w:jc w:val="both"/>
              <w:rPr>
                <w:rFonts w:ascii="Poppins" w:hAnsi="Poppins" w:cs="Poppins"/>
                <w:szCs w:val="20"/>
              </w:rPr>
            </w:pPr>
            <w:r w:rsidRPr="00EF521E">
              <w:rPr>
                <w:rFonts w:ascii="Poppins" w:hAnsi="Poppins" w:cs="Poppins"/>
                <w:b/>
                <w:szCs w:val="20"/>
              </w:rPr>
              <w:t>Short-term:</w:t>
            </w:r>
            <w:r w:rsidRPr="00EF521E">
              <w:rPr>
                <w:rFonts w:ascii="Poppins" w:hAnsi="Poppins" w:cs="Poppins"/>
                <w:szCs w:val="20"/>
              </w:rPr>
              <w:t> The reporting period of the financial statement (1 year).</w:t>
            </w:r>
          </w:p>
          <w:p w14:paraId="28E07F45" w14:textId="77777777" w:rsidR="008D7379" w:rsidRPr="00EF521E" w:rsidRDefault="008D7379" w:rsidP="00D77986">
            <w:pPr>
              <w:numPr>
                <w:ilvl w:val="0"/>
                <w:numId w:val="191"/>
              </w:numPr>
              <w:jc w:val="both"/>
              <w:rPr>
                <w:rFonts w:ascii="Poppins" w:hAnsi="Poppins" w:cs="Poppins"/>
                <w:szCs w:val="20"/>
              </w:rPr>
            </w:pPr>
            <w:r w:rsidRPr="00EF521E">
              <w:rPr>
                <w:rFonts w:ascii="Poppins" w:hAnsi="Poppins" w:cs="Poppins"/>
                <w:b/>
                <w:szCs w:val="20"/>
              </w:rPr>
              <w:t>Medium-term:</w:t>
            </w:r>
            <w:r w:rsidRPr="00EF521E">
              <w:rPr>
                <w:rFonts w:ascii="Poppins" w:hAnsi="Poppins" w:cs="Poppins"/>
                <w:szCs w:val="20"/>
              </w:rPr>
              <w:t> From the end of the short-term period up to 5 years.</w:t>
            </w:r>
          </w:p>
          <w:p w14:paraId="477F4033" w14:textId="77777777" w:rsidR="008D7379" w:rsidRPr="00EF521E" w:rsidRDefault="008D7379" w:rsidP="00D77986">
            <w:pPr>
              <w:numPr>
                <w:ilvl w:val="0"/>
                <w:numId w:val="191"/>
              </w:numPr>
              <w:jc w:val="both"/>
              <w:rPr>
                <w:rFonts w:ascii="Poppins" w:hAnsi="Poppins" w:cs="Poppins"/>
                <w:szCs w:val="20"/>
              </w:rPr>
            </w:pPr>
            <w:r w:rsidRPr="00EF521E">
              <w:rPr>
                <w:rFonts w:ascii="Poppins" w:hAnsi="Poppins" w:cs="Poppins"/>
                <w:b/>
                <w:szCs w:val="20"/>
              </w:rPr>
              <w:t>Long-term:</w:t>
            </w:r>
            <w:r w:rsidRPr="00EF521E">
              <w:rPr>
                <w:rFonts w:ascii="Poppins" w:hAnsi="Poppins" w:cs="Poppins"/>
                <w:szCs w:val="20"/>
              </w:rPr>
              <w:t> More than 5 years.</w:t>
            </w:r>
          </w:p>
          <w:p w14:paraId="62F04023" w14:textId="77777777" w:rsidR="00D77986" w:rsidRPr="00EF521E" w:rsidRDefault="00D77986" w:rsidP="00D77986">
            <w:pPr>
              <w:jc w:val="both"/>
              <w:rPr>
                <w:b/>
                <w:szCs w:val="20"/>
              </w:rPr>
            </w:pPr>
          </w:p>
          <w:p w14:paraId="72C30C21" w14:textId="5F0C3CBC" w:rsidR="00D77986" w:rsidRPr="00EF521E" w:rsidRDefault="008D7379" w:rsidP="00D77986">
            <w:pPr>
              <w:jc w:val="both"/>
              <w:rPr>
                <w:b/>
                <w:color w:val="009889" w:themeColor="accent2"/>
                <w:sz w:val="22"/>
                <w:szCs w:val="22"/>
              </w:rPr>
            </w:pPr>
            <w:r w:rsidRPr="00EF521E">
              <w:rPr>
                <w:b/>
                <w:color w:val="009889" w:themeColor="accent2"/>
                <w:sz w:val="22"/>
                <w:szCs w:val="22"/>
              </w:rPr>
              <w:t>Business Value and Risk Management</w:t>
            </w:r>
          </w:p>
          <w:p w14:paraId="5180ECC9" w14:textId="77777777" w:rsidR="008D7379" w:rsidRPr="00EF521E" w:rsidRDefault="008D7379" w:rsidP="00D77986">
            <w:pPr>
              <w:jc w:val="both"/>
              <w:rPr>
                <w:szCs w:val="20"/>
              </w:rPr>
            </w:pPr>
            <w:r w:rsidRPr="00EF521E">
              <w:rPr>
                <w:szCs w:val="20"/>
              </w:rPr>
              <w:t>Sustainability metrics serve as a vital "early warning system" for the modern corporation. Organizations do not just measure these points for compliance; they do so to create business value:</w:t>
            </w:r>
          </w:p>
          <w:p w14:paraId="5A08B9F4" w14:textId="77777777" w:rsidR="008D7379" w:rsidRPr="00EF521E" w:rsidRDefault="008D7379" w:rsidP="00D77986">
            <w:pPr>
              <w:numPr>
                <w:ilvl w:val="0"/>
                <w:numId w:val="188"/>
              </w:numPr>
              <w:jc w:val="both"/>
              <w:rPr>
                <w:szCs w:val="20"/>
              </w:rPr>
            </w:pPr>
            <w:r w:rsidRPr="00EF521E">
              <w:rPr>
                <w:b/>
                <w:szCs w:val="20"/>
              </w:rPr>
              <w:t>Cost Efficiency:</w:t>
            </w:r>
            <w:r w:rsidRPr="00EF521E">
              <w:rPr>
                <w:szCs w:val="20"/>
              </w:rPr>
              <w:t> Tracking intensity (e.g., energy per unit) directly identifies resource waste and operational costs.</w:t>
            </w:r>
          </w:p>
          <w:p w14:paraId="1BD2A4CD" w14:textId="77777777" w:rsidR="008D7379" w:rsidRPr="00EF521E" w:rsidRDefault="008D7379" w:rsidP="00D77986">
            <w:pPr>
              <w:numPr>
                <w:ilvl w:val="0"/>
                <w:numId w:val="188"/>
              </w:numPr>
              <w:jc w:val="both"/>
              <w:rPr>
                <w:szCs w:val="20"/>
              </w:rPr>
            </w:pPr>
            <w:r w:rsidRPr="00EF521E">
              <w:rPr>
                <w:b/>
                <w:szCs w:val="20"/>
              </w:rPr>
              <w:t>Access to Capital:</w:t>
            </w:r>
            <w:r w:rsidRPr="00EF521E">
              <w:rPr>
                <w:szCs w:val="20"/>
              </w:rPr>
              <w:t> Investors and banks use these metrics to determine a company's risk profile. Higher ESG scores often lead to lower interest rates on loans.</w:t>
            </w:r>
          </w:p>
          <w:p w14:paraId="7B091A2C" w14:textId="77777777" w:rsidR="008D7379" w:rsidRPr="00EF521E" w:rsidRDefault="008D7379" w:rsidP="00D77986">
            <w:pPr>
              <w:numPr>
                <w:ilvl w:val="0"/>
                <w:numId w:val="188"/>
              </w:numPr>
              <w:jc w:val="both"/>
              <w:rPr>
                <w:szCs w:val="20"/>
              </w:rPr>
            </w:pPr>
            <w:r w:rsidRPr="00EF521E">
              <w:rPr>
                <w:b/>
                <w:szCs w:val="20"/>
              </w:rPr>
              <w:t>Strategic Resilience:</w:t>
            </w:r>
            <w:r w:rsidRPr="00EF521E">
              <w:rPr>
                <w:szCs w:val="20"/>
              </w:rPr>
              <w:t> Tracking social metrics like employee turnover can predict future recruitment risks and potential operational shutdowns.</w:t>
            </w:r>
          </w:p>
          <w:p w14:paraId="273DF1B0" w14:textId="1FB6F507" w:rsidR="008D7379" w:rsidRPr="00EF521E" w:rsidRDefault="008D7379" w:rsidP="008D7379">
            <w:pPr>
              <w:rPr>
                <w:sz w:val="22"/>
                <w:szCs w:val="22"/>
              </w:rPr>
            </w:pPr>
          </w:p>
          <w:p w14:paraId="3FC2DB17" w14:textId="77777777" w:rsidR="00D77986" w:rsidRPr="00EF521E" w:rsidRDefault="008D7379" w:rsidP="008D7379">
            <w:pPr>
              <w:rPr>
                <w:b/>
                <w:color w:val="00AC4E" w:themeColor="accent1"/>
                <w:sz w:val="22"/>
                <w:szCs w:val="22"/>
              </w:rPr>
            </w:pPr>
            <w:r w:rsidRPr="00EF521E">
              <w:rPr>
                <w:b/>
                <w:color w:val="00AC4E" w:themeColor="accent1"/>
                <w:sz w:val="22"/>
                <w:szCs w:val="22"/>
              </w:rPr>
              <w:t xml:space="preserve">How ESG Metrics drive Financial Value?  </w:t>
            </w:r>
          </w:p>
          <w:p w14:paraId="0E6DAF67" w14:textId="48E2CC42" w:rsidR="008D7379" w:rsidRPr="00EF521E" w:rsidRDefault="008D7379" w:rsidP="008D7379">
            <w:pPr>
              <w:rPr>
                <w:b/>
                <w:color w:val="00AC4E" w:themeColor="accent1"/>
                <w:sz w:val="22"/>
                <w:szCs w:val="22"/>
              </w:rPr>
            </w:pPr>
            <w:r w:rsidRPr="00EF521E">
              <w:rPr>
                <w:sz w:val="22"/>
                <w:szCs w:val="22"/>
              </w:rPr>
              <w:t>Watch following video:</w:t>
            </w:r>
          </w:p>
          <w:p w14:paraId="013FEEF6" w14:textId="77777777" w:rsidR="00D77986" w:rsidRPr="00EF521E" w:rsidRDefault="008D7379" w:rsidP="00D77986">
            <w:pPr>
              <w:keepNext/>
              <w:jc w:val="center"/>
            </w:pPr>
            <w:r w:rsidRPr="00EF521E">
              <w:rPr>
                <w:noProof/>
              </w:rPr>
              <w:drawing>
                <wp:inline distT="0" distB="0" distL="0" distR="0" wp14:anchorId="0AB790FE" wp14:editId="1EBF315E">
                  <wp:extent cx="4032885" cy="3024664"/>
                  <wp:effectExtent l="76200" t="76200" r="139065" b="137795"/>
                  <wp:docPr id="347126149" name="Video 20" descr="How ESG creates val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26149" name="Video 20" descr="How ESG creates value">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KVID6bs1BE?feature=oembed&quot; frameborder=&quot;0&quot; allow=&quot;accelerometer; autoplay; clipboard-write; encrypted-media; gyroscope; picture-in-picture; web-share&quot; referrerpolicy=&quot;strict-origin-when-cross-origin&quot; allowfullscreen=&quot;&quot; title=&quot;How ESG creates value&quot; sandbox=&quot;allow-scripts allow-same-origin allow-popups&quot;&gt;&lt;/iframe&gt;" h="113" w="200"/>
                              </a:ext>
                            </a:extLst>
                          </a:blip>
                          <a:stretch>
                            <a:fillRect/>
                          </a:stretch>
                        </pic:blipFill>
                        <pic:spPr>
                          <a:xfrm>
                            <a:off x="0" y="0"/>
                            <a:ext cx="4065593" cy="3049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EBA51" w14:textId="59BB9C4E" w:rsidR="008D7379" w:rsidRPr="00EF521E" w:rsidRDefault="00D77986" w:rsidP="00D77986">
            <w:pPr>
              <w:pStyle w:val="Caption"/>
              <w:jc w:val="center"/>
              <w:rPr>
                <w:b w:val="0"/>
                <w:bCs w:val="0"/>
              </w:rPr>
            </w:pPr>
            <w:bookmarkStart w:id="14" w:name="_Toc227738760"/>
            <w:r w:rsidRPr="00EF521E">
              <w:rPr>
                <w:b w:val="0"/>
                <w:bCs w:val="0"/>
              </w:rPr>
              <w:t xml:space="preserve">Video </w:t>
            </w:r>
            <w:r w:rsidRPr="00EF521E">
              <w:rPr>
                <w:b w:val="0"/>
                <w:bCs w:val="0"/>
              </w:rPr>
              <w:fldChar w:fldCharType="begin"/>
            </w:r>
            <w:r w:rsidRPr="00EF521E">
              <w:rPr>
                <w:b w:val="0"/>
                <w:bCs w:val="0"/>
              </w:rPr>
              <w:instrText xml:space="preserve"> SEQ Video \* ARABIC </w:instrText>
            </w:r>
            <w:r w:rsidRPr="00EF521E">
              <w:rPr>
                <w:b w:val="0"/>
                <w:bCs w:val="0"/>
              </w:rPr>
              <w:fldChar w:fldCharType="separate"/>
            </w:r>
            <w:r w:rsidR="002074FD">
              <w:rPr>
                <w:b w:val="0"/>
                <w:bCs w:val="0"/>
                <w:noProof/>
              </w:rPr>
              <w:t>3</w:t>
            </w:r>
            <w:r w:rsidRPr="00EF521E">
              <w:rPr>
                <w:b w:val="0"/>
                <w:bCs w:val="0"/>
              </w:rPr>
              <w:fldChar w:fldCharType="end"/>
            </w:r>
            <w:r w:rsidRPr="00EF521E">
              <w:rPr>
                <w:b w:val="0"/>
                <w:bCs w:val="0"/>
              </w:rPr>
              <w:t>. How ESG creates value (</w:t>
            </w:r>
            <w:hyperlink r:id="rId29" w:history="1">
              <w:r w:rsidRPr="00EF521E">
                <w:rPr>
                  <w:rStyle w:val="Hyperlink"/>
                  <w:b w:val="0"/>
                  <w:bCs w:val="0"/>
                  <w:color w:val="009889" w:themeColor="accent2"/>
                </w:rPr>
                <w:t>https://www.youtube.com/watch?v=BKVID6bs1BE</w:t>
              </w:r>
            </w:hyperlink>
            <w:r w:rsidRPr="00EF521E">
              <w:rPr>
                <w:b w:val="0"/>
                <w:bCs w:val="0"/>
              </w:rPr>
              <w:t>)</w:t>
            </w:r>
            <w:bookmarkEnd w:id="14"/>
          </w:p>
          <w:p w14:paraId="2C40DCDC" w14:textId="77777777" w:rsidR="003A5F86" w:rsidRDefault="003A5F86" w:rsidP="00D77986">
            <w:pPr>
              <w:jc w:val="both"/>
              <w:rPr>
                <w:b/>
                <w:color w:val="00AC4E" w:themeColor="accent1"/>
                <w:szCs w:val="20"/>
              </w:rPr>
            </w:pPr>
          </w:p>
          <w:p w14:paraId="61D90EA9" w14:textId="5F1463AD" w:rsidR="003A5F86" w:rsidRDefault="008D7379" w:rsidP="00D77986">
            <w:pPr>
              <w:jc w:val="both"/>
              <w:rPr>
                <w:szCs w:val="20"/>
              </w:rPr>
            </w:pPr>
            <w:r w:rsidRPr="003A5F86">
              <w:rPr>
                <w:b/>
                <w:color w:val="00AC4E" w:themeColor="accent1"/>
                <w:szCs w:val="20"/>
              </w:rPr>
              <w:t>Micro-activities:</w:t>
            </w:r>
            <w:r w:rsidRPr="00EF521E">
              <w:rPr>
                <w:b/>
                <w:color w:val="00AC4E" w:themeColor="accent1"/>
                <w:szCs w:val="20"/>
              </w:rPr>
              <w:t xml:space="preserve"> </w:t>
            </w:r>
          </w:p>
          <w:p w14:paraId="016E7C3D" w14:textId="0065F0F1" w:rsidR="008D7379" w:rsidRPr="00EF521E" w:rsidRDefault="008D7379" w:rsidP="00D77986">
            <w:pPr>
              <w:jc w:val="both"/>
              <w:rPr>
                <w:rFonts w:cstheme="minorHAnsi"/>
                <w:szCs w:val="20"/>
              </w:rPr>
            </w:pPr>
            <w:r w:rsidRPr="00EF521E">
              <w:rPr>
                <w:szCs w:val="20"/>
              </w:rPr>
              <w:br/>
            </w:r>
            <w:r w:rsidRPr="00EF521E">
              <w:rPr>
                <w:rFonts w:cstheme="minorHAnsi"/>
                <w:b/>
                <w:szCs w:val="20"/>
              </w:rPr>
              <w:t>Activity 1: The "KPI Profile" Task</w:t>
            </w:r>
            <w:r w:rsidRPr="00EF521E">
              <w:rPr>
                <w:rFonts w:cstheme="minorHAnsi"/>
                <w:szCs w:val="20"/>
              </w:rPr>
              <w:t xml:space="preserve"> </w:t>
            </w:r>
          </w:p>
          <w:p w14:paraId="06A0D63A" w14:textId="77777777" w:rsidR="008D7379" w:rsidRPr="00EF521E" w:rsidRDefault="008D7379" w:rsidP="00D77986">
            <w:pPr>
              <w:jc w:val="both"/>
              <w:rPr>
                <w:rFonts w:cstheme="minorHAnsi"/>
                <w:szCs w:val="20"/>
              </w:rPr>
            </w:pPr>
            <w:r w:rsidRPr="00EF521E">
              <w:rPr>
                <w:rFonts w:cstheme="minorHAnsi"/>
                <w:szCs w:val="20"/>
              </w:rPr>
              <w:t>Sustainability analysts must know the technical details behind every number.</w:t>
            </w:r>
          </w:p>
          <w:p w14:paraId="63472D09" w14:textId="77777777" w:rsidR="008D7379" w:rsidRPr="00EF521E" w:rsidRDefault="008D7379" w:rsidP="00D77986">
            <w:pPr>
              <w:pStyle w:val="ListParagraph"/>
              <w:numPr>
                <w:ilvl w:val="0"/>
                <w:numId w:val="187"/>
              </w:numPr>
              <w:jc w:val="both"/>
              <w:rPr>
                <w:rFonts w:cstheme="minorHAnsi"/>
                <w:szCs w:val="20"/>
              </w:rPr>
            </w:pPr>
            <w:r w:rsidRPr="00EF521E">
              <w:rPr>
                <w:rFonts w:cstheme="minorHAnsi"/>
                <w:b/>
                <w:szCs w:val="20"/>
              </w:rPr>
              <w:t>Task:</w:t>
            </w:r>
            <w:r w:rsidRPr="00EF521E">
              <w:rPr>
                <w:rFonts w:cstheme="minorHAnsi"/>
                <w:szCs w:val="20"/>
              </w:rPr>
              <w:t xml:space="preserve"> Select two metrics from the list above (one Environmental and one Social). For each, research and write a 250-word profile that includes:</w:t>
            </w:r>
          </w:p>
          <w:p w14:paraId="3C979FEC" w14:textId="77777777" w:rsidR="008D7379" w:rsidRPr="00EF521E" w:rsidRDefault="008D7379" w:rsidP="00D77986">
            <w:pPr>
              <w:pStyle w:val="ListParagraph"/>
              <w:numPr>
                <w:ilvl w:val="0"/>
                <w:numId w:val="187"/>
              </w:numPr>
              <w:jc w:val="both"/>
              <w:rPr>
                <w:rFonts w:cstheme="minorHAnsi"/>
                <w:szCs w:val="20"/>
              </w:rPr>
            </w:pPr>
            <w:r w:rsidRPr="00EF521E">
              <w:rPr>
                <w:rFonts w:cstheme="minorHAnsi"/>
                <w:szCs w:val="20"/>
              </w:rPr>
              <w:t xml:space="preserve">The </w:t>
            </w:r>
            <w:r w:rsidRPr="00EF521E">
              <w:rPr>
                <w:rFonts w:cstheme="minorHAnsi"/>
                <w:szCs w:val="20"/>
                <w:u w:val="single"/>
              </w:rPr>
              <w:t>Standard Unit of Measurement</w:t>
            </w:r>
            <w:r w:rsidRPr="00EF521E">
              <w:rPr>
                <w:rFonts w:cstheme="minorHAnsi"/>
                <w:szCs w:val="20"/>
              </w:rPr>
              <w:t xml:space="preserve"> (e.g.  </w:t>
            </w:r>
            <m:oMath>
              <m:r>
                <w:rPr>
                  <w:rFonts w:ascii="Cambria Math" w:hAnsi="Cambria Math" w:cstheme="minorHAnsi"/>
                  <w:szCs w:val="20"/>
                </w:rPr>
                <m:t>tC</m:t>
              </m:r>
              <m:sSub>
                <m:sSubPr>
                  <m:ctrlPr>
                    <w:rPr>
                      <w:rFonts w:ascii="Cambria Math" w:hAnsi="Cambria Math" w:cstheme="minorHAnsi"/>
                      <w:szCs w:val="20"/>
                    </w:rPr>
                  </m:ctrlPr>
                </m:sSubPr>
                <m:e>
                  <m:r>
                    <w:rPr>
                      <w:rFonts w:ascii="Cambria Math" w:hAnsi="Cambria Math" w:cstheme="minorHAnsi"/>
                      <w:szCs w:val="20"/>
                    </w:rPr>
                    <m:t>O</m:t>
                  </m:r>
                </m:e>
                <m:sub>
                  <m:r>
                    <w:rPr>
                      <w:rFonts w:ascii="Cambria Math" w:hAnsi="Cambria Math" w:cstheme="minorHAnsi"/>
                      <w:szCs w:val="20"/>
                    </w:rPr>
                    <m:t>2</m:t>
                  </m:r>
                </m:sub>
              </m:sSub>
              <m:r>
                <w:rPr>
                  <w:rFonts w:ascii="Cambria Math" w:hAnsi="Cambria Math" w:cstheme="minorHAnsi"/>
                  <w:szCs w:val="20"/>
                </w:rPr>
                <m:t>e</m:t>
              </m:r>
            </m:oMath>
            <w:r w:rsidRPr="00EF521E">
              <w:rPr>
                <w:rFonts w:cstheme="minorHAnsi"/>
                <w:i/>
                <w:szCs w:val="20"/>
              </w:rPr>
              <w:t xml:space="preserve"> </w:t>
            </w:r>
            <w:r w:rsidRPr="00EF521E">
              <w:rPr>
                <w:rFonts w:cstheme="minorHAnsi"/>
                <w:szCs w:val="20"/>
              </w:rPr>
              <w:t>, %, or headcount).</w:t>
            </w:r>
          </w:p>
          <w:p w14:paraId="1FDEFFAC" w14:textId="77777777" w:rsidR="008D7379" w:rsidRPr="00EF521E" w:rsidRDefault="008D7379" w:rsidP="00D77986">
            <w:pPr>
              <w:pStyle w:val="ListParagraph"/>
              <w:numPr>
                <w:ilvl w:val="0"/>
                <w:numId w:val="187"/>
              </w:numPr>
              <w:jc w:val="both"/>
              <w:rPr>
                <w:rFonts w:cstheme="minorHAnsi"/>
                <w:szCs w:val="20"/>
              </w:rPr>
            </w:pPr>
            <w:r w:rsidRPr="00EF521E">
              <w:rPr>
                <w:rFonts w:cstheme="minorHAnsi"/>
                <w:szCs w:val="20"/>
                <w:u w:val="single"/>
              </w:rPr>
              <w:t>Primary Data Source</w:t>
            </w:r>
            <w:r w:rsidRPr="00EF521E">
              <w:rPr>
                <w:rFonts w:cstheme="minorHAnsi"/>
                <w:szCs w:val="20"/>
              </w:rPr>
              <w:t xml:space="preserve"> (e.g., utility invoices, payroll software, or supplier audits).</w:t>
            </w:r>
          </w:p>
          <w:p w14:paraId="49032248" w14:textId="77777777" w:rsidR="008D7379" w:rsidRPr="00EF521E" w:rsidRDefault="008D7379" w:rsidP="00D77986">
            <w:pPr>
              <w:pStyle w:val="ListParagraph"/>
              <w:numPr>
                <w:ilvl w:val="0"/>
                <w:numId w:val="187"/>
              </w:numPr>
              <w:jc w:val="both"/>
              <w:rPr>
                <w:rFonts w:cstheme="minorHAnsi"/>
                <w:szCs w:val="20"/>
              </w:rPr>
            </w:pPr>
            <w:r w:rsidRPr="00EF521E">
              <w:rPr>
                <w:rFonts w:cstheme="minorHAnsi"/>
                <w:szCs w:val="20"/>
              </w:rPr>
              <w:t xml:space="preserve">Two potential </w:t>
            </w:r>
            <w:r w:rsidRPr="00EF521E">
              <w:rPr>
                <w:rFonts w:cstheme="minorHAnsi"/>
                <w:szCs w:val="20"/>
                <w:u w:val="single"/>
              </w:rPr>
              <w:t>Data Quality Issues</w:t>
            </w:r>
            <w:r w:rsidRPr="00EF521E">
              <w:rPr>
                <w:rFonts w:cstheme="minorHAnsi"/>
                <w:szCs w:val="20"/>
              </w:rPr>
              <w:t xml:space="preserve"> (e.g., missing data from a subsidiary or incorrect conversion factors).</w:t>
            </w:r>
          </w:p>
          <w:p w14:paraId="1846F1DC" w14:textId="77777777" w:rsidR="008D7379" w:rsidRPr="00EF521E" w:rsidRDefault="008D7379" w:rsidP="00D77986">
            <w:pPr>
              <w:jc w:val="both"/>
              <w:rPr>
                <w:rFonts w:cstheme="minorHAnsi"/>
                <w:szCs w:val="20"/>
              </w:rPr>
            </w:pPr>
          </w:p>
          <w:p w14:paraId="74B94642" w14:textId="77777777" w:rsidR="008D7379" w:rsidRPr="00EF521E" w:rsidRDefault="008D7379" w:rsidP="00D77986">
            <w:pPr>
              <w:rPr>
                <w:rFonts w:cstheme="minorHAnsi"/>
                <w:szCs w:val="20"/>
              </w:rPr>
            </w:pPr>
            <w:r w:rsidRPr="00EF521E">
              <w:rPr>
                <w:rFonts w:cstheme="minorHAnsi"/>
                <w:b/>
                <w:szCs w:val="20"/>
              </w:rPr>
              <w:t xml:space="preserve">Activity 2: The "Intensity vs. Absolute" Analysis  </w:t>
            </w:r>
            <w:r w:rsidRPr="00EF521E">
              <w:rPr>
                <w:rFonts w:cstheme="minorHAnsi"/>
                <w:szCs w:val="20"/>
              </w:rPr>
              <w:br/>
              <w:t>In sustainability reporting, "Absolute" numbers tell you the total impact, but "Intensity" tells you the efficiency.</w:t>
            </w:r>
          </w:p>
          <w:p w14:paraId="02C93ACE" w14:textId="77777777" w:rsidR="008D7379" w:rsidRPr="00EF521E" w:rsidRDefault="008D7379" w:rsidP="00D77986">
            <w:pPr>
              <w:numPr>
                <w:ilvl w:val="0"/>
                <w:numId w:val="187"/>
              </w:numPr>
              <w:jc w:val="both"/>
              <w:rPr>
                <w:rFonts w:cstheme="minorHAnsi"/>
                <w:szCs w:val="20"/>
              </w:rPr>
            </w:pPr>
            <w:r w:rsidRPr="00EF521E">
              <w:rPr>
                <w:rFonts w:cstheme="minorHAnsi"/>
                <w:b/>
                <w:szCs w:val="20"/>
              </w:rPr>
              <w:t>Scenario:</w:t>
            </w:r>
            <w:r w:rsidRPr="00EF521E">
              <w:rPr>
                <w:rFonts w:cstheme="minorHAnsi"/>
                <w:szCs w:val="20"/>
              </w:rPr>
              <w:t xml:space="preserve"> Company A produced 1,000 cars and emitted 100 tons of </w:t>
            </w:r>
            <m:oMath>
              <m:r>
                <w:rPr>
                  <w:rFonts w:ascii="Cambria Math" w:hAnsi="Cambria Math" w:cstheme="minorHAnsi"/>
                  <w:szCs w:val="20"/>
                </w:rPr>
                <m:t>C</m:t>
              </m:r>
              <m:sSub>
                <m:sSubPr>
                  <m:ctrlPr>
                    <w:rPr>
                      <w:rFonts w:ascii="Cambria Math" w:hAnsi="Cambria Math" w:cstheme="minorHAnsi"/>
                      <w:szCs w:val="20"/>
                    </w:rPr>
                  </m:ctrlPr>
                </m:sSubPr>
                <m:e>
                  <m:r>
                    <w:rPr>
                      <w:rFonts w:ascii="Cambria Math" w:hAnsi="Cambria Math" w:cstheme="minorHAnsi"/>
                      <w:szCs w:val="20"/>
                    </w:rPr>
                    <m:t>O</m:t>
                  </m:r>
                </m:e>
                <m:sub>
                  <m:r>
                    <w:rPr>
                      <w:rFonts w:ascii="Cambria Math" w:hAnsi="Cambria Math" w:cstheme="minorHAnsi"/>
                      <w:szCs w:val="20"/>
                    </w:rPr>
                    <m:t>2</m:t>
                  </m:r>
                </m:sub>
              </m:sSub>
            </m:oMath>
            <w:r w:rsidRPr="00EF521E">
              <w:rPr>
                <w:rFonts w:cstheme="minorHAnsi"/>
                <w:szCs w:val="20"/>
              </w:rPr>
              <w:t xml:space="preserve">. Company B produced 5,000 cars and emitted 250 tons of </w:t>
            </w:r>
            <m:oMath>
              <m:r>
                <w:rPr>
                  <w:rFonts w:ascii="Cambria Math" w:hAnsi="Cambria Math" w:cstheme="minorHAnsi"/>
                  <w:szCs w:val="20"/>
                </w:rPr>
                <m:t>C</m:t>
              </m:r>
              <m:sSub>
                <m:sSubPr>
                  <m:ctrlPr>
                    <w:rPr>
                      <w:rFonts w:ascii="Cambria Math" w:hAnsi="Cambria Math" w:cstheme="minorHAnsi"/>
                      <w:szCs w:val="20"/>
                    </w:rPr>
                  </m:ctrlPr>
                </m:sSubPr>
                <m:e>
                  <m:r>
                    <w:rPr>
                      <w:rFonts w:ascii="Cambria Math" w:hAnsi="Cambria Math" w:cstheme="minorHAnsi"/>
                      <w:szCs w:val="20"/>
                    </w:rPr>
                    <m:t>O</m:t>
                  </m:r>
                </m:e>
                <m:sub>
                  <m:r>
                    <w:rPr>
                      <w:rFonts w:ascii="Cambria Math" w:hAnsi="Cambria Math" w:cstheme="minorHAnsi"/>
                      <w:szCs w:val="20"/>
                    </w:rPr>
                    <m:t>2</m:t>
                  </m:r>
                </m:sub>
              </m:sSub>
              <m:r>
                <w:rPr>
                  <w:rFonts w:ascii="Cambria Math" w:hAnsi="Cambria Math" w:cstheme="minorHAnsi"/>
                  <w:szCs w:val="20"/>
                </w:rPr>
                <m:t xml:space="preserve">. </m:t>
              </m:r>
            </m:oMath>
          </w:p>
          <w:p w14:paraId="7CE1A8CE" w14:textId="77777777" w:rsidR="008D7379" w:rsidRPr="00EF521E" w:rsidRDefault="008D7379" w:rsidP="00D77986">
            <w:pPr>
              <w:numPr>
                <w:ilvl w:val="0"/>
                <w:numId w:val="187"/>
              </w:numPr>
              <w:jc w:val="both"/>
              <w:rPr>
                <w:rFonts w:cstheme="minorHAnsi"/>
                <w:szCs w:val="20"/>
              </w:rPr>
            </w:pPr>
            <w:r w:rsidRPr="00EF521E">
              <w:rPr>
                <w:rFonts w:cstheme="minorHAnsi"/>
                <w:b/>
                <w:szCs w:val="20"/>
              </w:rPr>
              <w:t>Task:</w:t>
            </w:r>
            <w:r w:rsidRPr="00EF521E">
              <w:rPr>
                <w:rFonts w:cstheme="minorHAnsi"/>
                <w:szCs w:val="20"/>
              </w:rPr>
              <w:t> Calculate the "Emission Intensity" (Emissions per car) for both. Write a short paragraph (150 words) explaining why an investor might find Company B "more efficient" even though its total emissions are much higher.</w:t>
            </w:r>
          </w:p>
          <w:p w14:paraId="7815DAF9" w14:textId="77777777" w:rsidR="008D7379" w:rsidRPr="00EF521E" w:rsidRDefault="008D7379" w:rsidP="00D77986">
            <w:pPr>
              <w:pStyle w:val="ListParagraph"/>
              <w:numPr>
                <w:ilvl w:val="0"/>
                <w:numId w:val="187"/>
              </w:numPr>
              <w:jc w:val="both"/>
              <w:rPr>
                <w:rFonts w:cstheme="minorHAnsi"/>
                <w:szCs w:val="20"/>
              </w:rPr>
            </w:pPr>
            <w:r w:rsidRPr="00EF521E">
              <w:rPr>
                <w:rFonts w:cstheme="minorHAnsi"/>
                <w:b/>
                <w:szCs w:val="20"/>
              </w:rPr>
              <w:t>Hint:</w:t>
            </w:r>
            <w:r w:rsidRPr="00EF521E">
              <w:rPr>
                <w:rFonts w:cstheme="minorHAnsi"/>
                <w:szCs w:val="20"/>
              </w:rPr>
              <w:t xml:space="preserve"> Absolute metrics show the total burden on the planet, while intensity metrics show the efficiency of the production process.</w:t>
            </w:r>
          </w:p>
          <w:p w14:paraId="797E8833" w14:textId="77777777" w:rsidR="008D7379" w:rsidRPr="00EF521E" w:rsidRDefault="008D7379" w:rsidP="00D77986">
            <w:pPr>
              <w:jc w:val="both"/>
              <w:rPr>
                <w:rFonts w:cstheme="minorHAnsi"/>
                <w:szCs w:val="20"/>
              </w:rPr>
            </w:pPr>
          </w:p>
          <w:p w14:paraId="063C1593" w14:textId="0041D9B3" w:rsidR="008D7379" w:rsidRPr="00EF521E" w:rsidRDefault="008D7379" w:rsidP="00D77986">
            <w:pPr>
              <w:jc w:val="both"/>
              <w:rPr>
                <w:rFonts w:cstheme="minorHAnsi"/>
                <w:szCs w:val="20"/>
              </w:rPr>
            </w:pPr>
            <w:r w:rsidRPr="00EF521E">
              <w:rPr>
                <w:rFonts w:cstheme="minorHAnsi"/>
                <w:b/>
                <w:szCs w:val="20"/>
              </w:rPr>
              <w:t>Review &amp; Reflection</w:t>
            </w:r>
          </w:p>
          <w:p w14:paraId="08C9D6E3" w14:textId="77777777" w:rsidR="008D7379" w:rsidRPr="00EF521E" w:rsidRDefault="008D7379" w:rsidP="00D77986">
            <w:pPr>
              <w:jc w:val="both"/>
              <w:rPr>
                <w:rFonts w:cstheme="minorHAnsi"/>
                <w:szCs w:val="20"/>
              </w:rPr>
            </w:pPr>
            <w:r w:rsidRPr="00EF521E">
              <w:rPr>
                <w:rFonts w:cstheme="minorHAnsi"/>
                <w:szCs w:val="20"/>
              </w:rPr>
              <w:t>Briefly review your notes and the Key Takeaways below</w:t>
            </w:r>
            <w:r w:rsidR="009F662C" w:rsidRPr="00EF521E">
              <w:rPr>
                <w:rFonts w:cstheme="minorHAnsi"/>
                <w:szCs w:val="20"/>
              </w:rPr>
              <w:t>.</w:t>
            </w:r>
          </w:p>
          <w:p w14:paraId="7E180CBA" w14:textId="77777777" w:rsidR="009F662C" w:rsidRPr="00EF521E" w:rsidRDefault="009F662C" w:rsidP="00D77986">
            <w:pPr>
              <w:jc w:val="both"/>
            </w:pPr>
          </w:p>
          <w:p w14:paraId="2F14467E" w14:textId="20DEF4E4" w:rsidR="009F662C" w:rsidRPr="00EF521E" w:rsidRDefault="009F662C" w:rsidP="009F662C">
            <w:pPr>
              <w:rPr>
                <w:rFonts w:cstheme="minorHAnsi"/>
                <w:szCs w:val="20"/>
              </w:rPr>
            </w:pPr>
            <w:r w:rsidRPr="00EF521E">
              <w:rPr>
                <w:rFonts w:cstheme="minorHAnsi"/>
                <w:b/>
                <w:color w:val="00AC4E" w:themeColor="accent1"/>
                <w:szCs w:val="20"/>
              </w:rPr>
              <w:t>Key Takeaways</w:t>
            </w:r>
            <w:r w:rsidRPr="00EF521E">
              <w:rPr>
                <w:rFonts w:cstheme="minorHAnsi"/>
                <w:szCs w:val="20"/>
              </w:rPr>
              <w:t xml:space="preserve">: </w:t>
            </w:r>
          </w:p>
          <w:p w14:paraId="37E10F77" w14:textId="77777777" w:rsidR="009F662C" w:rsidRPr="00EF521E" w:rsidRDefault="009F662C" w:rsidP="009F662C">
            <w:pPr>
              <w:pStyle w:val="NoSpacing"/>
              <w:numPr>
                <w:ilvl w:val="0"/>
                <w:numId w:val="187"/>
              </w:numPr>
              <w:rPr>
                <w:rFonts w:cstheme="minorHAnsi"/>
                <w:b/>
                <w:bCs/>
                <w:sz w:val="20"/>
                <w:szCs w:val="20"/>
                <w:lang w:val="en-GB"/>
              </w:rPr>
            </w:pPr>
            <w:r w:rsidRPr="00EF521E">
              <w:rPr>
                <w:rFonts w:cstheme="minorHAnsi"/>
                <w:b/>
                <w:sz w:val="20"/>
                <w:szCs w:val="20"/>
                <w:lang w:val="en-GB"/>
              </w:rPr>
              <w:t>Systematic Framework: </w:t>
            </w:r>
            <w:r w:rsidRPr="00EF521E">
              <w:rPr>
                <w:rFonts w:cstheme="minorHAnsi"/>
                <w:sz w:val="20"/>
                <w:szCs w:val="20"/>
                <w:lang w:val="en-GB"/>
              </w:rPr>
              <w:t>ESG metrics are not selected randomly; they are technical outputs derived from the ESRS E1–G1 Disclosure Requirements. This systematic link ensures that every KPI reported is directly tied to regulatory compliance and standardized reporting.</w:t>
            </w:r>
          </w:p>
          <w:p w14:paraId="501B0AD7" w14:textId="77777777" w:rsidR="009F662C" w:rsidRPr="00EF521E" w:rsidRDefault="009F662C" w:rsidP="009F662C">
            <w:pPr>
              <w:pStyle w:val="NoSpacing"/>
              <w:numPr>
                <w:ilvl w:val="0"/>
                <w:numId w:val="187"/>
              </w:numPr>
              <w:rPr>
                <w:rFonts w:cstheme="minorHAnsi"/>
                <w:b/>
                <w:bCs/>
                <w:sz w:val="20"/>
                <w:szCs w:val="20"/>
                <w:lang w:val="en-GB"/>
              </w:rPr>
            </w:pPr>
            <w:r w:rsidRPr="00EF521E">
              <w:rPr>
                <w:rFonts w:cstheme="minorHAnsi"/>
                <w:b/>
                <w:sz w:val="20"/>
                <w:szCs w:val="20"/>
                <w:lang w:val="en-GB"/>
              </w:rPr>
              <w:t>The Metadata Mandate: </w:t>
            </w:r>
            <w:r w:rsidRPr="00EF521E">
              <w:rPr>
                <w:rFonts w:cstheme="minorHAnsi"/>
                <w:sz w:val="20"/>
                <w:szCs w:val="20"/>
                <w:lang w:val="en-GB"/>
              </w:rPr>
              <w:t>To be audit-ready, every metric must be documented in a Data Dictionary. This centralized repository defines the technical metadata for each KPI, including the exact calculation formula, the unit of measurement, and the assigned Data Owner.</w:t>
            </w:r>
          </w:p>
          <w:p w14:paraId="387BC64D" w14:textId="77777777" w:rsidR="009F662C" w:rsidRPr="00EF521E" w:rsidRDefault="009F662C" w:rsidP="009F662C">
            <w:pPr>
              <w:pStyle w:val="NoSpacing"/>
              <w:numPr>
                <w:ilvl w:val="0"/>
                <w:numId w:val="187"/>
              </w:numPr>
              <w:rPr>
                <w:rFonts w:cstheme="minorHAnsi"/>
                <w:b/>
                <w:bCs/>
                <w:sz w:val="20"/>
                <w:szCs w:val="20"/>
                <w:lang w:val="en-GB"/>
              </w:rPr>
            </w:pPr>
            <w:r w:rsidRPr="00EF521E">
              <w:rPr>
                <w:rFonts w:cstheme="minorHAnsi"/>
                <w:b/>
                <w:sz w:val="20"/>
                <w:szCs w:val="20"/>
                <w:lang w:val="en-GB"/>
              </w:rPr>
              <w:t>Defining System Boundaries: </w:t>
            </w:r>
            <w:r w:rsidRPr="00EF521E">
              <w:rPr>
                <w:rFonts w:cstheme="minorHAnsi"/>
                <w:sz w:val="20"/>
                <w:szCs w:val="20"/>
                <w:lang w:val="en-GB"/>
              </w:rPr>
              <w:t>The accuracy of sustainability data depends on clearly defined system boundaries. These boundaries establish the operational or geographic scope of the data (e.g., which subsidiaries are included), ensuring that metrics are consistent and prevent double-counting of impacts.</w:t>
            </w:r>
          </w:p>
          <w:p w14:paraId="7F735CE6" w14:textId="77777777" w:rsidR="009F662C" w:rsidRPr="00EF521E" w:rsidRDefault="009F662C" w:rsidP="009F662C">
            <w:pPr>
              <w:pStyle w:val="NoSpacing"/>
              <w:numPr>
                <w:ilvl w:val="0"/>
                <w:numId w:val="187"/>
              </w:numPr>
              <w:rPr>
                <w:rFonts w:cstheme="minorHAnsi"/>
                <w:b/>
                <w:bCs/>
                <w:sz w:val="20"/>
                <w:szCs w:val="20"/>
                <w:lang w:val="en-GB"/>
              </w:rPr>
            </w:pPr>
            <w:r w:rsidRPr="00EF521E">
              <w:rPr>
                <w:rFonts w:cstheme="minorHAnsi"/>
                <w:b/>
                <w:sz w:val="20"/>
                <w:szCs w:val="20"/>
                <w:lang w:val="en-GB"/>
              </w:rPr>
              <w:t>Efficiency vs. Impact Logic: </w:t>
            </w:r>
            <w:r w:rsidRPr="00EF521E">
              <w:rPr>
                <w:rFonts w:cstheme="minorHAnsi"/>
                <w:sz w:val="20"/>
                <w:szCs w:val="20"/>
                <w:lang w:val="en-GB"/>
              </w:rPr>
              <w:t>Analysts must distinguish between Absolute Metrics (the total environmental burden) and Intensity Indicators (normalized efficiency relative to revenue or output). Normalization is critical for comparing the performance of organizations of different sizes.</w:t>
            </w:r>
          </w:p>
          <w:p w14:paraId="07BFD719" w14:textId="77777777" w:rsidR="009F662C" w:rsidRPr="00EF521E" w:rsidRDefault="009F662C" w:rsidP="009F662C">
            <w:pPr>
              <w:pStyle w:val="NoSpacing"/>
              <w:numPr>
                <w:ilvl w:val="0"/>
                <w:numId w:val="187"/>
              </w:numPr>
              <w:rPr>
                <w:rFonts w:cstheme="minorHAnsi"/>
                <w:b/>
                <w:bCs/>
                <w:sz w:val="20"/>
                <w:szCs w:val="20"/>
                <w:lang w:val="en-GB"/>
              </w:rPr>
            </w:pPr>
            <w:r w:rsidRPr="00EF521E">
              <w:rPr>
                <w:rFonts w:cstheme="minorHAnsi"/>
                <w:b/>
                <w:sz w:val="20"/>
                <w:szCs w:val="20"/>
                <w:lang w:val="en-GB"/>
              </w:rPr>
              <w:t>Data Governance Roles: </w:t>
            </w:r>
            <w:r w:rsidRPr="00EF521E">
              <w:rPr>
                <w:rFonts w:cstheme="minorHAnsi"/>
                <w:sz w:val="20"/>
                <w:szCs w:val="20"/>
                <w:lang w:val="en-GB"/>
              </w:rPr>
              <w:t>Reliable sustainability data is the result of a formal ownership model. Accuracy is maintained by Data Owners at the source, while the technical calculation logic and ESRS alignment are validated by the ESG Controller.</w:t>
            </w:r>
          </w:p>
          <w:p w14:paraId="2DD0D4AB" w14:textId="77777777" w:rsidR="009F662C" w:rsidRPr="00EF521E" w:rsidRDefault="009F662C" w:rsidP="009F662C">
            <w:pPr>
              <w:pStyle w:val="NoSpacing"/>
              <w:ind w:left="720"/>
              <w:rPr>
                <w:rFonts w:cstheme="minorHAnsi"/>
                <w:b/>
                <w:sz w:val="20"/>
                <w:szCs w:val="20"/>
                <w:lang w:val="en-GB"/>
              </w:rPr>
            </w:pPr>
          </w:p>
          <w:p w14:paraId="7C1E2042" w14:textId="77777777" w:rsidR="009F662C" w:rsidRPr="00EF521E" w:rsidRDefault="009F662C" w:rsidP="009F662C">
            <w:pPr>
              <w:pStyle w:val="NoSpacing"/>
              <w:ind w:left="720"/>
              <w:rPr>
                <w:rFonts w:cstheme="minorHAnsi"/>
                <w:b/>
                <w:bCs/>
                <w:sz w:val="20"/>
                <w:szCs w:val="20"/>
                <w:lang w:val="en-GB"/>
              </w:rPr>
            </w:pPr>
          </w:p>
          <w:p w14:paraId="65AB9127" w14:textId="77777777" w:rsidR="009F662C" w:rsidRPr="00EF521E" w:rsidRDefault="009F662C" w:rsidP="009F662C">
            <w:pPr>
              <w:rPr>
                <w:rFonts w:cstheme="minorHAnsi"/>
                <w:b/>
                <w:color w:val="00AC4E" w:themeColor="accent1"/>
                <w:szCs w:val="20"/>
              </w:rPr>
            </w:pPr>
            <w:r w:rsidRPr="00EF521E">
              <w:rPr>
                <w:rFonts w:cstheme="minorHAnsi"/>
                <w:b/>
                <w:color w:val="00AC4E" w:themeColor="accent1"/>
                <w:szCs w:val="20"/>
              </w:rPr>
              <w:t xml:space="preserve">Additional reading: </w:t>
            </w:r>
          </w:p>
          <w:p w14:paraId="01EC726B" w14:textId="77777777" w:rsidR="009F662C" w:rsidRPr="00EF521E" w:rsidRDefault="009F662C" w:rsidP="009F662C">
            <w:pPr>
              <w:pStyle w:val="ListParagraph"/>
              <w:numPr>
                <w:ilvl w:val="0"/>
                <w:numId w:val="187"/>
              </w:numPr>
              <w:rPr>
                <w:rFonts w:cstheme="minorHAnsi"/>
                <w:szCs w:val="20"/>
                <w:lang w:eastAsia="en-IE"/>
              </w:rPr>
            </w:pPr>
            <w:hyperlink r:id="rId30">
              <w:r w:rsidRPr="00EF521E">
                <w:rPr>
                  <w:rStyle w:val="Hyperlink"/>
                  <w:rFonts w:cstheme="minorHAnsi"/>
                  <w:color w:val="00AC4E" w:themeColor="accent1"/>
                  <w:szCs w:val="20"/>
                </w:rPr>
                <w:t>EFRAG: ESRS Data Points List (Excel Tool)</w:t>
              </w:r>
            </w:hyperlink>
            <w:r w:rsidRPr="00EF521E">
              <w:rPr>
                <w:rFonts w:cstheme="minorHAnsi"/>
                <w:color w:val="00AC4E" w:themeColor="accent1"/>
                <w:szCs w:val="20"/>
                <w:lang w:eastAsia="en-IE"/>
              </w:rPr>
              <w:t xml:space="preserve"> </w:t>
            </w:r>
            <w:r w:rsidRPr="00EF521E">
              <w:rPr>
                <w:rFonts w:cstheme="minorHAnsi"/>
                <w:szCs w:val="20"/>
                <w:lang w:eastAsia="en-IE"/>
              </w:rPr>
              <w:t xml:space="preserve">Download the Excel file. Focus on the "Environmental" tab to see the hundreds of specific units of measurement (e.g. </w:t>
            </w:r>
            <m:oMath>
              <m:r>
                <w:rPr>
                  <w:rFonts w:ascii="Cambria Math" w:hAnsi="Cambria Math" w:cstheme="minorHAnsi"/>
                  <w:szCs w:val="20"/>
                  <w:lang w:eastAsia="en-IE"/>
                </w:rPr>
                <m:t>tC</m:t>
              </m:r>
              <m:sSub>
                <m:sSubPr>
                  <m:ctrlPr>
                    <w:rPr>
                      <w:rFonts w:ascii="Cambria Math" w:hAnsi="Cambria Math" w:cstheme="minorHAnsi"/>
                      <w:szCs w:val="20"/>
                      <w:lang w:eastAsia="en-IE"/>
                    </w:rPr>
                  </m:ctrlPr>
                </m:sSubPr>
                <m:e>
                  <m:r>
                    <w:rPr>
                      <w:rFonts w:ascii="Cambria Math" w:hAnsi="Cambria Math" w:cstheme="minorHAnsi"/>
                      <w:szCs w:val="20"/>
                      <w:lang w:eastAsia="en-IE"/>
                    </w:rPr>
                    <m:t>O</m:t>
                  </m:r>
                </m:e>
                <m:sub>
                  <m:r>
                    <w:rPr>
                      <w:rFonts w:ascii="Cambria Math" w:hAnsi="Cambria Math" w:cstheme="minorHAnsi"/>
                      <w:szCs w:val="20"/>
                      <w:lang w:eastAsia="en-IE"/>
                    </w:rPr>
                    <m:t>2</m:t>
                  </m:r>
                </m:sub>
              </m:sSub>
              <m:r>
                <w:rPr>
                  <w:rFonts w:ascii="Cambria Math" w:hAnsi="Cambria Math" w:cstheme="minorHAnsi"/>
                  <w:szCs w:val="20"/>
                  <w:lang w:eastAsia="en-IE"/>
                </w:rPr>
                <m:t xml:space="preserve">e, </m:t>
              </m:r>
              <m:sSup>
                <m:sSupPr>
                  <m:ctrlPr>
                    <w:rPr>
                      <w:rFonts w:ascii="Cambria Math" w:hAnsi="Cambria Math" w:cstheme="minorHAnsi"/>
                      <w:szCs w:val="20"/>
                      <w:lang w:eastAsia="en-IE"/>
                    </w:rPr>
                  </m:ctrlPr>
                </m:sSupPr>
                <m:e>
                  <m:r>
                    <w:rPr>
                      <w:rFonts w:ascii="Cambria Math" w:hAnsi="Cambria Math" w:cstheme="minorHAnsi"/>
                      <w:szCs w:val="20"/>
                      <w:lang w:eastAsia="en-IE"/>
                    </w:rPr>
                    <m:t>m</m:t>
                  </m:r>
                </m:e>
                <m:sup>
                  <m:r>
                    <w:rPr>
                      <w:rFonts w:ascii="Cambria Math" w:hAnsi="Cambria Math" w:cstheme="minorHAnsi"/>
                      <w:szCs w:val="20"/>
                      <w:lang w:eastAsia="en-IE"/>
                    </w:rPr>
                    <m:t>3</m:t>
                  </m:r>
                </m:sup>
              </m:sSup>
            </m:oMath>
            <w:r w:rsidRPr="00EF521E">
              <w:rPr>
                <w:rFonts w:cstheme="minorHAnsi"/>
                <w:szCs w:val="20"/>
                <w:lang w:eastAsia="en-IE"/>
              </w:rPr>
              <w:t>) an analyst must track.</w:t>
            </w:r>
          </w:p>
          <w:p w14:paraId="66EE1FE7" w14:textId="77777777" w:rsidR="009F662C" w:rsidRPr="00EF521E" w:rsidRDefault="009F662C" w:rsidP="009F662C">
            <w:pPr>
              <w:pStyle w:val="ListParagraph"/>
              <w:numPr>
                <w:ilvl w:val="0"/>
                <w:numId w:val="187"/>
              </w:numPr>
              <w:rPr>
                <w:rFonts w:cstheme="minorHAnsi"/>
                <w:szCs w:val="20"/>
                <w:lang w:eastAsia="en-IE"/>
              </w:rPr>
            </w:pPr>
            <w:hyperlink r:id="rId31">
              <w:r w:rsidRPr="00EF521E">
                <w:rPr>
                  <w:rStyle w:val="Hyperlink"/>
                  <w:rFonts w:cstheme="minorHAnsi"/>
                  <w:color w:val="00AC4E" w:themeColor="accent1"/>
                  <w:szCs w:val="20"/>
                </w:rPr>
                <w:t>GRI 305: Emissions 2016</w:t>
              </w:r>
            </w:hyperlink>
            <w:r w:rsidRPr="00EF521E">
              <w:rPr>
                <w:rFonts w:cstheme="minorHAnsi"/>
                <w:szCs w:val="20"/>
              </w:rPr>
              <w:t xml:space="preserve"> - Pages 7–12. Learn the technical difference between Scope 1, 2, and 3 emissions and the specific reporting requirements for each.</w:t>
            </w:r>
          </w:p>
          <w:p w14:paraId="584AC121" w14:textId="77777777" w:rsidR="009F662C" w:rsidRPr="00EF521E" w:rsidRDefault="009F662C" w:rsidP="009F662C">
            <w:pPr>
              <w:pStyle w:val="ListParagraph"/>
              <w:numPr>
                <w:ilvl w:val="0"/>
                <w:numId w:val="187"/>
              </w:numPr>
              <w:rPr>
                <w:rFonts w:cstheme="minorHAnsi"/>
                <w:szCs w:val="20"/>
                <w:lang w:eastAsia="en-IE"/>
              </w:rPr>
            </w:pPr>
            <w:hyperlink r:id="rId32">
              <w:r w:rsidRPr="00EF521E">
                <w:rPr>
                  <w:rStyle w:val="Hyperlink"/>
                  <w:rFonts w:cstheme="minorHAnsi"/>
                  <w:color w:val="00AC4E" w:themeColor="accent1"/>
                  <w:szCs w:val="20"/>
                </w:rPr>
                <w:t>MSCI ESG 101: What is ESG?</w:t>
              </w:r>
            </w:hyperlink>
            <w:r w:rsidRPr="00EF521E">
              <w:rPr>
                <w:rFonts w:cstheme="minorHAnsi"/>
                <w:color w:val="00AC4E" w:themeColor="accent1"/>
                <w:szCs w:val="20"/>
              </w:rPr>
              <w:t xml:space="preserve"> </w:t>
            </w:r>
            <w:r w:rsidRPr="00EF521E">
              <w:rPr>
                <w:rFonts w:cstheme="minorHAnsi"/>
                <w:szCs w:val="20"/>
              </w:rPr>
              <w:t>- MSCI is one of the world’s largest providers of ESG ratings. This guide explains how investment analysts use metrics to score companies.</w:t>
            </w:r>
          </w:p>
          <w:p w14:paraId="46DFE229" w14:textId="77777777" w:rsidR="009F662C" w:rsidRPr="00EF521E" w:rsidRDefault="009F662C" w:rsidP="009F662C">
            <w:pPr>
              <w:pStyle w:val="ListParagraph"/>
              <w:numPr>
                <w:ilvl w:val="0"/>
                <w:numId w:val="187"/>
              </w:numPr>
              <w:rPr>
                <w:rFonts w:cstheme="minorHAnsi"/>
                <w:szCs w:val="20"/>
                <w:lang w:eastAsia="en-IE"/>
              </w:rPr>
            </w:pPr>
            <w:hyperlink r:id="rId33">
              <w:r w:rsidRPr="00EF521E">
                <w:rPr>
                  <w:rStyle w:val="Hyperlink"/>
                  <w:rFonts w:cstheme="minorHAnsi"/>
                  <w:color w:val="00AC4E" w:themeColor="accent1"/>
                  <w:szCs w:val="20"/>
                </w:rPr>
                <w:t>IFRS S1 and S2 Summary</w:t>
              </w:r>
            </w:hyperlink>
            <w:r w:rsidRPr="00EF521E">
              <w:rPr>
                <w:rFonts w:cstheme="minorHAnsi"/>
                <w:szCs w:val="20"/>
              </w:rPr>
              <w:t xml:space="preserve"> - A high-level summary of the International Sustainability Standards Board (ISSB) standards, which are used by non-EU companies.</w:t>
            </w:r>
          </w:p>
          <w:p w14:paraId="15F40A33" w14:textId="77777777" w:rsidR="009F662C" w:rsidRPr="00EF521E" w:rsidRDefault="009F662C" w:rsidP="009F662C">
            <w:pPr>
              <w:pStyle w:val="ListParagraph"/>
              <w:numPr>
                <w:ilvl w:val="0"/>
                <w:numId w:val="187"/>
              </w:numPr>
              <w:rPr>
                <w:rFonts w:cstheme="minorHAnsi"/>
                <w:szCs w:val="20"/>
                <w:lang w:eastAsia="en-IE"/>
              </w:rPr>
            </w:pPr>
            <w:hyperlink r:id="rId34">
              <w:r w:rsidRPr="00EF521E">
                <w:rPr>
                  <w:rStyle w:val="Hyperlink"/>
                  <w:rFonts w:cstheme="minorHAnsi"/>
                  <w:color w:val="00AC4E" w:themeColor="accent1"/>
                  <w:szCs w:val="20"/>
                </w:rPr>
                <w:t>EFRAG ESRS Q&amp;A Platform</w:t>
              </w:r>
            </w:hyperlink>
            <w:r w:rsidRPr="00EF521E">
              <w:rPr>
                <w:rFonts w:cstheme="minorHAnsi"/>
                <w:szCs w:val="20"/>
              </w:rPr>
              <w:t xml:space="preserve"> Cross-Cutting Mapping of Sustainability Matters to topical Disclosures (Q&amp;A ID 177). </w:t>
            </w:r>
          </w:p>
          <w:p w14:paraId="4E380F0F" w14:textId="367D73C9" w:rsidR="009F662C" w:rsidRPr="00EF521E" w:rsidRDefault="009F662C" w:rsidP="009F662C">
            <w:pPr>
              <w:rPr>
                <w:rFonts w:cstheme="minorHAnsi"/>
                <w:b/>
                <w:color w:val="00AC4E" w:themeColor="accent1"/>
                <w:szCs w:val="20"/>
                <w:lang w:eastAsia="en-IE"/>
              </w:rPr>
            </w:pPr>
          </w:p>
          <w:p w14:paraId="57A685B2" w14:textId="77777777" w:rsidR="009F662C" w:rsidRPr="00EF521E" w:rsidRDefault="009F662C" w:rsidP="009F662C">
            <w:pPr>
              <w:rPr>
                <w:rFonts w:cstheme="minorHAnsi"/>
                <w:b/>
                <w:color w:val="00AC4E" w:themeColor="accent1"/>
                <w:szCs w:val="20"/>
              </w:rPr>
            </w:pPr>
            <w:r w:rsidRPr="00EF521E">
              <w:rPr>
                <w:rFonts w:cstheme="minorHAnsi"/>
                <w:b/>
                <w:color w:val="00AC4E" w:themeColor="accent1"/>
                <w:szCs w:val="20"/>
              </w:rPr>
              <w:t>Quick Check:</w:t>
            </w:r>
          </w:p>
          <w:p w14:paraId="2A63CFF0"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1. Which document serves as the centralized repository for defining the formulas, sources, and technical context of all company KPIs?</w:t>
            </w:r>
          </w:p>
          <w:p w14:paraId="522CEE99" w14:textId="77777777" w:rsidR="009F662C" w:rsidRPr="00EF521E" w:rsidRDefault="009F662C" w:rsidP="009F662C">
            <w:pPr>
              <w:numPr>
                <w:ilvl w:val="0"/>
                <w:numId w:val="198"/>
              </w:numPr>
              <w:rPr>
                <w:rFonts w:cstheme="minorHAnsi"/>
                <w:szCs w:val="20"/>
                <w:lang w:eastAsia="en-IE"/>
              </w:rPr>
            </w:pPr>
            <w:r w:rsidRPr="00EF521E">
              <w:rPr>
                <w:rFonts w:cstheme="minorHAnsi"/>
                <w:szCs w:val="20"/>
              </w:rPr>
              <w:t>The CSRD Directive</w:t>
            </w:r>
          </w:p>
          <w:p w14:paraId="20CA3734" w14:textId="77777777" w:rsidR="009F662C" w:rsidRPr="00EF521E" w:rsidRDefault="009F662C" w:rsidP="009F662C">
            <w:pPr>
              <w:numPr>
                <w:ilvl w:val="0"/>
                <w:numId w:val="198"/>
              </w:numPr>
              <w:rPr>
                <w:rFonts w:cstheme="minorHAnsi"/>
                <w:szCs w:val="20"/>
                <w:lang w:eastAsia="en-IE"/>
              </w:rPr>
            </w:pPr>
            <w:r w:rsidRPr="00EF521E">
              <w:rPr>
                <w:rFonts w:cstheme="minorHAnsi"/>
                <w:szCs w:val="20"/>
              </w:rPr>
              <w:t>The Sustainability Statement</w:t>
            </w:r>
          </w:p>
          <w:p w14:paraId="08B494A5" w14:textId="08FD674C" w:rsidR="009F662C" w:rsidRPr="00EF521E" w:rsidRDefault="009F662C" w:rsidP="009F662C">
            <w:pPr>
              <w:numPr>
                <w:ilvl w:val="0"/>
                <w:numId w:val="198"/>
              </w:numPr>
              <w:rPr>
                <w:rFonts w:cstheme="minorHAnsi"/>
                <w:bCs/>
                <w:szCs w:val="20"/>
                <w:lang w:eastAsia="en-IE"/>
              </w:rPr>
            </w:pPr>
            <w:r w:rsidRPr="00EF521E">
              <w:rPr>
                <w:rFonts w:cstheme="minorHAnsi"/>
                <w:bCs/>
                <w:szCs w:val="20"/>
              </w:rPr>
              <w:t>The Data Dictionary.</w:t>
            </w:r>
          </w:p>
          <w:p w14:paraId="2AF0B249" w14:textId="77777777" w:rsidR="009F662C" w:rsidRPr="00EF521E" w:rsidRDefault="009F662C" w:rsidP="009F662C">
            <w:pPr>
              <w:ind w:left="720"/>
              <w:rPr>
                <w:rFonts w:cstheme="minorHAnsi"/>
                <w:szCs w:val="20"/>
                <w:lang w:eastAsia="en-IE"/>
              </w:rPr>
            </w:pPr>
          </w:p>
          <w:p w14:paraId="12B72DC0"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2. If a company reports its total water usage divided by its annual revenue, what type of metric is it using?</w:t>
            </w:r>
          </w:p>
          <w:p w14:paraId="1862CDE2" w14:textId="77777777" w:rsidR="009F662C" w:rsidRPr="00EF521E" w:rsidRDefault="009F662C" w:rsidP="009F662C">
            <w:pPr>
              <w:numPr>
                <w:ilvl w:val="0"/>
                <w:numId w:val="196"/>
              </w:numPr>
              <w:rPr>
                <w:rFonts w:cstheme="minorHAnsi"/>
                <w:szCs w:val="20"/>
                <w:lang w:eastAsia="en-IE"/>
              </w:rPr>
            </w:pPr>
            <w:r w:rsidRPr="00EF521E">
              <w:rPr>
                <w:rFonts w:cstheme="minorHAnsi"/>
                <w:szCs w:val="20"/>
              </w:rPr>
              <w:t>Absolute Metric</w:t>
            </w:r>
          </w:p>
          <w:p w14:paraId="2181143F" w14:textId="6EF464D9" w:rsidR="009F662C" w:rsidRPr="00EF521E" w:rsidRDefault="009F662C" w:rsidP="009F662C">
            <w:pPr>
              <w:numPr>
                <w:ilvl w:val="0"/>
                <w:numId w:val="196"/>
              </w:numPr>
              <w:rPr>
                <w:rFonts w:cstheme="minorHAnsi"/>
                <w:bCs/>
                <w:szCs w:val="20"/>
                <w:lang w:eastAsia="en-IE"/>
              </w:rPr>
            </w:pPr>
            <w:r w:rsidRPr="00EF521E">
              <w:rPr>
                <w:rFonts w:cstheme="minorHAnsi"/>
                <w:bCs/>
                <w:szCs w:val="20"/>
              </w:rPr>
              <w:t>Intensity Indicator </w:t>
            </w:r>
          </w:p>
          <w:p w14:paraId="6FF270C0" w14:textId="04815862" w:rsidR="009F662C" w:rsidRPr="00EF521E" w:rsidRDefault="009F662C" w:rsidP="009F662C">
            <w:pPr>
              <w:numPr>
                <w:ilvl w:val="0"/>
                <w:numId w:val="196"/>
              </w:numPr>
              <w:rPr>
                <w:rFonts w:cstheme="minorHAnsi"/>
                <w:szCs w:val="20"/>
                <w:lang w:eastAsia="en-IE"/>
              </w:rPr>
            </w:pPr>
            <w:r w:rsidRPr="00EF521E">
              <w:rPr>
                <w:rFonts w:cstheme="minorHAnsi"/>
                <w:szCs w:val="20"/>
              </w:rPr>
              <w:t>Qualitative Disclosure.</w:t>
            </w:r>
          </w:p>
          <w:p w14:paraId="35269555" w14:textId="77777777" w:rsidR="009F662C" w:rsidRPr="00EF521E" w:rsidRDefault="009F662C" w:rsidP="009F662C">
            <w:pPr>
              <w:ind w:left="720"/>
              <w:rPr>
                <w:rFonts w:cstheme="minorHAnsi"/>
                <w:szCs w:val="20"/>
                <w:lang w:eastAsia="en-IE"/>
              </w:rPr>
            </w:pPr>
          </w:p>
          <w:p w14:paraId="42DC7AF9"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3. What is the primary purpose of defining "System Boundaries" before collecting ESG data?</w:t>
            </w:r>
          </w:p>
          <w:p w14:paraId="1F667ACD" w14:textId="77777777" w:rsidR="009F662C" w:rsidRPr="00EF521E" w:rsidRDefault="009F662C" w:rsidP="009F662C">
            <w:pPr>
              <w:numPr>
                <w:ilvl w:val="0"/>
                <w:numId w:val="197"/>
              </w:numPr>
              <w:rPr>
                <w:rFonts w:cstheme="minorHAnsi"/>
                <w:szCs w:val="20"/>
                <w:lang w:eastAsia="en-IE"/>
              </w:rPr>
            </w:pPr>
            <w:r w:rsidRPr="00EF521E">
              <w:rPr>
                <w:rFonts w:cstheme="minorHAnsi"/>
                <w:szCs w:val="20"/>
              </w:rPr>
              <w:t>To reduce the number of pages in the report.</w:t>
            </w:r>
          </w:p>
          <w:p w14:paraId="3981C3DE" w14:textId="77777777" w:rsidR="009F662C" w:rsidRPr="00EF521E" w:rsidRDefault="009F662C" w:rsidP="009F662C">
            <w:pPr>
              <w:numPr>
                <w:ilvl w:val="0"/>
                <w:numId w:val="197"/>
              </w:numPr>
              <w:rPr>
                <w:rFonts w:cstheme="minorHAnsi"/>
                <w:szCs w:val="20"/>
                <w:lang w:eastAsia="en-IE"/>
              </w:rPr>
            </w:pPr>
            <w:r w:rsidRPr="00EF521E">
              <w:rPr>
                <w:rFonts w:cstheme="minorHAnsi"/>
                <w:szCs w:val="20"/>
              </w:rPr>
              <w:t>To encrypt data for security purposes.</w:t>
            </w:r>
          </w:p>
          <w:p w14:paraId="4243FABC" w14:textId="49633AAB" w:rsidR="009F662C" w:rsidRPr="00EF521E" w:rsidRDefault="009F662C" w:rsidP="009F662C">
            <w:pPr>
              <w:numPr>
                <w:ilvl w:val="0"/>
                <w:numId w:val="197"/>
              </w:numPr>
              <w:rPr>
                <w:rFonts w:cstheme="minorHAnsi"/>
                <w:bCs/>
                <w:szCs w:val="20"/>
                <w:lang w:eastAsia="en-IE"/>
              </w:rPr>
            </w:pPr>
            <w:r w:rsidRPr="00EF521E">
              <w:rPr>
                <w:rFonts w:cstheme="minorHAnsi"/>
                <w:bCs/>
                <w:szCs w:val="20"/>
              </w:rPr>
              <w:t>To define the organizational scope and ensure data is consistent and comparable. </w:t>
            </w:r>
          </w:p>
          <w:p w14:paraId="44F6C507" w14:textId="77777777" w:rsidR="009F662C" w:rsidRPr="00EF521E" w:rsidRDefault="009F662C" w:rsidP="009F662C">
            <w:pPr>
              <w:rPr>
                <w:rFonts w:cstheme="minorHAnsi"/>
                <w:szCs w:val="20"/>
                <w:lang w:eastAsia="en-IE"/>
              </w:rPr>
            </w:pPr>
          </w:p>
          <w:p w14:paraId="49F1895D"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4. Reflection Point:</w:t>
            </w:r>
          </w:p>
          <w:p w14:paraId="5E61A866" w14:textId="77777777" w:rsidR="009F662C" w:rsidRPr="00EF521E" w:rsidRDefault="009F662C" w:rsidP="009F662C">
            <w:pPr>
              <w:jc w:val="both"/>
              <w:rPr>
                <w:rFonts w:cstheme="minorHAnsi"/>
                <w:szCs w:val="20"/>
              </w:rPr>
            </w:pPr>
            <w:r w:rsidRPr="00EF521E">
              <w:rPr>
                <w:rFonts w:cstheme="minorHAnsi"/>
                <w:szCs w:val="20"/>
              </w:rPr>
              <w:t>In your own words, explain how an environmental metric (like high energy usage) can represent a direct financial risk to a company.</w:t>
            </w:r>
          </w:p>
          <w:p w14:paraId="2FE00591" w14:textId="77777777" w:rsidR="00B22513" w:rsidRPr="00EF521E" w:rsidRDefault="00B22513" w:rsidP="009F662C">
            <w:pPr>
              <w:jc w:val="both"/>
            </w:pPr>
          </w:p>
          <w:p w14:paraId="28037E44" w14:textId="19FB03CE" w:rsidR="00B22513" w:rsidRPr="00EF521E" w:rsidRDefault="00B22513" w:rsidP="009F662C">
            <w:pPr>
              <w:jc w:val="both"/>
            </w:pPr>
            <w:r w:rsidRPr="00EF521E">
              <w:t>Answer key: 1. c), 2. b), 3. c)</w:t>
            </w:r>
          </w:p>
        </w:tc>
      </w:tr>
    </w:tbl>
    <w:p w14:paraId="37C7D65D" w14:textId="77777777" w:rsidR="00BB1CD7" w:rsidRDefault="00BB1CD7" w:rsidP="00413340">
      <w:pPr>
        <w:spacing w:line="240" w:lineRule="auto"/>
      </w:pPr>
    </w:p>
    <w:p w14:paraId="666CCEAF" w14:textId="77777777" w:rsidR="003A5F86" w:rsidRDefault="003A5F86" w:rsidP="00413340">
      <w:pPr>
        <w:spacing w:line="240" w:lineRule="auto"/>
      </w:pPr>
    </w:p>
    <w:p w14:paraId="3BF3FC02" w14:textId="77777777" w:rsidR="003A5F86" w:rsidRDefault="003A5F86" w:rsidP="00413340">
      <w:pPr>
        <w:spacing w:line="240" w:lineRule="auto"/>
      </w:pPr>
    </w:p>
    <w:p w14:paraId="79C6E66E" w14:textId="77777777" w:rsidR="003A5F86" w:rsidRDefault="003A5F86" w:rsidP="00413340">
      <w:pPr>
        <w:spacing w:line="240" w:lineRule="auto"/>
      </w:pPr>
    </w:p>
    <w:p w14:paraId="6283EE03" w14:textId="77777777" w:rsidR="003A5F86" w:rsidRDefault="003A5F86" w:rsidP="00413340">
      <w:pPr>
        <w:spacing w:line="240" w:lineRule="auto"/>
      </w:pPr>
    </w:p>
    <w:p w14:paraId="4C829BF1" w14:textId="77777777" w:rsidR="003A5F86" w:rsidRPr="00EF521E" w:rsidRDefault="003A5F86" w:rsidP="00413340">
      <w:pPr>
        <w:spacing w:line="240" w:lineRule="auto"/>
      </w:pPr>
    </w:p>
    <w:tbl>
      <w:tblPr>
        <w:tblStyle w:val="TableGrid"/>
        <w:tblW w:w="0" w:type="auto"/>
        <w:tblLook w:val="04A0" w:firstRow="1" w:lastRow="0" w:firstColumn="1" w:lastColumn="0" w:noHBand="0" w:noVBand="1"/>
      </w:tblPr>
      <w:tblGrid>
        <w:gridCol w:w="9628"/>
      </w:tblGrid>
      <w:tr w:rsidR="009F662C" w:rsidRPr="00EF521E" w14:paraId="1829AB70" w14:textId="77777777" w:rsidTr="00515876">
        <w:tc>
          <w:tcPr>
            <w:tcW w:w="9628" w:type="dxa"/>
          </w:tcPr>
          <w:p w14:paraId="17AE6371" w14:textId="7B2D3CC3" w:rsidR="009F662C" w:rsidRPr="00EF521E" w:rsidRDefault="009F662C" w:rsidP="00515876">
            <w:pPr>
              <w:pStyle w:val="Heading2"/>
              <w:numPr>
                <w:ilvl w:val="0"/>
                <w:numId w:val="0"/>
              </w:numPr>
              <w:spacing w:before="0"/>
              <w:rPr>
                <w:rFonts w:cstheme="minorHAnsi"/>
                <w:b/>
                <w:bCs/>
                <w:szCs w:val="40"/>
              </w:rPr>
            </w:pPr>
            <w:bookmarkStart w:id="15" w:name="_Toc227485162"/>
            <w:r w:rsidRPr="00EF521E">
              <w:rPr>
                <w:rFonts w:cstheme="minorHAnsi"/>
                <w:b/>
                <w:bCs/>
                <w:szCs w:val="40"/>
              </w:rPr>
              <w:lastRenderedPageBreak/>
              <w:t>Topic 1.3: Double Materiality and Stakeholder Information Requirements</w:t>
            </w:r>
            <w:bookmarkEnd w:id="15"/>
          </w:p>
        </w:tc>
      </w:tr>
      <w:tr w:rsidR="009F662C" w:rsidRPr="00EF521E" w14:paraId="274C9EBE" w14:textId="77777777" w:rsidTr="00515876">
        <w:tc>
          <w:tcPr>
            <w:tcW w:w="9628" w:type="dxa"/>
            <w:shd w:val="clear" w:color="auto" w:fill="D9D9D9" w:themeFill="background1" w:themeFillShade="D9"/>
          </w:tcPr>
          <w:p w14:paraId="11A2A2CF" w14:textId="77777777" w:rsidR="009F662C" w:rsidRPr="00EF521E" w:rsidRDefault="009F662C" w:rsidP="00515876">
            <w:pPr>
              <w:rPr>
                <w:rFonts w:cstheme="minorHAnsi"/>
                <w:b/>
                <w:szCs w:val="20"/>
              </w:rPr>
            </w:pPr>
            <w:r w:rsidRPr="00EF521E">
              <w:rPr>
                <w:rFonts w:cstheme="minorHAnsi"/>
                <w:b/>
                <w:szCs w:val="20"/>
              </w:rPr>
              <w:t>Short introduction:</w:t>
            </w:r>
          </w:p>
        </w:tc>
      </w:tr>
      <w:tr w:rsidR="009F662C" w:rsidRPr="00EF521E" w14:paraId="6399081A" w14:textId="77777777" w:rsidTr="00515876">
        <w:tc>
          <w:tcPr>
            <w:tcW w:w="9628" w:type="dxa"/>
          </w:tcPr>
          <w:p w14:paraId="417293B3" w14:textId="60461FE4" w:rsidR="009F662C" w:rsidRPr="00EF521E" w:rsidRDefault="009F662C" w:rsidP="00515876">
            <w:pPr>
              <w:jc w:val="both"/>
              <w:rPr>
                <w:rFonts w:cstheme="minorHAnsi"/>
                <w:szCs w:val="20"/>
              </w:rPr>
            </w:pPr>
            <w:r w:rsidRPr="00EF521E">
              <w:rPr>
                <w:szCs w:val="20"/>
              </w:rPr>
              <w:t>Double materiality is the mandatory "decision engine" of the CSRD. It is the process by which an undertaking determines which sustainability topics are significant enough to be measured and reported. In this topic, we follow the official EFRAG methodology to move from a broad list of ESG issues to a focused, audit-ready data scope.</w:t>
            </w:r>
          </w:p>
        </w:tc>
      </w:tr>
      <w:tr w:rsidR="009F662C" w:rsidRPr="00EF521E" w14:paraId="14231B59" w14:textId="77777777" w:rsidTr="00515876">
        <w:tc>
          <w:tcPr>
            <w:tcW w:w="9628" w:type="dxa"/>
            <w:shd w:val="clear" w:color="auto" w:fill="D9D9D9" w:themeFill="background1" w:themeFillShade="D9"/>
          </w:tcPr>
          <w:p w14:paraId="00D8B1A1" w14:textId="77777777" w:rsidR="009F662C" w:rsidRPr="00EF521E" w:rsidRDefault="009F662C" w:rsidP="00515876">
            <w:pPr>
              <w:rPr>
                <w:rFonts w:cstheme="minorHAnsi"/>
                <w:b/>
                <w:szCs w:val="20"/>
              </w:rPr>
            </w:pPr>
            <w:r w:rsidRPr="00EF521E">
              <w:rPr>
                <w:rFonts w:cstheme="minorHAnsi"/>
                <w:b/>
                <w:szCs w:val="20"/>
              </w:rPr>
              <w:t xml:space="preserve">Theory &amp; Knowledge: </w:t>
            </w:r>
          </w:p>
        </w:tc>
      </w:tr>
      <w:tr w:rsidR="009F662C" w:rsidRPr="00EF521E" w14:paraId="0FF2593A" w14:textId="77777777" w:rsidTr="00515876">
        <w:trPr>
          <w:trHeight w:val="2142"/>
        </w:trPr>
        <w:tc>
          <w:tcPr>
            <w:tcW w:w="9628" w:type="dxa"/>
          </w:tcPr>
          <w:p w14:paraId="58EC3158" w14:textId="77777777" w:rsidR="009F662C" w:rsidRPr="00EF521E" w:rsidRDefault="009F662C" w:rsidP="009F662C">
            <w:pPr>
              <w:rPr>
                <w:rFonts w:cstheme="minorHAnsi"/>
                <w:b/>
                <w:color w:val="009889" w:themeColor="accent2"/>
                <w:sz w:val="22"/>
                <w:szCs w:val="22"/>
              </w:rPr>
            </w:pPr>
            <w:r w:rsidRPr="00EF521E">
              <w:rPr>
                <w:rFonts w:cstheme="minorHAnsi"/>
                <w:b/>
                <w:color w:val="009889" w:themeColor="accent2"/>
                <w:sz w:val="22"/>
                <w:szCs w:val="22"/>
              </w:rPr>
              <w:t>The Foundation: The Two Lenses of Materiality</w:t>
            </w:r>
          </w:p>
          <w:p w14:paraId="37DE6678" w14:textId="77777777" w:rsidR="009F662C" w:rsidRPr="00EF521E" w:rsidRDefault="009F662C" w:rsidP="009F662C">
            <w:pPr>
              <w:rPr>
                <w:rFonts w:cstheme="minorHAnsi"/>
                <w:b/>
                <w:bCs/>
                <w:color w:val="009889" w:themeColor="accent2"/>
                <w:sz w:val="22"/>
                <w:szCs w:val="22"/>
              </w:rPr>
            </w:pPr>
          </w:p>
          <w:p w14:paraId="782DE916" w14:textId="77777777" w:rsidR="009F662C" w:rsidRPr="00EF521E" w:rsidRDefault="009F662C" w:rsidP="009F662C">
            <w:pPr>
              <w:jc w:val="both"/>
              <w:rPr>
                <w:rFonts w:cstheme="minorHAnsi"/>
                <w:szCs w:val="20"/>
              </w:rPr>
            </w:pPr>
            <w:r w:rsidRPr="00EF521E">
              <w:rPr>
                <w:rFonts w:cstheme="minorHAnsi"/>
                <w:szCs w:val="20"/>
              </w:rPr>
              <w:t>Before starting the process, an analyst must understand the dual logic of the ESRS. Double materiality requires looking through two distinct lenses simultaneously:</w:t>
            </w:r>
          </w:p>
          <w:p w14:paraId="1453F552" w14:textId="3FAFB469" w:rsidR="009F662C" w:rsidRPr="00EF521E" w:rsidRDefault="009F662C" w:rsidP="009F662C">
            <w:pPr>
              <w:numPr>
                <w:ilvl w:val="0"/>
                <w:numId w:val="199"/>
              </w:numPr>
              <w:jc w:val="both"/>
              <w:rPr>
                <w:rFonts w:cstheme="minorHAnsi"/>
                <w:szCs w:val="20"/>
              </w:rPr>
            </w:pPr>
            <w:r w:rsidRPr="00EF521E">
              <w:rPr>
                <w:rFonts w:cstheme="minorHAnsi"/>
                <w:b/>
                <w:szCs w:val="20"/>
              </w:rPr>
              <w:t>Impact Materiality (Inside-Out):</w:t>
            </w:r>
            <w:r w:rsidRPr="00EF521E">
              <w:rPr>
                <w:rFonts w:cstheme="minorHAnsi"/>
                <w:szCs w:val="20"/>
              </w:rPr>
              <w:t> How the undertaking affects people and the environment (e.g., carbon emissions, labour practices).</w:t>
            </w:r>
          </w:p>
          <w:p w14:paraId="73F6F5DF" w14:textId="77777777" w:rsidR="009F662C" w:rsidRPr="00EF521E" w:rsidRDefault="009F662C" w:rsidP="009F662C">
            <w:pPr>
              <w:numPr>
                <w:ilvl w:val="0"/>
                <w:numId w:val="199"/>
              </w:numPr>
              <w:jc w:val="both"/>
              <w:rPr>
                <w:rFonts w:cstheme="minorHAnsi"/>
                <w:szCs w:val="20"/>
              </w:rPr>
            </w:pPr>
            <w:r w:rsidRPr="00EF521E">
              <w:rPr>
                <w:rFonts w:cstheme="minorHAnsi"/>
                <w:b/>
                <w:szCs w:val="20"/>
              </w:rPr>
              <w:t>Financial Materiality (Outside-In):</w:t>
            </w:r>
            <w:r w:rsidRPr="00EF521E">
              <w:rPr>
                <w:rFonts w:cstheme="minorHAnsi"/>
                <w:szCs w:val="20"/>
              </w:rPr>
              <w:t> How sustainability risks and opportunities affect the undertaking's financial health (e.g., climate regulations impacting costs).</w:t>
            </w:r>
          </w:p>
          <w:p w14:paraId="644356DC" w14:textId="77777777" w:rsidR="009F662C" w:rsidRPr="00EF521E" w:rsidRDefault="009F662C" w:rsidP="009F662C">
            <w:pPr>
              <w:rPr>
                <w:rFonts w:cstheme="minorHAnsi"/>
                <w:szCs w:val="20"/>
              </w:rPr>
            </w:pPr>
          </w:p>
          <w:p w14:paraId="066810AA" w14:textId="77777777" w:rsidR="009F662C" w:rsidRPr="00EF521E" w:rsidRDefault="009F662C" w:rsidP="009F662C">
            <w:pPr>
              <w:pStyle w:val="ListParagraph"/>
              <w:jc w:val="center"/>
              <w:rPr>
                <w:rFonts w:cstheme="minorHAnsi"/>
                <w:b/>
                <w:bCs/>
                <w:szCs w:val="20"/>
              </w:rPr>
            </w:pPr>
            <w:r w:rsidRPr="00EF521E">
              <w:rPr>
                <w:rFonts w:cstheme="minorHAnsi"/>
                <w:noProof/>
                <w:szCs w:val="20"/>
              </w:rPr>
              <w:drawing>
                <wp:anchor distT="0" distB="0" distL="114300" distR="114300" simplePos="0" relativeHeight="251668480" behindDoc="0" locked="0" layoutInCell="1" allowOverlap="1" wp14:anchorId="4AE79401" wp14:editId="3125D3B7">
                  <wp:simplePos x="0" y="0"/>
                  <wp:positionH relativeFrom="column">
                    <wp:posOffset>22323</wp:posOffset>
                  </wp:positionH>
                  <wp:positionV relativeFrom="paragraph">
                    <wp:posOffset>2833</wp:posOffset>
                  </wp:positionV>
                  <wp:extent cx="6017576" cy="3122295"/>
                  <wp:effectExtent l="0" t="0" r="2540" b="1905"/>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35"/>
                          <a:srcRect t="4876"/>
                          <a:stretch/>
                        </pic:blipFill>
                        <pic:spPr bwMode="auto">
                          <a:xfrm>
                            <a:off x="0" y="0"/>
                            <a:ext cx="6017576"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3FBF5" w14:textId="6C579526" w:rsidR="009F662C" w:rsidRPr="00EF521E" w:rsidRDefault="009F662C" w:rsidP="009F662C">
            <w:pPr>
              <w:pStyle w:val="Caption"/>
              <w:jc w:val="center"/>
              <w:rPr>
                <w:rFonts w:cstheme="minorHAnsi"/>
                <w:b w:val="0"/>
                <w:bCs w:val="0"/>
                <w:sz w:val="20"/>
                <w:szCs w:val="20"/>
              </w:rPr>
            </w:pPr>
            <w:bookmarkStart w:id="16" w:name="_Toc227486382"/>
            <w:r w:rsidRPr="00EF521E">
              <w:rPr>
                <w:rFonts w:cstheme="minorHAnsi"/>
                <w:b w:val="0"/>
                <w:bCs w:val="0"/>
                <w:sz w:val="20"/>
                <w:szCs w:val="20"/>
              </w:rPr>
              <w:t xml:space="preserve">Figure </w:t>
            </w:r>
            <w:r w:rsidRPr="00EF521E">
              <w:rPr>
                <w:rFonts w:cstheme="minorHAnsi"/>
                <w:b w:val="0"/>
                <w:bCs w:val="0"/>
                <w:sz w:val="20"/>
                <w:szCs w:val="20"/>
              </w:rPr>
              <w:fldChar w:fldCharType="begin"/>
            </w:r>
            <w:r w:rsidRPr="00EF521E">
              <w:rPr>
                <w:rFonts w:cstheme="minorHAnsi"/>
                <w:b w:val="0"/>
                <w:bCs w:val="0"/>
                <w:sz w:val="20"/>
                <w:szCs w:val="20"/>
              </w:rPr>
              <w:instrText xml:space="preserve"> SEQ Figure \* ARABIC </w:instrText>
            </w:r>
            <w:r w:rsidRPr="00EF521E">
              <w:rPr>
                <w:rFonts w:cstheme="minorHAnsi"/>
                <w:b w:val="0"/>
                <w:bCs w:val="0"/>
                <w:sz w:val="20"/>
                <w:szCs w:val="20"/>
              </w:rPr>
              <w:fldChar w:fldCharType="separate"/>
            </w:r>
            <w:r w:rsidR="00D135B0">
              <w:rPr>
                <w:rFonts w:cstheme="minorHAnsi"/>
                <w:b w:val="0"/>
                <w:bCs w:val="0"/>
                <w:noProof/>
                <w:sz w:val="20"/>
                <w:szCs w:val="20"/>
              </w:rPr>
              <w:t>4</w:t>
            </w:r>
            <w:r w:rsidRPr="00EF521E">
              <w:rPr>
                <w:rFonts w:cstheme="minorHAnsi"/>
                <w:b w:val="0"/>
                <w:bCs w:val="0"/>
                <w:sz w:val="20"/>
                <w:szCs w:val="20"/>
              </w:rPr>
              <w:fldChar w:fldCharType="end"/>
            </w:r>
            <w:r w:rsidRPr="00EF521E">
              <w:rPr>
                <w:rFonts w:cstheme="minorHAnsi"/>
                <w:b w:val="0"/>
                <w:bCs w:val="0"/>
                <w:sz w:val="20"/>
                <w:szCs w:val="20"/>
              </w:rPr>
              <w:t>.</w:t>
            </w:r>
            <w:r w:rsidRPr="00EF521E">
              <w:rPr>
                <w:rFonts w:eastAsia="Times New Roman" w:cstheme="minorHAnsi"/>
                <w:b w:val="0"/>
                <w:bCs w:val="0"/>
                <w:i/>
                <w:color w:val="2B2D31"/>
                <w:sz w:val="20"/>
                <w:szCs w:val="20"/>
              </w:rPr>
              <w:t xml:space="preserve"> </w:t>
            </w:r>
            <w:r w:rsidRPr="00EF521E">
              <w:rPr>
                <w:rFonts w:cstheme="minorHAnsi"/>
                <w:b w:val="0"/>
                <w:bCs w:val="0"/>
                <w:sz w:val="20"/>
                <w:szCs w:val="20"/>
              </w:rPr>
              <w:t>The Dual Lenses of Double Materiality: Impact and Financial Perspectives (AI generated)</w:t>
            </w:r>
            <w:bookmarkEnd w:id="16"/>
          </w:p>
          <w:p w14:paraId="2BAD1C60" w14:textId="77777777" w:rsidR="009F662C" w:rsidRPr="00EF521E" w:rsidRDefault="009F662C" w:rsidP="009F662C">
            <w:pPr>
              <w:jc w:val="both"/>
              <w:rPr>
                <w:rFonts w:cstheme="minorHAnsi"/>
                <w:szCs w:val="20"/>
              </w:rPr>
            </w:pPr>
            <w:r w:rsidRPr="00EF521E">
              <w:rPr>
                <w:rFonts w:cstheme="minorHAnsi"/>
                <w:szCs w:val="20"/>
              </w:rPr>
              <w:t>The image above shows a Venn diagram with two overlapping circles representing impact materiality (effects on society and the environment) and financial materiality (risks and opportunities for the company). The overlapping area highlights double materiality as the reporting focus, combining both perspectives.</w:t>
            </w:r>
          </w:p>
          <w:p w14:paraId="6DF5DAAA" w14:textId="45C82E82" w:rsidR="009F662C" w:rsidRDefault="009F662C" w:rsidP="009F662C">
            <w:pPr>
              <w:jc w:val="both"/>
              <w:rPr>
                <w:rFonts w:cstheme="minorHAnsi"/>
                <w:szCs w:val="20"/>
              </w:rPr>
            </w:pPr>
            <w:r w:rsidRPr="00EF521E">
              <w:rPr>
                <w:rFonts w:cstheme="minorHAnsi"/>
                <w:szCs w:val="20"/>
              </w:rPr>
              <w:br/>
            </w:r>
          </w:p>
          <w:p w14:paraId="7ECF2D24" w14:textId="77777777" w:rsidR="003A5F86" w:rsidRDefault="003A5F86" w:rsidP="009F662C">
            <w:pPr>
              <w:jc w:val="both"/>
              <w:rPr>
                <w:rFonts w:cstheme="minorHAnsi"/>
                <w:szCs w:val="20"/>
              </w:rPr>
            </w:pPr>
          </w:p>
          <w:p w14:paraId="6A487A87" w14:textId="77777777" w:rsidR="003A5F86" w:rsidRDefault="003A5F86" w:rsidP="009F662C">
            <w:pPr>
              <w:jc w:val="both"/>
              <w:rPr>
                <w:rFonts w:cstheme="minorHAnsi"/>
                <w:szCs w:val="20"/>
              </w:rPr>
            </w:pPr>
          </w:p>
          <w:p w14:paraId="5E5D8D25" w14:textId="77777777" w:rsidR="003A5F86" w:rsidRPr="00EF521E" w:rsidRDefault="003A5F86" w:rsidP="009F662C">
            <w:pPr>
              <w:jc w:val="both"/>
              <w:rPr>
                <w:rFonts w:cstheme="minorHAnsi"/>
                <w:szCs w:val="20"/>
              </w:rPr>
            </w:pPr>
          </w:p>
          <w:p w14:paraId="0BD2A4D8" w14:textId="461319C5" w:rsidR="009F662C" w:rsidRPr="00EF521E" w:rsidRDefault="009F662C" w:rsidP="009F662C">
            <w:pPr>
              <w:rPr>
                <w:rFonts w:cstheme="minorHAnsi"/>
                <w:b/>
                <w:color w:val="009889" w:themeColor="accent2"/>
                <w:sz w:val="22"/>
                <w:szCs w:val="22"/>
              </w:rPr>
            </w:pPr>
            <w:r w:rsidRPr="00EF521E">
              <w:rPr>
                <w:rFonts w:cstheme="minorHAnsi"/>
                <w:b/>
                <w:color w:val="009889" w:themeColor="accent2"/>
                <w:sz w:val="22"/>
                <w:szCs w:val="22"/>
              </w:rPr>
              <w:lastRenderedPageBreak/>
              <w:t>The 4-Step EFRAG Methodology (Steps A-D)</w:t>
            </w:r>
          </w:p>
          <w:p w14:paraId="2B0ABA54" w14:textId="77777777" w:rsidR="009F662C" w:rsidRPr="00EF521E" w:rsidRDefault="009F662C" w:rsidP="009F662C">
            <w:pPr>
              <w:jc w:val="both"/>
              <w:rPr>
                <w:rFonts w:cstheme="minorHAnsi"/>
                <w:szCs w:val="20"/>
              </w:rPr>
            </w:pPr>
            <w:r w:rsidRPr="00EF521E">
              <w:rPr>
                <w:rFonts w:cstheme="minorHAnsi"/>
                <w:szCs w:val="20"/>
              </w:rPr>
              <w:t>To ensure the assessment is verifiable, the undertaking follows the systematic process illustrated in the </w:t>
            </w:r>
            <w:r w:rsidRPr="00EF521E">
              <w:rPr>
                <w:rFonts w:cstheme="minorHAnsi"/>
                <w:b/>
                <w:szCs w:val="20"/>
              </w:rPr>
              <w:t>EFRAG IG 1 guidance</w:t>
            </w:r>
            <w:r w:rsidRPr="00EF521E">
              <w:rPr>
                <w:rFonts w:cstheme="minorHAnsi"/>
                <w:szCs w:val="20"/>
              </w:rPr>
              <w:t>:</w:t>
            </w:r>
          </w:p>
          <w:p w14:paraId="559AE369" w14:textId="77777777" w:rsidR="009F662C" w:rsidRPr="00EF521E" w:rsidRDefault="009F662C" w:rsidP="009F662C">
            <w:pPr>
              <w:jc w:val="both"/>
              <w:rPr>
                <w:rFonts w:cstheme="minorHAnsi"/>
                <w:b/>
                <w:bCs/>
                <w:szCs w:val="20"/>
              </w:rPr>
            </w:pPr>
          </w:p>
          <w:p w14:paraId="32130425" w14:textId="77777777" w:rsidR="009F662C" w:rsidRPr="00EF521E" w:rsidRDefault="009F662C" w:rsidP="009F662C">
            <w:pPr>
              <w:jc w:val="both"/>
              <w:rPr>
                <w:rFonts w:cstheme="minorHAnsi"/>
                <w:b/>
                <w:bCs/>
                <w:szCs w:val="20"/>
              </w:rPr>
            </w:pPr>
            <w:r w:rsidRPr="00EF521E">
              <w:rPr>
                <w:rFonts w:cstheme="minorHAnsi"/>
                <w:b/>
                <w:szCs w:val="20"/>
              </w:rPr>
              <w:t>Step A: Understanding the Context</w:t>
            </w:r>
          </w:p>
          <w:p w14:paraId="1E92C07B" w14:textId="77777777" w:rsidR="009F662C" w:rsidRPr="00EF521E" w:rsidRDefault="009F662C" w:rsidP="009F662C">
            <w:pPr>
              <w:jc w:val="both"/>
              <w:rPr>
                <w:rFonts w:cstheme="minorHAnsi"/>
                <w:szCs w:val="20"/>
              </w:rPr>
            </w:pPr>
            <w:r w:rsidRPr="00EF521E">
              <w:rPr>
                <w:rFonts w:cstheme="minorHAnsi"/>
                <w:szCs w:val="20"/>
              </w:rPr>
              <w:t>Before identifying impacts, the undertaking must define its </w:t>
            </w:r>
            <w:r w:rsidRPr="00EF521E">
              <w:rPr>
                <w:rFonts w:cstheme="minorHAnsi"/>
                <w:bCs/>
                <w:szCs w:val="20"/>
              </w:rPr>
              <w:t>System Boundaries</w:t>
            </w:r>
            <w:r w:rsidRPr="00EF521E">
              <w:rPr>
                <w:rFonts w:cstheme="minorHAnsi"/>
                <w:szCs w:val="20"/>
              </w:rPr>
              <w:t> (which subsidiaries and value chain segments are included).</w:t>
            </w:r>
          </w:p>
          <w:p w14:paraId="7EEEFBA2" w14:textId="77777777" w:rsidR="009F662C" w:rsidRPr="00EF521E" w:rsidRDefault="009F662C" w:rsidP="009F662C">
            <w:pPr>
              <w:numPr>
                <w:ilvl w:val="0"/>
                <w:numId w:val="199"/>
              </w:numPr>
              <w:jc w:val="both"/>
              <w:rPr>
                <w:rFonts w:cstheme="minorHAnsi"/>
                <w:szCs w:val="20"/>
              </w:rPr>
            </w:pPr>
            <w:r w:rsidRPr="00EF521E">
              <w:rPr>
                <w:rFonts w:cstheme="minorHAnsi"/>
                <w:b/>
                <w:szCs w:val="20"/>
              </w:rPr>
              <w:t>Stakeholder Mapping:</w:t>
            </w:r>
            <w:r w:rsidRPr="00EF521E">
              <w:rPr>
                <w:rFonts w:cstheme="minorHAnsi"/>
                <w:szCs w:val="20"/>
              </w:rPr>
              <w:t> This is the point where the undertaking identifies its Stakeholders. These are divided into Affected Stakeholders (those impacted by the company) and Users of Information (investors and banks who need the data).</w:t>
            </w:r>
          </w:p>
          <w:p w14:paraId="5B78070A" w14:textId="77777777" w:rsidR="009F662C" w:rsidRPr="00EF521E" w:rsidRDefault="009F662C" w:rsidP="009F662C">
            <w:pPr>
              <w:jc w:val="both"/>
              <w:rPr>
                <w:rFonts w:cstheme="minorHAnsi"/>
                <w:b/>
                <w:bCs/>
                <w:szCs w:val="20"/>
              </w:rPr>
            </w:pPr>
            <w:r w:rsidRPr="00EF521E">
              <w:rPr>
                <w:rFonts w:cstheme="minorHAnsi"/>
                <w:b/>
                <w:szCs w:val="20"/>
              </w:rPr>
              <w:t>Step B: Identification of Actual and Potential IROs</w:t>
            </w:r>
          </w:p>
          <w:p w14:paraId="26B2F316" w14:textId="77777777" w:rsidR="009F662C" w:rsidRPr="00EF521E" w:rsidRDefault="009F662C" w:rsidP="009F662C">
            <w:pPr>
              <w:jc w:val="both"/>
              <w:rPr>
                <w:rFonts w:cstheme="minorHAnsi"/>
                <w:szCs w:val="20"/>
              </w:rPr>
            </w:pPr>
            <w:r w:rsidRPr="00EF521E">
              <w:rPr>
                <w:rFonts w:cstheme="minorHAnsi"/>
                <w:szCs w:val="20"/>
              </w:rPr>
              <w:t>The undertaking creates a "long list" of Impacts, Risks, and Opportunities (IROs).</w:t>
            </w:r>
          </w:p>
          <w:p w14:paraId="3A244E69" w14:textId="77777777" w:rsidR="009F662C" w:rsidRPr="00EF521E" w:rsidRDefault="009F662C" w:rsidP="009F662C">
            <w:pPr>
              <w:numPr>
                <w:ilvl w:val="0"/>
                <w:numId w:val="199"/>
              </w:numPr>
              <w:jc w:val="both"/>
              <w:rPr>
                <w:rFonts w:cstheme="minorHAnsi"/>
                <w:szCs w:val="20"/>
              </w:rPr>
            </w:pPr>
            <w:r w:rsidRPr="00EF521E">
              <w:rPr>
                <w:rFonts w:cstheme="minorHAnsi"/>
                <w:b/>
                <w:szCs w:val="20"/>
              </w:rPr>
              <w:t>Data Ownership:</w:t>
            </w:r>
            <w:r w:rsidRPr="00EF521E">
              <w:rPr>
                <w:rFonts w:cstheme="minorHAnsi"/>
                <w:szCs w:val="20"/>
              </w:rPr>
              <w:t> In this phase, </w:t>
            </w:r>
            <w:r w:rsidRPr="00EF521E">
              <w:rPr>
                <w:rFonts w:cstheme="minorHAnsi"/>
                <w:bCs/>
                <w:szCs w:val="20"/>
              </w:rPr>
              <w:t>Data Owners from</w:t>
            </w:r>
            <w:r w:rsidRPr="00EF521E">
              <w:rPr>
                <w:rFonts w:cstheme="minorHAnsi"/>
                <w:szCs w:val="20"/>
              </w:rPr>
              <w:t xml:space="preserve"> different departments (HR, Procurement, Environment) are consulted to identify where the most significant sustainability issues occur in the daily operations.</w:t>
            </w:r>
          </w:p>
          <w:p w14:paraId="59065180" w14:textId="77777777" w:rsidR="009F662C" w:rsidRPr="00EF521E" w:rsidRDefault="009F662C" w:rsidP="009F662C">
            <w:pPr>
              <w:jc w:val="both"/>
              <w:rPr>
                <w:rFonts w:cstheme="minorHAnsi"/>
                <w:b/>
                <w:bCs/>
                <w:szCs w:val="20"/>
              </w:rPr>
            </w:pPr>
            <w:r w:rsidRPr="00EF521E">
              <w:rPr>
                <w:rFonts w:cstheme="minorHAnsi"/>
                <w:b/>
                <w:szCs w:val="20"/>
              </w:rPr>
              <w:t>Step C: Assessment and Determination of Materiality</w:t>
            </w:r>
          </w:p>
          <w:p w14:paraId="6271916F" w14:textId="77777777" w:rsidR="009F662C" w:rsidRPr="00EF521E" w:rsidRDefault="009F662C" w:rsidP="009F662C">
            <w:pPr>
              <w:jc w:val="both"/>
              <w:rPr>
                <w:rFonts w:cstheme="minorHAnsi"/>
                <w:szCs w:val="20"/>
              </w:rPr>
            </w:pPr>
            <w:r w:rsidRPr="00EF521E">
              <w:rPr>
                <w:rFonts w:cstheme="minorHAnsi"/>
                <w:szCs w:val="20"/>
              </w:rPr>
              <w:t>This is the technical "filtering" stage where each IRO is scored against a Materiality Threshold.</w:t>
            </w:r>
          </w:p>
          <w:p w14:paraId="39E54BC8" w14:textId="77777777" w:rsidR="009F662C" w:rsidRPr="00EF521E" w:rsidRDefault="009F662C" w:rsidP="009F662C">
            <w:pPr>
              <w:numPr>
                <w:ilvl w:val="0"/>
                <w:numId w:val="199"/>
              </w:numPr>
              <w:jc w:val="both"/>
              <w:rPr>
                <w:rFonts w:cstheme="minorHAnsi"/>
                <w:szCs w:val="20"/>
              </w:rPr>
            </w:pPr>
            <w:r w:rsidRPr="00EF521E">
              <w:rPr>
                <w:rFonts w:cstheme="minorHAnsi"/>
                <w:szCs w:val="20"/>
              </w:rPr>
              <w:t>Impacts are scored based on Severity (Scale, Scope, and Irremediable character).</w:t>
            </w:r>
          </w:p>
          <w:p w14:paraId="2C99062F" w14:textId="77777777" w:rsidR="009F662C" w:rsidRPr="00EF521E" w:rsidRDefault="009F662C" w:rsidP="009F662C">
            <w:pPr>
              <w:numPr>
                <w:ilvl w:val="0"/>
                <w:numId w:val="199"/>
              </w:numPr>
              <w:jc w:val="both"/>
              <w:rPr>
                <w:rFonts w:cstheme="minorHAnsi"/>
                <w:szCs w:val="20"/>
              </w:rPr>
            </w:pPr>
            <w:r w:rsidRPr="00EF521E">
              <w:rPr>
                <w:rFonts w:cstheme="minorHAnsi"/>
                <w:szCs w:val="20"/>
              </w:rPr>
              <w:t>Financial risks are scored based on Magnitude and Likelihood.</w:t>
            </w:r>
          </w:p>
          <w:p w14:paraId="058EFA57" w14:textId="77777777" w:rsidR="009F662C" w:rsidRPr="00EF521E" w:rsidRDefault="009F662C" w:rsidP="009F662C">
            <w:pPr>
              <w:numPr>
                <w:ilvl w:val="0"/>
                <w:numId w:val="199"/>
              </w:numPr>
              <w:jc w:val="both"/>
              <w:rPr>
                <w:rFonts w:cstheme="minorHAnsi"/>
                <w:szCs w:val="20"/>
              </w:rPr>
            </w:pPr>
            <w:r w:rsidRPr="00EF521E">
              <w:rPr>
                <w:rFonts w:cstheme="minorHAnsi"/>
                <w:szCs w:val="20"/>
              </w:rPr>
              <w:t>The Board oversees this stage to ensure the final selection aligns with corporate strategy.</w:t>
            </w:r>
          </w:p>
          <w:p w14:paraId="387F7C77" w14:textId="77777777" w:rsidR="009F662C" w:rsidRPr="00EF521E" w:rsidRDefault="009F662C" w:rsidP="009F662C">
            <w:pPr>
              <w:jc w:val="both"/>
              <w:rPr>
                <w:rFonts w:cstheme="minorHAnsi"/>
                <w:b/>
                <w:bCs/>
                <w:szCs w:val="20"/>
              </w:rPr>
            </w:pPr>
            <w:r w:rsidRPr="00EF521E">
              <w:rPr>
                <w:rFonts w:cstheme="minorHAnsi"/>
                <w:b/>
                <w:szCs w:val="20"/>
              </w:rPr>
              <w:t>Step D: Reporting</w:t>
            </w:r>
          </w:p>
          <w:p w14:paraId="0DD6A7AB" w14:textId="77777777" w:rsidR="009F662C" w:rsidRPr="00EF521E" w:rsidRDefault="009F662C" w:rsidP="009F662C">
            <w:pPr>
              <w:jc w:val="both"/>
              <w:rPr>
                <w:rFonts w:cstheme="minorHAnsi"/>
                <w:szCs w:val="20"/>
              </w:rPr>
            </w:pPr>
            <w:r w:rsidRPr="00EF521E">
              <w:rPr>
                <w:rFonts w:cstheme="minorHAnsi"/>
                <w:szCs w:val="20"/>
              </w:rPr>
              <w:t>The final list of material topics defines the Reporting Scope.</w:t>
            </w:r>
          </w:p>
          <w:p w14:paraId="7EEAF4B4" w14:textId="77777777" w:rsidR="009F662C" w:rsidRPr="00EF521E" w:rsidRDefault="009F662C" w:rsidP="009F662C">
            <w:pPr>
              <w:numPr>
                <w:ilvl w:val="0"/>
                <w:numId w:val="199"/>
              </w:numPr>
              <w:jc w:val="both"/>
              <w:rPr>
                <w:rFonts w:cstheme="minorHAnsi"/>
                <w:szCs w:val="20"/>
              </w:rPr>
            </w:pPr>
            <w:r w:rsidRPr="00EF521E">
              <w:rPr>
                <w:rFonts w:cstheme="minorHAnsi"/>
                <w:szCs w:val="20"/>
              </w:rPr>
              <w:t>KPI Alignment: For every material topic, the analyst selects the corresponding KPIs and Data Points (as defined in Topic 1.2).</w:t>
            </w:r>
          </w:p>
          <w:p w14:paraId="16BA9654" w14:textId="77777777" w:rsidR="009F662C" w:rsidRPr="00EF521E" w:rsidRDefault="009F662C" w:rsidP="009F662C">
            <w:pPr>
              <w:numPr>
                <w:ilvl w:val="0"/>
                <w:numId w:val="199"/>
              </w:numPr>
              <w:jc w:val="both"/>
              <w:rPr>
                <w:rFonts w:cstheme="minorHAnsi"/>
                <w:szCs w:val="20"/>
              </w:rPr>
            </w:pPr>
            <w:r w:rsidRPr="00EF521E">
              <w:rPr>
                <w:rFonts w:cstheme="minorHAnsi"/>
                <w:szCs w:val="20"/>
              </w:rPr>
              <w:t>Metadata: Every selected metric is then documented with its calculation logic in the Data Dictionary, ensuring it is ready for the digital report.</w:t>
            </w:r>
          </w:p>
          <w:p w14:paraId="0F25CE97" w14:textId="092C4EE9" w:rsidR="009F662C" w:rsidRPr="00EF521E" w:rsidRDefault="009F662C" w:rsidP="009F662C">
            <w:pPr>
              <w:rPr>
                <w:rFonts w:cstheme="minorHAnsi"/>
                <w:szCs w:val="20"/>
              </w:rPr>
            </w:pPr>
          </w:p>
          <w:p w14:paraId="38732191" w14:textId="0C8298CB" w:rsidR="009F662C" w:rsidRPr="00EF521E" w:rsidRDefault="009F662C" w:rsidP="009F662C">
            <w:pPr>
              <w:keepNext/>
              <w:jc w:val="center"/>
              <w:rPr>
                <w:rFonts w:cstheme="minorHAnsi"/>
                <w:szCs w:val="20"/>
              </w:rPr>
            </w:pPr>
            <w:r w:rsidRPr="00EF521E">
              <w:rPr>
                <w:rFonts w:cstheme="minorHAnsi"/>
                <w:noProof/>
                <w:szCs w:val="20"/>
              </w:rPr>
              <w:drawing>
                <wp:inline distT="0" distB="0" distL="0" distR="0" wp14:anchorId="1337D5CC" wp14:editId="34557DC1">
                  <wp:extent cx="6294510" cy="2929466"/>
                  <wp:effectExtent l="0" t="0" r="0" b="444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pic:cNvPicPr>
                        </pic:nvPicPr>
                        <pic:blipFill>
                          <a:blip r:embed="rId36"/>
                          <a:stretch/>
                        </pic:blipFill>
                        <pic:spPr bwMode="auto">
                          <a:xfrm>
                            <a:off x="0" y="0"/>
                            <a:ext cx="6294510" cy="2929466"/>
                          </a:xfrm>
                          <a:prstGeom prst="rect">
                            <a:avLst/>
                          </a:prstGeom>
                          <a:noFill/>
                          <a:ln>
                            <a:noFill/>
                          </a:ln>
                        </pic:spPr>
                      </pic:pic>
                    </a:graphicData>
                  </a:graphic>
                </wp:inline>
              </w:drawing>
            </w:r>
          </w:p>
          <w:p w14:paraId="519244C8" w14:textId="5962BB8D" w:rsidR="009F662C" w:rsidRDefault="009F662C" w:rsidP="003A5F86">
            <w:pPr>
              <w:pStyle w:val="Caption"/>
              <w:jc w:val="center"/>
              <w:rPr>
                <w:rFonts w:cstheme="minorHAnsi"/>
                <w:b w:val="0"/>
                <w:bCs w:val="0"/>
              </w:rPr>
            </w:pPr>
            <w:bookmarkStart w:id="17" w:name="_Toc227486383"/>
            <w:r w:rsidRPr="00EF521E">
              <w:rPr>
                <w:rFonts w:cstheme="minorHAnsi"/>
                <w:b w:val="0"/>
                <w:bCs w:val="0"/>
              </w:rPr>
              <w:t xml:space="preserve">Figure </w:t>
            </w:r>
            <w:r w:rsidRPr="00EF521E">
              <w:rPr>
                <w:rFonts w:cstheme="minorHAnsi"/>
                <w:b w:val="0"/>
                <w:bCs w:val="0"/>
              </w:rPr>
              <w:fldChar w:fldCharType="begin"/>
            </w:r>
            <w:r w:rsidRPr="00EF521E">
              <w:rPr>
                <w:rFonts w:cstheme="minorHAnsi"/>
                <w:b w:val="0"/>
                <w:bCs w:val="0"/>
              </w:rPr>
              <w:instrText xml:space="preserve"> SEQ Figure \* ARABIC </w:instrText>
            </w:r>
            <w:r w:rsidRPr="00EF521E">
              <w:rPr>
                <w:rFonts w:cstheme="minorHAnsi"/>
                <w:b w:val="0"/>
                <w:bCs w:val="0"/>
              </w:rPr>
              <w:fldChar w:fldCharType="separate"/>
            </w:r>
            <w:r w:rsidR="00D135B0">
              <w:rPr>
                <w:rFonts w:cstheme="minorHAnsi"/>
                <w:b w:val="0"/>
                <w:bCs w:val="0"/>
                <w:noProof/>
              </w:rPr>
              <w:t>5</w:t>
            </w:r>
            <w:r w:rsidRPr="00EF521E">
              <w:rPr>
                <w:rFonts w:cstheme="minorHAnsi"/>
                <w:b w:val="0"/>
                <w:bCs w:val="0"/>
              </w:rPr>
              <w:fldChar w:fldCharType="end"/>
            </w:r>
            <w:r w:rsidRPr="00EF521E">
              <w:rPr>
                <w:rFonts w:cstheme="minorHAnsi"/>
                <w:b w:val="0"/>
                <w:bCs w:val="0"/>
              </w:rPr>
              <w:t>. Example of materiality assessment process (source:</w:t>
            </w:r>
            <w:r w:rsidRPr="00EF521E">
              <w:rPr>
                <w:rFonts w:cstheme="minorHAnsi"/>
                <w:b w:val="0"/>
                <w:bCs w:val="0"/>
                <w:shd w:val="clear" w:color="auto" w:fill="FFFFFF"/>
              </w:rPr>
              <w:t xml:space="preserve"> </w:t>
            </w:r>
            <w:r w:rsidRPr="00EF521E">
              <w:rPr>
                <w:rFonts w:cstheme="minorHAnsi"/>
                <w:b w:val="0"/>
                <w:bCs w:val="0"/>
              </w:rPr>
              <w:t xml:space="preserve">EFRAG IG 1 - </w:t>
            </w:r>
            <w:hyperlink r:id="rId37">
              <w:r w:rsidRPr="00EF521E">
                <w:rPr>
                  <w:rStyle w:val="Hyperlink"/>
                  <w:rFonts w:cstheme="minorHAnsi"/>
                  <w:b w:val="0"/>
                  <w:bCs w:val="0"/>
                  <w:color w:val="009889" w:themeColor="accent2"/>
                </w:rPr>
                <w:t>Materiality Assessment Implementation Guidance</w:t>
              </w:r>
            </w:hyperlink>
            <w:r w:rsidRPr="00EF521E">
              <w:rPr>
                <w:rFonts w:cstheme="minorHAnsi"/>
                <w:b w:val="0"/>
                <w:bCs w:val="0"/>
              </w:rPr>
              <w:t>, pg.20)</w:t>
            </w:r>
            <w:bookmarkEnd w:id="17"/>
          </w:p>
          <w:p w14:paraId="01394923" w14:textId="77777777" w:rsidR="00AB7746" w:rsidRPr="00AB7746" w:rsidRDefault="00AB7746" w:rsidP="00AB7746"/>
          <w:p w14:paraId="06BE2569" w14:textId="26CE8F0C" w:rsidR="009F662C" w:rsidRPr="00EF521E" w:rsidRDefault="009F662C" w:rsidP="009F662C">
            <w:pPr>
              <w:jc w:val="both"/>
              <w:rPr>
                <w:rFonts w:cstheme="minorHAnsi"/>
                <w:szCs w:val="20"/>
              </w:rPr>
            </w:pPr>
            <w:r w:rsidRPr="00EF521E">
              <w:rPr>
                <w:rFonts w:cstheme="minorHAnsi"/>
                <w:szCs w:val="20"/>
              </w:rPr>
              <w:lastRenderedPageBreak/>
              <w:t>The image above shows a step-by-step process for conducting a double materiality assessment, starting with understanding the context, followed by identifying impacts, risks, and opportunities, and then assessing their materiality. The process leads to reporting, with arrows indicating an iterative cycle of continuous evaluation and improvement.</w:t>
            </w:r>
          </w:p>
          <w:p w14:paraId="47ADCF89" w14:textId="77777777" w:rsidR="009F662C" w:rsidRPr="00EF521E" w:rsidRDefault="009F662C" w:rsidP="009F662C">
            <w:pPr>
              <w:rPr>
                <w:rFonts w:cstheme="minorHAnsi"/>
                <w:b/>
                <w:color w:val="00AC4D"/>
                <w:szCs w:val="20"/>
              </w:rPr>
            </w:pPr>
          </w:p>
          <w:p w14:paraId="71FFA2EB" w14:textId="77777777" w:rsidR="009F662C" w:rsidRPr="00EF521E" w:rsidRDefault="009F662C" w:rsidP="009F662C">
            <w:pPr>
              <w:rPr>
                <w:rFonts w:cstheme="minorHAnsi"/>
                <w:b/>
                <w:color w:val="00AC4D"/>
                <w:szCs w:val="20"/>
              </w:rPr>
            </w:pPr>
          </w:p>
          <w:p w14:paraId="7719FDA4" w14:textId="77777777" w:rsidR="009F662C" w:rsidRPr="00EF521E" w:rsidRDefault="009F662C" w:rsidP="009F662C">
            <w:pPr>
              <w:rPr>
                <w:rFonts w:cstheme="minorHAnsi"/>
                <w:color w:val="00AC4E" w:themeColor="accent1"/>
                <w:szCs w:val="20"/>
              </w:rPr>
            </w:pPr>
            <w:r w:rsidRPr="00EF521E">
              <w:rPr>
                <w:rFonts w:cstheme="minorHAnsi"/>
                <w:b/>
                <w:bCs/>
                <w:color w:val="00AC4E" w:themeColor="accent1"/>
                <w:szCs w:val="20"/>
              </w:rPr>
              <w:t>What is a Double Materiality?</w:t>
            </w:r>
            <w:r w:rsidRPr="00EF521E">
              <w:rPr>
                <w:rFonts w:cstheme="minorHAnsi"/>
                <w:color w:val="00AC4E" w:themeColor="accent1"/>
                <w:szCs w:val="20"/>
              </w:rPr>
              <w:t xml:space="preserve"> </w:t>
            </w:r>
          </w:p>
          <w:p w14:paraId="3B24688D" w14:textId="77777777" w:rsidR="009F662C" w:rsidRPr="00EF521E" w:rsidRDefault="009F662C" w:rsidP="009F662C">
            <w:pPr>
              <w:rPr>
                <w:rFonts w:cstheme="minorHAnsi"/>
                <w:szCs w:val="20"/>
              </w:rPr>
            </w:pPr>
            <w:r w:rsidRPr="00EF521E">
              <w:rPr>
                <w:rFonts w:cstheme="minorHAnsi"/>
                <w:szCs w:val="20"/>
              </w:rPr>
              <w:t xml:space="preserve">Watch the following video for better understanding. </w:t>
            </w:r>
          </w:p>
          <w:p w14:paraId="76B712E1" w14:textId="77777777" w:rsidR="009F662C" w:rsidRPr="00EF521E" w:rsidRDefault="009F662C" w:rsidP="009F662C">
            <w:pPr>
              <w:keepNext/>
              <w:jc w:val="center"/>
            </w:pPr>
            <w:r w:rsidRPr="00EF521E">
              <w:rPr>
                <w:rFonts w:cstheme="minorHAnsi"/>
                <w:noProof/>
                <w:szCs w:val="20"/>
              </w:rPr>
              <w:drawing>
                <wp:inline distT="0" distB="0" distL="0" distR="0" wp14:anchorId="1EC38A97" wp14:editId="7A725B87">
                  <wp:extent cx="5009938" cy="3757454"/>
                  <wp:effectExtent l="76200" t="76200" r="133985" b="128905"/>
                  <wp:docPr id="1883294843" name="Video 21" descr="Double Materiality Explain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94843" name="Video 21" descr="Double Materiality Explained">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EMOqR_JaqI?feature=oembed&quot; frameborder=&quot;0&quot; allow=&quot;accelerometer; autoplay; clipboard-write; encrypted-media; gyroscope; picture-in-picture; web-share&quot; referrerpolicy=&quot;strict-origin-when-cross-origin&quot; allowfullscreen=&quot;&quot; title=&quot;Double Materiality Explained&quot; sandbox=&quot;allow-scripts allow-same-origin allow-popups&quot;&gt;&lt;/iframe&gt;" h="113" w="200"/>
                              </a:ext>
                            </a:extLst>
                          </a:blip>
                          <a:stretch>
                            <a:fillRect/>
                          </a:stretch>
                        </pic:blipFill>
                        <pic:spPr>
                          <a:xfrm>
                            <a:off x="0" y="0"/>
                            <a:ext cx="5017168" cy="3762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BB951" w14:textId="09ABEDC4" w:rsidR="009F662C" w:rsidRPr="00EF521E" w:rsidRDefault="009F662C" w:rsidP="009F662C">
            <w:pPr>
              <w:pStyle w:val="Caption"/>
              <w:jc w:val="center"/>
              <w:rPr>
                <w:rFonts w:cstheme="minorHAnsi"/>
                <w:b w:val="0"/>
                <w:bCs w:val="0"/>
                <w:color w:val="00AC4D"/>
                <w:sz w:val="20"/>
                <w:szCs w:val="20"/>
              </w:rPr>
            </w:pPr>
            <w:bookmarkStart w:id="18" w:name="_Toc227738761"/>
            <w:r w:rsidRPr="00EF521E">
              <w:rPr>
                <w:b w:val="0"/>
                <w:bCs w:val="0"/>
              </w:rPr>
              <w:t xml:space="preserve">Video </w:t>
            </w:r>
            <w:r w:rsidRPr="00EF521E">
              <w:rPr>
                <w:b w:val="0"/>
                <w:bCs w:val="0"/>
              </w:rPr>
              <w:fldChar w:fldCharType="begin"/>
            </w:r>
            <w:r w:rsidRPr="00EF521E">
              <w:rPr>
                <w:b w:val="0"/>
                <w:bCs w:val="0"/>
              </w:rPr>
              <w:instrText xml:space="preserve"> SEQ Video \* ARABIC </w:instrText>
            </w:r>
            <w:r w:rsidRPr="00EF521E">
              <w:rPr>
                <w:b w:val="0"/>
                <w:bCs w:val="0"/>
              </w:rPr>
              <w:fldChar w:fldCharType="separate"/>
            </w:r>
            <w:r w:rsidR="002074FD">
              <w:rPr>
                <w:b w:val="0"/>
                <w:bCs w:val="0"/>
                <w:noProof/>
              </w:rPr>
              <w:t>4</w:t>
            </w:r>
            <w:r w:rsidRPr="00EF521E">
              <w:rPr>
                <w:b w:val="0"/>
                <w:bCs w:val="0"/>
              </w:rPr>
              <w:fldChar w:fldCharType="end"/>
            </w:r>
            <w:r w:rsidRPr="00EF521E">
              <w:rPr>
                <w:b w:val="0"/>
                <w:bCs w:val="0"/>
              </w:rPr>
              <w:t>. What us double Materiality? (https://www.youtube.com/watch?v=yEMOqR_JaqI)</w:t>
            </w:r>
            <w:bookmarkEnd w:id="18"/>
          </w:p>
          <w:p w14:paraId="68915F4B" w14:textId="5D52978C" w:rsidR="009F662C" w:rsidRPr="00EF521E" w:rsidRDefault="009F662C" w:rsidP="009F662C">
            <w:pPr>
              <w:rPr>
                <w:rFonts w:cstheme="minorHAnsi"/>
                <w:color w:val="00AC4D"/>
                <w:szCs w:val="20"/>
              </w:rPr>
            </w:pPr>
          </w:p>
          <w:p w14:paraId="2C01BEA7" w14:textId="77777777" w:rsidR="009F662C" w:rsidRPr="00EF521E" w:rsidRDefault="009F662C" w:rsidP="009F662C">
            <w:pPr>
              <w:rPr>
                <w:rFonts w:cstheme="minorHAnsi"/>
                <w:b/>
                <w:color w:val="00AC4E" w:themeColor="accent1"/>
                <w:szCs w:val="20"/>
                <w:lang w:eastAsia="en-IE"/>
              </w:rPr>
            </w:pPr>
            <w:r w:rsidRPr="00EF521E">
              <w:rPr>
                <w:rFonts w:cstheme="minorHAnsi"/>
                <w:b/>
                <w:color w:val="00AC4E" w:themeColor="accent1"/>
                <w:szCs w:val="20"/>
              </w:rPr>
              <w:t xml:space="preserve">Micro-activities: </w:t>
            </w:r>
          </w:p>
          <w:p w14:paraId="42B2B23F" w14:textId="77777777" w:rsidR="009F662C" w:rsidRPr="00EF521E" w:rsidRDefault="009F662C" w:rsidP="009F662C">
            <w:pPr>
              <w:pStyle w:val="NoSpacing"/>
              <w:jc w:val="both"/>
              <w:rPr>
                <w:rFonts w:eastAsia="Times New Roman" w:cstheme="minorHAnsi"/>
                <w:b/>
                <w:sz w:val="20"/>
                <w:szCs w:val="20"/>
                <w:lang w:val="en-GB"/>
              </w:rPr>
            </w:pPr>
            <w:r w:rsidRPr="00EF521E">
              <w:rPr>
                <w:rFonts w:eastAsia="Times New Roman" w:cstheme="minorHAnsi"/>
                <w:b/>
                <w:sz w:val="20"/>
                <w:szCs w:val="20"/>
                <w:lang w:val="en-GB"/>
              </w:rPr>
              <w:t>Activity 1:  The "Materiality &amp; Governance" Audit</w:t>
            </w:r>
          </w:p>
          <w:p w14:paraId="59FBD08D" w14:textId="5C6CE0F1" w:rsidR="009F662C" w:rsidRPr="00EF521E" w:rsidRDefault="009F662C" w:rsidP="009F662C">
            <w:pPr>
              <w:pStyle w:val="NoSpacing"/>
              <w:jc w:val="both"/>
              <w:rPr>
                <w:rFonts w:eastAsia="Times New Roman" w:cstheme="minorHAnsi"/>
                <w:b/>
                <w:sz w:val="20"/>
                <w:szCs w:val="20"/>
                <w:lang w:val="en-GB"/>
              </w:rPr>
            </w:pPr>
            <w:r w:rsidRPr="00EF521E">
              <w:rPr>
                <w:rFonts w:eastAsia="Times New Roman" w:cstheme="minorHAnsi"/>
                <w:sz w:val="20"/>
                <w:szCs w:val="20"/>
                <w:lang w:val="en-GB"/>
              </w:rPr>
              <w:t>Analysts must be able to "read" the strategy and the accountability structures behind a company’s materiality choices.</w:t>
            </w:r>
          </w:p>
          <w:p w14:paraId="2C7CA0CB" w14:textId="77777777" w:rsidR="009F662C" w:rsidRPr="00EF521E" w:rsidRDefault="009F662C" w:rsidP="009F662C">
            <w:pPr>
              <w:pStyle w:val="NoSpacing"/>
              <w:numPr>
                <w:ilvl w:val="0"/>
                <w:numId w:val="199"/>
              </w:numPr>
              <w:jc w:val="both"/>
              <w:rPr>
                <w:rFonts w:eastAsia="Times New Roman" w:cstheme="minorHAnsi"/>
                <w:sz w:val="20"/>
                <w:szCs w:val="20"/>
                <w:lang w:val="en-GB" w:eastAsia="hr-HR"/>
              </w:rPr>
            </w:pPr>
            <w:r w:rsidRPr="00EF521E">
              <w:rPr>
                <w:rFonts w:eastAsia="Times New Roman" w:cstheme="minorHAnsi"/>
                <w:b/>
                <w:sz w:val="20"/>
                <w:szCs w:val="20"/>
                <w:lang w:val="en-GB"/>
              </w:rPr>
              <w:t>Task:</w:t>
            </w:r>
            <w:r w:rsidRPr="00EF521E">
              <w:rPr>
                <w:rFonts w:eastAsia="Times New Roman" w:cstheme="minorHAnsi"/>
                <w:sz w:val="20"/>
                <w:szCs w:val="20"/>
                <w:lang w:val="en-GB"/>
              </w:rPr>
              <w:t> Find the latest Sustainability Report of a major undertaking (e.g., Siemens, IKEA, or BMW).</w:t>
            </w:r>
          </w:p>
          <w:p w14:paraId="443150FB" w14:textId="77777777" w:rsidR="009F662C" w:rsidRPr="00EF521E" w:rsidRDefault="009F662C" w:rsidP="009F662C">
            <w:pPr>
              <w:pStyle w:val="NoSpacing"/>
              <w:numPr>
                <w:ilvl w:val="0"/>
                <w:numId w:val="199"/>
              </w:numPr>
              <w:jc w:val="both"/>
              <w:rPr>
                <w:rFonts w:eastAsia="Times New Roman" w:cstheme="minorHAnsi"/>
                <w:b/>
                <w:bCs/>
                <w:sz w:val="20"/>
                <w:szCs w:val="20"/>
                <w:lang w:val="en-GB" w:eastAsia="hr-HR"/>
              </w:rPr>
            </w:pPr>
            <w:r w:rsidRPr="00EF521E">
              <w:rPr>
                <w:rFonts w:eastAsia="Times New Roman" w:cstheme="minorHAnsi"/>
                <w:b/>
                <w:sz w:val="20"/>
                <w:szCs w:val="20"/>
                <w:lang w:val="en-GB"/>
              </w:rPr>
              <w:t>Analysis:</w:t>
            </w:r>
          </w:p>
          <w:p w14:paraId="32FC80BB" w14:textId="77777777"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Locate the "Materiality Matrix." List the top 3 topics in the "material" zone.</w:t>
            </w:r>
          </w:p>
          <w:p w14:paraId="1BE34DB8" w14:textId="77777777"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Find the section on Governance: Does the report explicitly state that the Board (Highest Governance Body) approved the materiality assessment results?</w:t>
            </w:r>
          </w:p>
          <w:p w14:paraId="21CB499A" w14:textId="51E183D5"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Reflect: Based on their description of Step A (Context), how did the undertaking define its System Boundaries (e.g., did they include only their own operations or the entire value chain)?</w:t>
            </w:r>
          </w:p>
          <w:p w14:paraId="0ED3696C" w14:textId="77777777" w:rsidR="009F662C" w:rsidRDefault="009F662C" w:rsidP="009F662C">
            <w:pPr>
              <w:pStyle w:val="NoSpacing"/>
              <w:ind w:left="720"/>
              <w:rPr>
                <w:rFonts w:eastAsia="Times New Roman" w:cstheme="minorHAnsi"/>
                <w:sz w:val="20"/>
                <w:szCs w:val="20"/>
                <w:lang w:val="en-GB" w:eastAsia="hr-HR"/>
              </w:rPr>
            </w:pPr>
          </w:p>
          <w:p w14:paraId="5219A7D6" w14:textId="77777777" w:rsidR="00AB7746" w:rsidRDefault="00AB7746" w:rsidP="009F662C">
            <w:pPr>
              <w:pStyle w:val="NoSpacing"/>
              <w:ind w:left="720"/>
              <w:rPr>
                <w:rFonts w:eastAsia="Times New Roman" w:cstheme="minorHAnsi"/>
                <w:sz w:val="20"/>
                <w:szCs w:val="20"/>
                <w:lang w:val="en-GB" w:eastAsia="hr-HR"/>
              </w:rPr>
            </w:pPr>
          </w:p>
          <w:p w14:paraId="253CEE79" w14:textId="77777777" w:rsidR="00AB7746" w:rsidRPr="00EF521E" w:rsidRDefault="00AB7746" w:rsidP="009F662C">
            <w:pPr>
              <w:pStyle w:val="NoSpacing"/>
              <w:ind w:left="720"/>
              <w:rPr>
                <w:rFonts w:eastAsia="Times New Roman" w:cstheme="minorHAnsi"/>
                <w:sz w:val="20"/>
                <w:szCs w:val="20"/>
                <w:lang w:val="en-GB" w:eastAsia="hr-HR"/>
              </w:rPr>
            </w:pPr>
          </w:p>
          <w:p w14:paraId="5F800ADB" w14:textId="77777777" w:rsidR="009F662C" w:rsidRPr="00EF521E" w:rsidRDefault="009F662C" w:rsidP="009F662C">
            <w:pPr>
              <w:pStyle w:val="NoSpacing"/>
              <w:rPr>
                <w:rFonts w:eastAsia="Times New Roman" w:cstheme="minorHAnsi"/>
                <w:b/>
                <w:bCs/>
                <w:sz w:val="20"/>
                <w:szCs w:val="20"/>
                <w:lang w:val="en-GB" w:eastAsia="hr-HR"/>
              </w:rPr>
            </w:pPr>
            <w:r w:rsidRPr="00EF521E">
              <w:rPr>
                <w:rFonts w:eastAsia="Times New Roman" w:cstheme="minorHAnsi"/>
                <w:b/>
                <w:sz w:val="20"/>
                <w:szCs w:val="20"/>
                <w:lang w:val="en-GB"/>
              </w:rPr>
              <w:lastRenderedPageBreak/>
              <w:t>Activity 2: Scoring and Data Ownership Simulation</w:t>
            </w:r>
          </w:p>
          <w:p w14:paraId="4E2D5D5B" w14:textId="77777777" w:rsidR="009F662C" w:rsidRPr="00EF521E" w:rsidRDefault="009F662C" w:rsidP="009F662C">
            <w:pPr>
              <w:pStyle w:val="NoSpacing"/>
              <w:jc w:val="both"/>
              <w:rPr>
                <w:rFonts w:eastAsia="Times New Roman" w:cstheme="minorHAnsi"/>
                <w:b/>
                <w:bCs/>
                <w:sz w:val="20"/>
                <w:szCs w:val="20"/>
                <w:lang w:val="en-GB" w:eastAsia="hr-HR"/>
              </w:rPr>
            </w:pPr>
            <w:r w:rsidRPr="00EF521E">
              <w:rPr>
                <w:rFonts w:eastAsia="Times New Roman" w:cstheme="minorHAnsi"/>
                <w:b/>
                <w:sz w:val="20"/>
                <w:szCs w:val="20"/>
                <w:lang w:val="en-GB"/>
              </w:rPr>
              <w:t>Scenario: </w:t>
            </w:r>
            <w:r w:rsidRPr="00EF521E">
              <w:rPr>
                <w:rFonts w:eastAsia="Times New Roman" w:cstheme="minorHAnsi"/>
                <w:sz w:val="20"/>
                <w:szCs w:val="20"/>
                <w:lang w:val="en-GB"/>
              </w:rPr>
              <w:t>You are an analyst for a clothing retailer. You discover that a key Tier 2 supplier is using hazardous chemicals that are leaking into a local river.</w:t>
            </w:r>
          </w:p>
          <w:p w14:paraId="3D63582E" w14:textId="77777777" w:rsidR="009F662C" w:rsidRPr="00EF521E" w:rsidRDefault="009F662C" w:rsidP="009F662C">
            <w:pPr>
              <w:pStyle w:val="NoSpacing"/>
              <w:jc w:val="both"/>
              <w:rPr>
                <w:rFonts w:eastAsia="Times New Roman" w:cstheme="minorHAnsi"/>
                <w:sz w:val="20"/>
                <w:szCs w:val="20"/>
                <w:lang w:val="en-GB" w:eastAsia="hr-HR"/>
              </w:rPr>
            </w:pPr>
            <w:r w:rsidRPr="00EF521E">
              <w:rPr>
                <w:rFonts w:eastAsia="Times New Roman" w:cstheme="minorHAnsi"/>
                <w:b/>
                <w:sz w:val="20"/>
                <w:szCs w:val="20"/>
                <w:lang w:val="en-GB"/>
              </w:rPr>
              <w:t>Task: </w:t>
            </w:r>
            <w:r w:rsidRPr="00EF521E">
              <w:rPr>
                <w:rFonts w:eastAsia="Times New Roman" w:cstheme="minorHAnsi"/>
                <w:sz w:val="20"/>
                <w:szCs w:val="20"/>
                <w:lang w:val="en-GB"/>
              </w:rPr>
              <w:t>Apply the Step C (Assessment) criteria.</w:t>
            </w:r>
          </w:p>
          <w:p w14:paraId="273ABAAC" w14:textId="77777777"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Impact Score: Rate the Scale, Scope, and Irremediable character (1 to 5 scale).</w:t>
            </w:r>
          </w:p>
          <w:p w14:paraId="131829C9" w14:textId="77777777"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Financial Score: Estimate the Magnitude of potential regulatory fines or brand damage.</w:t>
            </w:r>
          </w:p>
          <w:p w14:paraId="2107BA92" w14:textId="77777777" w:rsidR="009F662C" w:rsidRPr="00EF521E" w:rsidRDefault="009F662C" w:rsidP="009F662C">
            <w:pPr>
              <w:pStyle w:val="NoSpacing"/>
              <w:numPr>
                <w:ilvl w:val="1"/>
                <w:numId w:val="199"/>
              </w:numPr>
              <w:jc w:val="both"/>
              <w:rPr>
                <w:rFonts w:eastAsia="Times New Roman" w:cstheme="minorHAnsi"/>
                <w:sz w:val="20"/>
                <w:szCs w:val="20"/>
                <w:lang w:val="en-GB" w:eastAsia="hr-HR"/>
              </w:rPr>
            </w:pPr>
            <w:r w:rsidRPr="00EF521E">
              <w:rPr>
                <w:rFonts w:eastAsia="Times New Roman" w:cstheme="minorHAnsi"/>
                <w:sz w:val="20"/>
                <w:szCs w:val="20"/>
                <w:lang w:val="en-GB"/>
              </w:rPr>
              <w:t>Governance Mapping: Identify which internal Data Owner (e.g., Procurement Manager or Environmental Lead) is responsible for monitoring this specific supplier's data.</w:t>
            </w:r>
          </w:p>
          <w:p w14:paraId="408D2F82" w14:textId="77777777" w:rsidR="009F662C" w:rsidRPr="00EF521E" w:rsidRDefault="009F662C" w:rsidP="009F662C">
            <w:pPr>
              <w:pStyle w:val="NoSpacing"/>
              <w:jc w:val="both"/>
              <w:rPr>
                <w:rFonts w:eastAsia="Times New Roman" w:cstheme="minorHAnsi"/>
                <w:b/>
                <w:bCs/>
                <w:sz w:val="20"/>
                <w:szCs w:val="20"/>
                <w:lang w:val="en-GB" w:eastAsia="hr-HR"/>
              </w:rPr>
            </w:pPr>
            <w:r w:rsidRPr="00EF521E">
              <w:rPr>
                <w:rFonts w:eastAsia="Times New Roman" w:cstheme="minorHAnsi"/>
                <w:b/>
                <w:sz w:val="20"/>
                <w:szCs w:val="20"/>
                <w:lang w:val="en-GB"/>
              </w:rPr>
              <w:t>Conclusion: </w:t>
            </w:r>
            <w:r w:rsidRPr="00EF521E">
              <w:rPr>
                <w:rFonts w:eastAsia="Times New Roman" w:cstheme="minorHAnsi"/>
                <w:sz w:val="20"/>
                <w:szCs w:val="20"/>
                <w:lang w:val="en-GB"/>
              </w:rPr>
              <w:t>If the combined score exceeds your Materiality Threshold, explain in 200 words how this decision changes the Reporting Scope for the ESG Controller.</w:t>
            </w:r>
          </w:p>
          <w:p w14:paraId="0364581C" w14:textId="77777777" w:rsidR="009F662C" w:rsidRPr="00EF521E" w:rsidRDefault="009F662C" w:rsidP="009F662C">
            <w:pPr>
              <w:jc w:val="both"/>
              <w:rPr>
                <w:rFonts w:cstheme="minorHAnsi"/>
                <w:b/>
                <w:color w:val="00AC4E" w:themeColor="accent1"/>
                <w:szCs w:val="20"/>
                <w:lang w:eastAsia="en-IE"/>
              </w:rPr>
            </w:pPr>
          </w:p>
          <w:p w14:paraId="5836D1C7" w14:textId="77777777" w:rsidR="009F662C" w:rsidRPr="00EF521E" w:rsidRDefault="009F662C" w:rsidP="009F662C">
            <w:pPr>
              <w:jc w:val="both"/>
              <w:rPr>
                <w:rFonts w:cstheme="minorHAnsi"/>
                <w:b/>
                <w:szCs w:val="20"/>
              </w:rPr>
            </w:pPr>
            <w:r w:rsidRPr="00EF521E">
              <w:rPr>
                <w:rFonts w:cstheme="minorHAnsi"/>
                <w:b/>
                <w:szCs w:val="20"/>
              </w:rPr>
              <w:t>Reflection Point:</w:t>
            </w:r>
          </w:p>
          <w:p w14:paraId="3B94E165" w14:textId="4A1A9DB4" w:rsidR="009F662C" w:rsidRPr="00EF521E" w:rsidRDefault="009F662C" w:rsidP="009F662C">
            <w:pPr>
              <w:jc w:val="both"/>
              <w:rPr>
                <w:rFonts w:cstheme="minorHAnsi"/>
                <w:szCs w:val="20"/>
              </w:rPr>
            </w:pPr>
            <w:r w:rsidRPr="00EF521E">
              <w:rPr>
                <w:rFonts w:cstheme="minorHAnsi"/>
                <w:szCs w:val="20"/>
              </w:rPr>
              <w:t>Consider a global fast-food chain.</w:t>
            </w:r>
          </w:p>
          <w:p w14:paraId="5997B482" w14:textId="77777777" w:rsidR="009F662C" w:rsidRPr="00EF521E" w:rsidRDefault="009F662C" w:rsidP="009F662C">
            <w:pPr>
              <w:numPr>
                <w:ilvl w:val="0"/>
                <w:numId w:val="199"/>
              </w:numPr>
              <w:jc w:val="both"/>
              <w:rPr>
                <w:rFonts w:cstheme="minorHAnsi"/>
                <w:szCs w:val="20"/>
              </w:rPr>
            </w:pPr>
            <w:r w:rsidRPr="00EF521E">
              <w:rPr>
                <w:rFonts w:cstheme="minorHAnsi"/>
                <w:szCs w:val="20"/>
              </w:rPr>
              <w:t>Identify one Impact Materiality issue (how the company affects the world).</w:t>
            </w:r>
          </w:p>
          <w:p w14:paraId="2BF4D0BF" w14:textId="77777777" w:rsidR="009F662C" w:rsidRPr="00EF521E" w:rsidRDefault="009F662C" w:rsidP="009F662C">
            <w:pPr>
              <w:numPr>
                <w:ilvl w:val="0"/>
                <w:numId w:val="199"/>
              </w:numPr>
              <w:jc w:val="both"/>
              <w:rPr>
                <w:rFonts w:cstheme="minorHAnsi"/>
                <w:szCs w:val="20"/>
              </w:rPr>
            </w:pPr>
            <w:r w:rsidRPr="00EF521E">
              <w:rPr>
                <w:rFonts w:cstheme="minorHAnsi"/>
                <w:szCs w:val="20"/>
              </w:rPr>
              <w:t>Identify one Financial Materiality issue (how a sustainability event could cost the company money).</w:t>
            </w:r>
          </w:p>
          <w:p w14:paraId="69F8E9FA" w14:textId="77777777" w:rsidR="009F662C" w:rsidRPr="00EF521E" w:rsidRDefault="009F662C" w:rsidP="009F662C">
            <w:pPr>
              <w:numPr>
                <w:ilvl w:val="0"/>
                <w:numId w:val="199"/>
              </w:numPr>
              <w:jc w:val="both"/>
              <w:rPr>
                <w:rFonts w:cstheme="minorHAnsi"/>
                <w:szCs w:val="20"/>
              </w:rPr>
            </w:pPr>
            <w:r w:rsidRPr="00EF521E">
              <w:rPr>
                <w:rFonts w:cstheme="minorHAnsi"/>
                <w:szCs w:val="20"/>
              </w:rPr>
              <w:t>Are these two issues connected? Write down a 2-sentence explanation of the link.</w:t>
            </w:r>
          </w:p>
          <w:p w14:paraId="2889E5C9" w14:textId="77777777" w:rsidR="009F662C" w:rsidRPr="00EF521E" w:rsidRDefault="009F662C" w:rsidP="009F662C">
            <w:pPr>
              <w:rPr>
                <w:rFonts w:cstheme="minorHAnsi"/>
                <w:b/>
                <w:color w:val="00AC4E" w:themeColor="accent1"/>
                <w:szCs w:val="20"/>
              </w:rPr>
            </w:pPr>
          </w:p>
          <w:p w14:paraId="49C02102" w14:textId="58EA1DE6" w:rsidR="009F662C" w:rsidRPr="00EF521E" w:rsidRDefault="009F662C" w:rsidP="009F662C">
            <w:pPr>
              <w:rPr>
                <w:rFonts w:cstheme="minorHAnsi"/>
                <w:szCs w:val="20"/>
              </w:rPr>
            </w:pPr>
            <w:r w:rsidRPr="00EF521E">
              <w:rPr>
                <w:rFonts w:cstheme="minorHAnsi"/>
                <w:b/>
                <w:color w:val="00AC4E" w:themeColor="accent1"/>
                <w:szCs w:val="20"/>
              </w:rPr>
              <w:t xml:space="preserve">Additional reading: </w:t>
            </w:r>
            <w:r w:rsidRPr="00EF521E">
              <w:rPr>
                <w:rFonts w:cstheme="minorHAnsi"/>
                <w:szCs w:val="20"/>
              </w:rPr>
              <w:t xml:space="preserve"> </w:t>
            </w:r>
          </w:p>
          <w:p w14:paraId="3F9C5C2E" w14:textId="331237F0" w:rsidR="009F662C" w:rsidRPr="00EF521E" w:rsidRDefault="009F662C" w:rsidP="009F662C">
            <w:pPr>
              <w:pStyle w:val="ListParagraph"/>
              <w:numPr>
                <w:ilvl w:val="0"/>
                <w:numId w:val="203"/>
              </w:numPr>
              <w:rPr>
                <w:rFonts w:cstheme="minorHAnsi"/>
                <w:szCs w:val="20"/>
              </w:rPr>
            </w:pPr>
            <w:r w:rsidRPr="00EF521E">
              <w:rPr>
                <w:rFonts w:cstheme="minorHAnsi"/>
                <w:szCs w:val="20"/>
              </w:rPr>
              <w:t xml:space="preserve">EFRAG IG 1: </w:t>
            </w:r>
            <w:hyperlink r:id="rId40">
              <w:r w:rsidRPr="00EF521E">
                <w:rPr>
                  <w:rStyle w:val="Hyperlink"/>
                  <w:rFonts w:cstheme="minorHAnsi"/>
                  <w:color w:val="00AC4E" w:themeColor="accent1"/>
                  <w:szCs w:val="20"/>
                </w:rPr>
                <w:t>Materiality Assessment Implementation Guidance</w:t>
              </w:r>
            </w:hyperlink>
            <w:r w:rsidRPr="00EF521E">
              <w:rPr>
                <w:rFonts w:cstheme="minorHAnsi"/>
                <w:color w:val="00AC4E" w:themeColor="accent1"/>
                <w:szCs w:val="20"/>
              </w:rPr>
              <w:t xml:space="preserve"> </w:t>
            </w:r>
            <w:r w:rsidRPr="00EF521E">
              <w:rPr>
                <w:rFonts w:cstheme="minorHAnsi"/>
                <w:szCs w:val="20"/>
              </w:rPr>
              <w:t>(Read pages 10–14 -Section 2.1,. Study Figure 1a (Venn diagram) and Figure 1b to understand the "Inside-out" vs. "Outside-in" logic).</w:t>
            </w:r>
          </w:p>
          <w:p w14:paraId="62F90E80" w14:textId="5CF8C19C" w:rsidR="009F662C" w:rsidRPr="00EF521E" w:rsidRDefault="009F662C" w:rsidP="009F662C">
            <w:pPr>
              <w:pStyle w:val="ListParagraph"/>
              <w:numPr>
                <w:ilvl w:val="0"/>
                <w:numId w:val="203"/>
              </w:numPr>
              <w:rPr>
                <w:rFonts w:cstheme="minorHAnsi"/>
                <w:szCs w:val="20"/>
              </w:rPr>
            </w:pPr>
            <w:hyperlink r:id="rId41">
              <w:r w:rsidRPr="00EF521E">
                <w:rPr>
                  <w:rStyle w:val="Hyperlink"/>
                  <w:rFonts w:cstheme="minorHAnsi"/>
                  <w:color w:val="00AC4E" w:themeColor="accent1"/>
                  <w:szCs w:val="20"/>
                </w:rPr>
                <w:t>GRI 3: Material Topics 2021</w:t>
              </w:r>
            </w:hyperlink>
            <w:r w:rsidRPr="00EF521E">
              <w:rPr>
                <w:rFonts w:cstheme="minorHAnsi"/>
                <w:color w:val="00AC4E" w:themeColor="accent1"/>
                <w:szCs w:val="20"/>
              </w:rPr>
              <w:t xml:space="preserve"> </w:t>
            </w:r>
            <w:r w:rsidRPr="00EF521E">
              <w:rPr>
                <w:rFonts w:cstheme="minorHAnsi"/>
                <w:szCs w:val="20"/>
              </w:rPr>
              <w:t>(Read Page 7 (Figure 2) for the 4-step process overview and Page 12 for the definition of Severity: Scale, Scope, Irremediability).</w:t>
            </w:r>
          </w:p>
          <w:p w14:paraId="3F4A3035" w14:textId="4468C4B3" w:rsidR="009F662C" w:rsidRPr="00EF521E" w:rsidRDefault="009F662C" w:rsidP="009F662C">
            <w:pPr>
              <w:pStyle w:val="ListParagraph"/>
              <w:numPr>
                <w:ilvl w:val="0"/>
                <w:numId w:val="203"/>
              </w:numPr>
              <w:rPr>
                <w:rFonts w:cstheme="minorHAnsi"/>
                <w:szCs w:val="20"/>
              </w:rPr>
            </w:pPr>
            <w:r w:rsidRPr="00EF521E">
              <w:rPr>
                <w:rFonts w:cstheme="minorHAnsi"/>
                <w:szCs w:val="20"/>
              </w:rPr>
              <w:t xml:space="preserve">ESRS 1: General Requirements: </w:t>
            </w:r>
            <w:hyperlink r:id="rId42">
              <w:r w:rsidRPr="00EF521E">
                <w:rPr>
                  <w:rStyle w:val="Hyperlink"/>
                  <w:rFonts w:cstheme="minorHAnsi"/>
                  <w:color w:val="00AC4E" w:themeColor="accent1"/>
                  <w:szCs w:val="20"/>
                </w:rPr>
                <w:t>ANNEX I  European Sustainability Reporting Standards - ESRS</w:t>
              </w:r>
            </w:hyperlink>
            <w:r w:rsidRPr="00EF521E">
              <w:rPr>
                <w:rFonts w:cstheme="minorHAnsi"/>
                <w:color w:val="00AC4E" w:themeColor="accent1"/>
                <w:szCs w:val="20"/>
              </w:rPr>
              <w:t xml:space="preserve">  </w:t>
            </w:r>
            <w:r w:rsidRPr="00EF521E">
              <w:rPr>
                <w:rFonts w:cstheme="minorHAnsi"/>
                <w:szCs w:val="20"/>
              </w:rPr>
              <w:t xml:space="preserve">(Read? Appendix E (pages 33-34) to master the mandatory logic for selecting which ESG data points must be reported and which can be omitted). </w:t>
            </w:r>
          </w:p>
          <w:p w14:paraId="1C2833C1" w14:textId="4E286C31" w:rsidR="009F662C" w:rsidRPr="00EF521E" w:rsidRDefault="009F662C" w:rsidP="009F662C">
            <w:pPr>
              <w:rPr>
                <w:rFonts w:cstheme="minorHAnsi"/>
                <w:szCs w:val="20"/>
              </w:rPr>
            </w:pPr>
          </w:p>
          <w:p w14:paraId="4D562610" w14:textId="7FB50B01" w:rsidR="009F662C" w:rsidRPr="00EF521E" w:rsidRDefault="009F662C" w:rsidP="009F662C">
            <w:pPr>
              <w:rPr>
                <w:rFonts w:cstheme="minorHAnsi"/>
                <w:szCs w:val="20"/>
              </w:rPr>
            </w:pPr>
            <w:r w:rsidRPr="00EF521E">
              <w:rPr>
                <w:rFonts w:cstheme="minorHAnsi"/>
                <w:b/>
                <w:color w:val="00AC4E" w:themeColor="accent1"/>
                <w:szCs w:val="20"/>
              </w:rPr>
              <w:t>Key Takeaways</w:t>
            </w:r>
            <w:r w:rsidRPr="00EF521E">
              <w:rPr>
                <w:rFonts w:cstheme="minorHAnsi"/>
                <w:szCs w:val="20"/>
              </w:rPr>
              <w:t xml:space="preserve">: </w:t>
            </w:r>
          </w:p>
          <w:p w14:paraId="7CFF216E" w14:textId="77777777" w:rsidR="009F662C" w:rsidRPr="00EF521E" w:rsidRDefault="009F662C" w:rsidP="009F662C">
            <w:pPr>
              <w:numPr>
                <w:ilvl w:val="0"/>
                <w:numId w:val="199"/>
              </w:numPr>
              <w:shd w:val="clear" w:color="auto" w:fill="FFFFFF" w:themeFill="background1"/>
              <w:spacing w:after="105" w:line="315" w:lineRule="atLeast"/>
              <w:jc w:val="both"/>
              <w:rPr>
                <w:rFonts w:eastAsia="Times New Roman" w:cstheme="minorHAnsi"/>
                <w:color w:val="2B2D31"/>
                <w:szCs w:val="20"/>
                <w:lang w:eastAsia="hr-HR"/>
              </w:rPr>
            </w:pPr>
            <w:r w:rsidRPr="00EF521E">
              <w:rPr>
                <w:rFonts w:eastAsia="Times New Roman" w:cstheme="minorHAnsi"/>
                <w:b/>
                <w:color w:val="2B2D31"/>
                <w:szCs w:val="20"/>
              </w:rPr>
              <w:t>Algorithmic Strategic Filter:</w:t>
            </w:r>
            <w:r w:rsidRPr="00EF521E">
              <w:rPr>
                <w:rFonts w:eastAsia="Times New Roman" w:cstheme="minorHAnsi"/>
                <w:color w:val="2B2D31"/>
                <w:szCs w:val="20"/>
              </w:rPr>
              <w:t> Double Materiality is the mandatory 4-step process (A-B-C-D) that systematically defines the Reporting Scope, moving an undertaking from over 1,000 potential data points to a focused set of relevant metrics.</w:t>
            </w:r>
          </w:p>
          <w:p w14:paraId="62B26F32" w14:textId="77777777" w:rsidR="009F662C" w:rsidRPr="00EF521E" w:rsidRDefault="009F662C" w:rsidP="009F662C">
            <w:pPr>
              <w:numPr>
                <w:ilvl w:val="0"/>
                <w:numId w:val="199"/>
              </w:numPr>
              <w:shd w:val="clear" w:color="auto" w:fill="FFFFFF" w:themeFill="background1"/>
              <w:spacing w:after="105" w:line="315" w:lineRule="atLeast"/>
              <w:jc w:val="both"/>
              <w:rPr>
                <w:rFonts w:eastAsia="Times New Roman" w:cstheme="minorHAnsi"/>
                <w:color w:val="2B2D31"/>
                <w:szCs w:val="20"/>
                <w:lang w:eastAsia="hr-HR"/>
              </w:rPr>
            </w:pPr>
            <w:r w:rsidRPr="00EF521E">
              <w:rPr>
                <w:rFonts w:eastAsia="Times New Roman" w:cstheme="minorHAnsi"/>
                <w:b/>
                <w:color w:val="2B2D31"/>
                <w:szCs w:val="20"/>
              </w:rPr>
              <w:t>The Dual Perspective Mandate:</w:t>
            </w:r>
            <w:r w:rsidRPr="00EF521E">
              <w:rPr>
                <w:rFonts w:eastAsia="Times New Roman" w:cstheme="minorHAnsi"/>
                <w:color w:val="2B2D31"/>
                <w:szCs w:val="20"/>
              </w:rPr>
              <w:t> Undertakings must look through two distinct lenses: Impact Materiality (the company’s effect on the world) and Financial Materiality (sustainability-related risks to the company’s value).</w:t>
            </w:r>
          </w:p>
          <w:p w14:paraId="7260C347" w14:textId="77777777" w:rsidR="009F662C" w:rsidRPr="00EF521E" w:rsidRDefault="009F662C" w:rsidP="009F662C">
            <w:pPr>
              <w:numPr>
                <w:ilvl w:val="0"/>
                <w:numId w:val="199"/>
              </w:numPr>
              <w:shd w:val="clear" w:color="auto" w:fill="FFFFFF" w:themeFill="background1"/>
              <w:spacing w:after="105" w:line="315" w:lineRule="atLeast"/>
              <w:jc w:val="both"/>
              <w:rPr>
                <w:rFonts w:eastAsia="Times New Roman" w:cstheme="minorHAnsi"/>
                <w:bCs/>
                <w:color w:val="2B2D31"/>
                <w:szCs w:val="20"/>
                <w:lang w:eastAsia="hr-HR"/>
              </w:rPr>
            </w:pPr>
            <w:r w:rsidRPr="00EF521E">
              <w:rPr>
                <w:rFonts w:eastAsia="Times New Roman" w:cstheme="minorHAnsi"/>
                <w:b/>
                <w:color w:val="2B2D31"/>
                <w:szCs w:val="20"/>
              </w:rPr>
              <w:t>Governance &amp; Accountability:</w:t>
            </w:r>
            <w:r w:rsidRPr="00EF521E">
              <w:rPr>
                <w:rFonts w:eastAsia="Times New Roman" w:cstheme="minorHAnsi"/>
                <w:color w:val="2B2D31"/>
                <w:szCs w:val="20"/>
              </w:rPr>
              <w:t> The </w:t>
            </w:r>
            <w:r w:rsidRPr="00EF521E">
              <w:rPr>
                <w:rFonts w:eastAsia="Times New Roman" w:cstheme="minorHAnsi"/>
                <w:bCs/>
                <w:color w:val="2B2D31"/>
                <w:szCs w:val="20"/>
              </w:rPr>
              <w:t>Board holds ultimate responsibility for overseeing the assessment, while the ESG Controller ensures the materiality results are correctly translated into technical entries in the Data Dictionary.</w:t>
            </w:r>
          </w:p>
          <w:p w14:paraId="05306D23" w14:textId="77777777" w:rsidR="009F662C" w:rsidRPr="00EF521E" w:rsidRDefault="009F662C" w:rsidP="009F662C">
            <w:pPr>
              <w:numPr>
                <w:ilvl w:val="0"/>
                <w:numId w:val="199"/>
              </w:numPr>
              <w:shd w:val="clear" w:color="auto" w:fill="FFFFFF" w:themeFill="background1"/>
              <w:spacing w:after="105" w:line="315" w:lineRule="atLeast"/>
              <w:jc w:val="both"/>
              <w:rPr>
                <w:rFonts w:eastAsia="Times New Roman" w:cstheme="minorHAnsi"/>
                <w:color w:val="2B2D31"/>
                <w:szCs w:val="20"/>
                <w:lang w:eastAsia="hr-HR"/>
              </w:rPr>
            </w:pPr>
            <w:r w:rsidRPr="00EF521E">
              <w:rPr>
                <w:rFonts w:eastAsia="Times New Roman" w:cstheme="minorHAnsi"/>
                <w:b/>
                <w:color w:val="2B2D31"/>
                <w:szCs w:val="20"/>
              </w:rPr>
              <w:t>Objective Prioritization:</w:t>
            </w:r>
            <w:r w:rsidRPr="00EF521E">
              <w:rPr>
                <w:rFonts w:eastAsia="Times New Roman" w:cstheme="minorHAnsi"/>
                <w:color w:val="2B2D31"/>
                <w:szCs w:val="20"/>
              </w:rPr>
              <w:t> Topics are filtered using a Materiality Threshold based on objective criteria—specifically the Severity (Scale, Scope, Irremediability) and Likelihood of impacts and risks.</w:t>
            </w:r>
          </w:p>
          <w:p w14:paraId="2DD79263" w14:textId="77777777" w:rsidR="009F662C" w:rsidRPr="00EF521E" w:rsidRDefault="009F662C" w:rsidP="009F662C">
            <w:pPr>
              <w:numPr>
                <w:ilvl w:val="0"/>
                <w:numId w:val="199"/>
              </w:numPr>
              <w:shd w:val="clear" w:color="auto" w:fill="FFFFFF" w:themeFill="background1"/>
              <w:spacing w:after="105" w:line="315" w:lineRule="atLeast"/>
              <w:jc w:val="both"/>
              <w:rPr>
                <w:rFonts w:eastAsia="Times New Roman" w:cstheme="minorHAnsi"/>
                <w:color w:val="2B2D31"/>
                <w:szCs w:val="20"/>
                <w:lang w:eastAsia="hr-HR"/>
              </w:rPr>
            </w:pPr>
            <w:r w:rsidRPr="00EF521E">
              <w:rPr>
                <w:rFonts w:eastAsia="Times New Roman" w:cstheme="minorHAnsi"/>
                <w:b/>
                <w:color w:val="2B2D31"/>
                <w:szCs w:val="20"/>
              </w:rPr>
              <w:lastRenderedPageBreak/>
              <w:t>Foundation for Data Lineage:</w:t>
            </w:r>
            <w:r w:rsidRPr="00EF521E">
              <w:rPr>
                <w:rFonts w:eastAsia="Times New Roman" w:cstheme="minorHAnsi"/>
                <w:color w:val="2B2D31"/>
                <w:szCs w:val="20"/>
              </w:rPr>
              <w:t> A successful materiality assessment provides the technical justification for every metric included in the final report, serving as the starting point for the </w:t>
            </w:r>
            <w:r w:rsidRPr="00EF521E">
              <w:rPr>
                <w:rFonts w:eastAsia="Times New Roman" w:cstheme="minorHAnsi"/>
                <w:b/>
                <w:color w:val="2B2D31"/>
                <w:szCs w:val="20"/>
              </w:rPr>
              <w:t>Data Owners</w:t>
            </w:r>
            <w:r w:rsidRPr="00EF521E">
              <w:rPr>
                <w:rFonts w:eastAsia="Times New Roman" w:cstheme="minorHAnsi"/>
                <w:color w:val="2B2D31"/>
                <w:szCs w:val="20"/>
              </w:rPr>
              <w:t> to begin collection.</w:t>
            </w:r>
          </w:p>
          <w:p w14:paraId="42179C0F" w14:textId="77777777" w:rsidR="009F662C" w:rsidRPr="00EF521E" w:rsidRDefault="009F662C" w:rsidP="009F662C">
            <w:pPr>
              <w:pStyle w:val="ListParagraph"/>
              <w:numPr>
                <w:ilvl w:val="0"/>
                <w:numId w:val="199"/>
              </w:numPr>
              <w:jc w:val="both"/>
              <w:rPr>
                <w:rFonts w:cstheme="minorHAnsi"/>
                <w:szCs w:val="20"/>
                <w:lang w:eastAsia="en-IE"/>
              </w:rPr>
            </w:pPr>
            <w:r w:rsidRPr="00EF521E">
              <w:rPr>
                <w:rFonts w:cstheme="minorHAnsi"/>
                <w:b/>
                <w:szCs w:val="20"/>
              </w:rPr>
              <w:t>The Data Specialist’s Roadmap:</w:t>
            </w:r>
            <w:r w:rsidRPr="00EF521E">
              <w:rPr>
                <w:rFonts w:cstheme="minorHAnsi"/>
                <w:szCs w:val="20"/>
              </w:rPr>
              <w:t> For the analyst, the materiality assessment defines the entire technical scope of the project, determining exactly which data points must be active in the reporting database and dashboard.</w:t>
            </w:r>
          </w:p>
          <w:p w14:paraId="1ECAB8DA" w14:textId="04F47D63" w:rsidR="009F662C" w:rsidRPr="00EF521E" w:rsidRDefault="009F662C" w:rsidP="009F662C">
            <w:pPr>
              <w:rPr>
                <w:rFonts w:cstheme="minorHAnsi"/>
                <w:b/>
                <w:color w:val="00AC4E" w:themeColor="accent1"/>
                <w:szCs w:val="20"/>
                <w:lang w:eastAsia="en-IE"/>
              </w:rPr>
            </w:pPr>
          </w:p>
          <w:p w14:paraId="62224F05" w14:textId="77777777" w:rsidR="009F662C" w:rsidRPr="00EF521E" w:rsidRDefault="009F662C" w:rsidP="009F662C">
            <w:pPr>
              <w:rPr>
                <w:rFonts w:cstheme="minorHAnsi"/>
                <w:b/>
                <w:color w:val="00AC4E" w:themeColor="accent1"/>
                <w:szCs w:val="20"/>
              </w:rPr>
            </w:pPr>
            <w:r w:rsidRPr="00EF521E">
              <w:rPr>
                <w:rFonts w:cstheme="minorHAnsi"/>
                <w:b/>
                <w:color w:val="00AC4E" w:themeColor="accent1"/>
                <w:szCs w:val="20"/>
              </w:rPr>
              <w:t xml:space="preserve">Quick Check: </w:t>
            </w:r>
          </w:p>
          <w:p w14:paraId="593E6C20"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1.</w:t>
            </w:r>
            <w:r w:rsidRPr="00EF521E">
              <w:rPr>
                <w:rFonts w:cstheme="minorHAnsi"/>
                <w:b/>
                <w:color w:val="009889" w:themeColor="accent2"/>
                <w:szCs w:val="20"/>
              </w:rPr>
              <w:t xml:space="preserve"> </w:t>
            </w:r>
            <w:r w:rsidRPr="00EF521E">
              <w:rPr>
                <w:rFonts w:cstheme="minorHAnsi"/>
                <w:color w:val="009889" w:themeColor="accent2"/>
                <w:szCs w:val="20"/>
              </w:rPr>
              <w:t>Which EFRAG Step (A-D) involves defining the geographic and operational "System Boundaries" of the undertaking?</w:t>
            </w:r>
          </w:p>
          <w:p w14:paraId="4AC6E463" w14:textId="77777777" w:rsidR="009F662C" w:rsidRPr="00EF521E" w:rsidRDefault="009F662C" w:rsidP="009F662C">
            <w:pPr>
              <w:numPr>
                <w:ilvl w:val="0"/>
                <w:numId w:val="200"/>
              </w:numPr>
              <w:rPr>
                <w:rFonts w:cstheme="minorHAnsi"/>
                <w:szCs w:val="20"/>
                <w:lang w:eastAsia="en-IE"/>
              </w:rPr>
            </w:pPr>
            <w:r w:rsidRPr="00EF521E">
              <w:rPr>
                <w:rFonts w:cstheme="minorHAnsi"/>
                <w:szCs w:val="20"/>
              </w:rPr>
              <w:t>Step B: Identification</w:t>
            </w:r>
          </w:p>
          <w:p w14:paraId="4B347EDC" w14:textId="668CDBB6" w:rsidR="009F662C" w:rsidRPr="00EF521E" w:rsidRDefault="009F662C" w:rsidP="009F662C">
            <w:pPr>
              <w:numPr>
                <w:ilvl w:val="0"/>
                <w:numId w:val="200"/>
              </w:numPr>
              <w:rPr>
                <w:rFonts w:cstheme="minorHAnsi"/>
                <w:bCs/>
                <w:szCs w:val="20"/>
                <w:lang w:eastAsia="en-IE"/>
              </w:rPr>
            </w:pPr>
            <w:r w:rsidRPr="00EF521E">
              <w:rPr>
                <w:rFonts w:cstheme="minorHAnsi"/>
                <w:bCs/>
                <w:szCs w:val="20"/>
              </w:rPr>
              <w:t>Step A: Understanding the Context</w:t>
            </w:r>
          </w:p>
          <w:p w14:paraId="37F3900B" w14:textId="44D5C057" w:rsidR="009F662C" w:rsidRPr="00EF521E" w:rsidRDefault="009F662C" w:rsidP="009F662C">
            <w:pPr>
              <w:numPr>
                <w:ilvl w:val="0"/>
                <w:numId w:val="200"/>
              </w:numPr>
              <w:rPr>
                <w:rFonts w:cstheme="minorHAnsi"/>
                <w:szCs w:val="20"/>
                <w:lang w:eastAsia="en-IE"/>
              </w:rPr>
            </w:pPr>
            <w:r w:rsidRPr="00EF521E">
              <w:rPr>
                <w:rFonts w:cstheme="minorHAnsi"/>
                <w:szCs w:val="20"/>
              </w:rPr>
              <w:t>Step D: Reporting.</w:t>
            </w:r>
          </w:p>
          <w:p w14:paraId="6560C2DE" w14:textId="77777777" w:rsidR="009F662C" w:rsidRPr="00EF521E" w:rsidRDefault="009F662C" w:rsidP="009F662C">
            <w:pPr>
              <w:ind w:left="720"/>
              <w:rPr>
                <w:rFonts w:cstheme="minorHAnsi"/>
                <w:szCs w:val="20"/>
                <w:lang w:eastAsia="en-IE"/>
              </w:rPr>
            </w:pPr>
          </w:p>
          <w:p w14:paraId="15E9D2D6"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2. What are the three mandatory criteria used to score the "Severity" of a negative impact?</w:t>
            </w:r>
          </w:p>
          <w:p w14:paraId="6295B73F" w14:textId="77777777" w:rsidR="00B22513" w:rsidRPr="00EF521E" w:rsidRDefault="00B22513" w:rsidP="00B22513">
            <w:pPr>
              <w:numPr>
                <w:ilvl w:val="0"/>
                <w:numId w:val="201"/>
              </w:numPr>
              <w:rPr>
                <w:rFonts w:cstheme="minorHAnsi"/>
                <w:bCs/>
                <w:szCs w:val="20"/>
                <w:lang w:eastAsia="en-IE"/>
              </w:rPr>
            </w:pPr>
            <w:r w:rsidRPr="00EF521E">
              <w:rPr>
                <w:rFonts w:cstheme="minorHAnsi"/>
                <w:bCs/>
                <w:szCs w:val="20"/>
              </w:rPr>
              <w:t>Scale, Scope, and Irremediable character</w:t>
            </w:r>
          </w:p>
          <w:p w14:paraId="464A113E" w14:textId="77777777" w:rsidR="009F662C" w:rsidRPr="00EF521E" w:rsidRDefault="009F662C" w:rsidP="009F662C">
            <w:pPr>
              <w:numPr>
                <w:ilvl w:val="0"/>
                <w:numId w:val="201"/>
              </w:numPr>
              <w:rPr>
                <w:rFonts w:cstheme="minorHAnsi"/>
                <w:bCs/>
                <w:szCs w:val="20"/>
                <w:lang w:eastAsia="en-IE"/>
              </w:rPr>
            </w:pPr>
            <w:r w:rsidRPr="00EF521E">
              <w:rPr>
                <w:rFonts w:cstheme="minorHAnsi"/>
                <w:bCs/>
                <w:szCs w:val="20"/>
              </w:rPr>
              <w:t>Cost, Time, and Reputation</w:t>
            </w:r>
          </w:p>
          <w:p w14:paraId="476C02E4" w14:textId="72CE8899" w:rsidR="009F662C" w:rsidRPr="00EF521E" w:rsidRDefault="009F662C" w:rsidP="009F662C">
            <w:pPr>
              <w:numPr>
                <w:ilvl w:val="0"/>
                <w:numId w:val="201"/>
              </w:numPr>
              <w:rPr>
                <w:rFonts w:cstheme="minorHAnsi"/>
                <w:szCs w:val="20"/>
                <w:lang w:eastAsia="en-IE"/>
              </w:rPr>
            </w:pPr>
            <w:r w:rsidRPr="00EF521E">
              <w:rPr>
                <w:rFonts w:cstheme="minorHAnsi"/>
                <w:szCs w:val="20"/>
              </w:rPr>
              <w:t>Likelihood, Magnitude, and Frequency.</w:t>
            </w:r>
          </w:p>
          <w:p w14:paraId="608FAD71" w14:textId="77777777" w:rsidR="009F662C" w:rsidRPr="00EF521E" w:rsidRDefault="009F662C" w:rsidP="009F662C">
            <w:pPr>
              <w:ind w:left="720"/>
              <w:rPr>
                <w:rFonts w:cstheme="minorHAnsi"/>
                <w:szCs w:val="20"/>
                <w:lang w:eastAsia="en-IE"/>
              </w:rPr>
            </w:pPr>
          </w:p>
          <w:p w14:paraId="15B7BD2C" w14:textId="77777777" w:rsidR="009F662C" w:rsidRPr="00EF521E" w:rsidRDefault="009F662C" w:rsidP="009F662C">
            <w:pPr>
              <w:rPr>
                <w:rFonts w:cstheme="minorHAnsi"/>
                <w:color w:val="009889" w:themeColor="accent2"/>
                <w:szCs w:val="20"/>
                <w:lang w:eastAsia="en-IE"/>
              </w:rPr>
            </w:pPr>
            <w:r w:rsidRPr="00EF521E">
              <w:rPr>
                <w:rFonts w:cstheme="minorHAnsi"/>
                <w:color w:val="009889" w:themeColor="accent2"/>
                <w:szCs w:val="20"/>
              </w:rPr>
              <w:t>3. If a topic is found to be non-material, what is the technical outcome for the reporting dashboard?</w:t>
            </w:r>
          </w:p>
          <w:p w14:paraId="44E0FA61" w14:textId="77777777" w:rsidR="009F662C" w:rsidRPr="00EF521E" w:rsidRDefault="009F662C" w:rsidP="009F662C">
            <w:pPr>
              <w:numPr>
                <w:ilvl w:val="0"/>
                <w:numId w:val="202"/>
              </w:numPr>
              <w:rPr>
                <w:rFonts w:cstheme="minorHAnsi"/>
                <w:szCs w:val="20"/>
                <w:lang w:eastAsia="en-IE"/>
              </w:rPr>
            </w:pPr>
            <w:r w:rsidRPr="00EF521E">
              <w:rPr>
                <w:rFonts w:cstheme="minorHAnsi"/>
                <w:szCs w:val="20"/>
              </w:rPr>
              <w:t>The metrics are reported anyway "just in case."</w:t>
            </w:r>
          </w:p>
          <w:p w14:paraId="1A284CCA" w14:textId="77777777" w:rsidR="00B22513" w:rsidRPr="00EF521E" w:rsidRDefault="009F662C" w:rsidP="00B22513">
            <w:pPr>
              <w:numPr>
                <w:ilvl w:val="0"/>
                <w:numId w:val="202"/>
              </w:numPr>
              <w:rPr>
                <w:rFonts w:cstheme="minorHAnsi"/>
                <w:b/>
                <w:bCs/>
                <w:szCs w:val="20"/>
                <w:lang w:eastAsia="en-IE"/>
              </w:rPr>
            </w:pPr>
            <w:r w:rsidRPr="00EF521E">
              <w:rPr>
                <w:rFonts w:cstheme="minorHAnsi"/>
                <w:szCs w:val="20"/>
              </w:rPr>
              <w:t>The data is reported but hidden in a secret file.</w:t>
            </w:r>
            <w:r w:rsidR="00B22513" w:rsidRPr="00EF521E">
              <w:rPr>
                <w:rFonts w:cstheme="minorHAnsi"/>
                <w:b/>
                <w:szCs w:val="20"/>
              </w:rPr>
              <w:t xml:space="preserve"> </w:t>
            </w:r>
          </w:p>
          <w:p w14:paraId="4F46D931" w14:textId="25752565" w:rsidR="00B22513" w:rsidRPr="00EF521E" w:rsidRDefault="00B22513" w:rsidP="00B22513">
            <w:pPr>
              <w:numPr>
                <w:ilvl w:val="0"/>
                <w:numId w:val="202"/>
              </w:numPr>
              <w:rPr>
                <w:rFonts w:cstheme="minorHAnsi"/>
                <w:bCs/>
                <w:szCs w:val="20"/>
                <w:lang w:eastAsia="en-IE"/>
              </w:rPr>
            </w:pPr>
            <w:r w:rsidRPr="00EF521E">
              <w:rPr>
                <w:rFonts w:cstheme="minorHAnsi"/>
                <w:bCs/>
                <w:szCs w:val="20"/>
              </w:rPr>
              <w:t>The related metrics and data points are omitted from the report. </w:t>
            </w:r>
          </w:p>
          <w:p w14:paraId="38B448E3" w14:textId="6C06FCC0" w:rsidR="009F662C" w:rsidRPr="00EF521E" w:rsidRDefault="009F662C" w:rsidP="00B22513">
            <w:pPr>
              <w:ind w:left="360"/>
              <w:rPr>
                <w:rFonts w:cstheme="minorHAnsi"/>
                <w:szCs w:val="20"/>
                <w:lang w:eastAsia="en-IE"/>
              </w:rPr>
            </w:pPr>
          </w:p>
          <w:p w14:paraId="775CF1EC" w14:textId="77777777" w:rsidR="009F662C" w:rsidRPr="00EF521E" w:rsidRDefault="009F662C" w:rsidP="009F662C">
            <w:pPr>
              <w:ind w:left="720"/>
              <w:rPr>
                <w:rFonts w:cstheme="minorHAnsi"/>
                <w:szCs w:val="20"/>
                <w:lang w:eastAsia="en-IE"/>
              </w:rPr>
            </w:pPr>
          </w:p>
          <w:p w14:paraId="43B9D32F" w14:textId="649540CE" w:rsidR="009F662C" w:rsidRPr="00EF521E" w:rsidRDefault="009F662C" w:rsidP="009F662C">
            <w:pPr>
              <w:rPr>
                <w:rFonts w:cstheme="minorHAnsi"/>
                <w:szCs w:val="20"/>
                <w:lang w:eastAsia="en-IE"/>
              </w:rPr>
            </w:pPr>
            <w:r w:rsidRPr="00EF521E">
              <w:rPr>
                <w:rFonts w:cstheme="minorHAnsi"/>
                <w:bCs/>
                <w:color w:val="009889" w:themeColor="accent2"/>
                <w:szCs w:val="20"/>
              </w:rPr>
              <w:t>4. Reflection Prompt:</w:t>
            </w:r>
            <w:r w:rsidRPr="00EF521E">
              <w:rPr>
                <w:rFonts w:cstheme="minorHAnsi"/>
                <w:szCs w:val="20"/>
              </w:rPr>
              <w:br/>
              <w:t>Explain why a data analyst cannot build an audit-ready dashboard without first knowing the results of the </w:t>
            </w:r>
            <w:r w:rsidRPr="00EF521E">
              <w:rPr>
                <w:rFonts w:cstheme="minorHAnsi"/>
                <w:b/>
                <w:szCs w:val="20"/>
              </w:rPr>
              <w:t>Double Materiality Assessment</w:t>
            </w:r>
            <w:r w:rsidRPr="00EF521E">
              <w:rPr>
                <w:rFonts w:cstheme="minorHAnsi"/>
                <w:szCs w:val="20"/>
              </w:rPr>
              <w:t> and the approved </w:t>
            </w:r>
            <w:r w:rsidRPr="00EF521E">
              <w:rPr>
                <w:rFonts w:cstheme="minorHAnsi"/>
                <w:b/>
                <w:szCs w:val="20"/>
              </w:rPr>
              <w:t>Reporting Threshold</w:t>
            </w:r>
            <w:r w:rsidRPr="00EF521E">
              <w:rPr>
                <w:rFonts w:cstheme="minorHAnsi"/>
                <w:szCs w:val="20"/>
              </w:rPr>
              <w:t>.</w:t>
            </w:r>
          </w:p>
          <w:p w14:paraId="3F75CBB1" w14:textId="77777777" w:rsidR="009F662C" w:rsidRPr="00EF521E" w:rsidRDefault="009F662C" w:rsidP="009F662C">
            <w:pPr>
              <w:rPr>
                <w:rFonts w:cstheme="minorHAnsi"/>
                <w:szCs w:val="20"/>
              </w:rPr>
            </w:pPr>
          </w:p>
          <w:p w14:paraId="17A78051" w14:textId="680FEAB1" w:rsidR="00B22513" w:rsidRPr="00AB7746" w:rsidRDefault="00B22513" w:rsidP="009F662C">
            <w:pPr>
              <w:rPr>
                <w:rFonts w:cstheme="minorHAnsi"/>
                <w:i/>
                <w:iCs/>
                <w:szCs w:val="20"/>
              </w:rPr>
            </w:pPr>
            <w:r w:rsidRPr="00AB7746">
              <w:rPr>
                <w:rFonts w:cstheme="minorHAnsi"/>
                <w:i/>
                <w:iCs/>
                <w:szCs w:val="20"/>
              </w:rPr>
              <w:t xml:space="preserve">Answer key: 1. b), 2. a), 3. c), </w:t>
            </w:r>
          </w:p>
        </w:tc>
      </w:tr>
    </w:tbl>
    <w:p w14:paraId="1FAF69B2" w14:textId="77777777" w:rsidR="00BB1CD7" w:rsidRDefault="00BB1CD7" w:rsidP="00413340">
      <w:pPr>
        <w:spacing w:line="240" w:lineRule="auto"/>
      </w:pPr>
    </w:p>
    <w:p w14:paraId="570DC9DF" w14:textId="77777777" w:rsidR="00AB7746" w:rsidRDefault="00AB7746" w:rsidP="00413340">
      <w:pPr>
        <w:spacing w:line="240" w:lineRule="auto"/>
      </w:pPr>
    </w:p>
    <w:p w14:paraId="564F0D3F" w14:textId="77777777" w:rsidR="00AB7746" w:rsidRDefault="00AB7746" w:rsidP="00413340">
      <w:pPr>
        <w:spacing w:line="240" w:lineRule="auto"/>
      </w:pPr>
    </w:p>
    <w:p w14:paraId="64F7EA6E" w14:textId="77777777" w:rsidR="00AB7746" w:rsidRDefault="00AB7746" w:rsidP="00413340">
      <w:pPr>
        <w:spacing w:line="240" w:lineRule="auto"/>
      </w:pPr>
    </w:p>
    <w:p w14:paraId="5554EDD1" w14:textId="77777777" w:rsidR="00AB7746" w:rsidRDefault="00AB7746" w:rsidP="00413340">
      <w:pPr>
        <w:spacing w:line="240" w:lineRule="auto"/>
      </w:pPr>
    </w:p>
    <w:p w14:paraId="78EAB62D" w14:textId="77777777" w:rsidR="00AB7746" w:rsidRDefault="00AB7746" w:rsidP="00413340">
      <w:pPr>
        <w:spacing w:line="240" w:lineRule="auto"/>
      </w:pPr>
    </w:p>
    <w:p w14:paraId="2ED2347C" w14:textId="77777777" w:rsidR="00AB7746" w:rsidRDefault="00AB7746" w:rsidP="00413340">
      <w:pPr>
        <w:spacing w:line="240" w:lineRule="auto"/>
      </w:pPr>
    </w:p>
    <w:p w14:paraId="1D46569A" w14:textId="77777777" w:rsidR="00AB7746" w:rsidRDefault="00AB7746" w:rsidP="00413340">
      <w:pPr>
        <w:spacing w:line="240" w:lineRule="auto"/>
      </w:pPr>
    </w:p>
    <w:p w14:paraId="50BE6DBC" w14:textId="77777777" w:rsidR="00AB7746" w:rsidRPr="00EF521E" w:rsidRDefault="00AB7746" w:rsidP="00413340">
      <w:pPr>
        <w:spacing w:line="240" w:lineRule="auto"/>
      </w:pPr>
    </w:p>
    <w:tbl>
      <w:tblPr>
        <w:tblStyle w:val="TableGrid"/>
        <w:tblW w:w="0" w:type="auto"/>
        <w:tblLook w:val="04A0" w:firstRow="1" w:lastRow="0" w:firstColumn="1" w:lastColumn="0" w:noHBand="0" w:noVBand="1"/>
      </w:tblPr>
      <w:tblGrid>
        <w:gridCol w:w="9628"/>
      </w:tblGrid>
      <w:tr w:rsidR="009F662C" w:rsidRPr="00EF521E" w14:paraId="5EDE550F" w14:textId="77777777" w:rsidTr="00515876">
        <w:tc>
          <w:tcPr>
            <w:tcW w:w="9628" w:type="dxa"/>
          </w:tcPr>
          <w:p w14:paraId="763B5FFD" w14:textId="6429033C" w:rsidR="009F662C" w:rsidRPr="00EF521E" w:rsidRDefault="009F662C" w:rsidP="00515876">
            <w:pPr>
              <w:pStyle w:val="Heading2"/>
              <w:numPr>
                <w:ilvl w:val="0"/>
                <w:numId w:val="0"/>
              </w:numPr>
              <w:spacing w:before="0"/>
              <w:rPr>
                <w:rFonts w:cstheme="minorHAnsi"/>
                <w:b/>
                <w:bCs/>
                <w:szCs w:val="40"/>
              </w:rPr>
            </w:pPr>
            <w:bookmarkStart w:id="19" w:name="_Toc227485163"/>
            <w:r w:rsidRPr="00EF521E">
              <w:rPr>
                <w:rFonts w:cstheme="minorHAnsi"/>
                <w:b/>
                <w:bCs/>
                <w:szCs w:val="40"/>
              </w:rPr>
              <w:lastRenderedPageBreak/>
              <w:t>Topic 1.4:  Reporting Architecture and Sustainability Data Flows</w:t>
            </w:r>
            <w:bookmarkEnd w:id="19"/>
          </w:p>
        </w:tc>
      </w:tr>
      <w:tr w:rsidR="009F662C" w:rsidRPr="00EF521E" w14:paraId="3C649A7B" w14:textId="77777777" w:rsidTr="00515876">
        <w:tc>
          <w:tcPr>
            <w:tcW w:w="9628" w:type="dxa"/>
            <w:shd w:val="clear" w:color="auto" w:fill="D9D9D9" w:themeFill="background1" w:themeFillShade="D9"/>
          </w:tcPr>
          <w:p w14:paraId="12720CE0" w14:textId="77777777" w:rsidR="009F662C" w:rsidRPr="00EF521E" w:rsidRDefault="009F662C" w:rsidP="00515876">
            <w:pPr>
              <w:rPr>
                <w:rFonts w:cstheme="minorHAnsi"/>
                <w:b/>
                <w:szCs w:val="20"/>
              </w:rPr>
            </w:pPr>
            <w:r w:rsidRPr="00EF521E">
              <w:rPr>
                <w:rFonts w:cstheme="minorHAnsi"/>
                <w:b/>
                <w:szCs w:val="20"/>
              </w:rPr>
              <w:t>Short introduction:</w:t>
            </w:r>
          </w:p>
        </w:tc>
      </w:tr>
      <w:tr w:rsidR="009F662C" w:rsidRPr="00EF521E" w14:paraId="32DCA155" w14:textId="77777777" w:rsidTr="00515876">
        <w:tc>
          <w:tcPr>
            <w:tcW w:w="9628" w:type="dxa"/>
          </w:tcPr>
          <w:p w14:paraId="7A8747DB" w14:textId="7ADE458C" w:rsidR="009F662C" w:rsidRPr="00EF521E" w:rsidRDefault="009F662C" w:rsidP="00515876">
            <w:pPr>
              <w:jc w:val="both"/>
              <w:rPr>
                <w:rFonts w:cstheme="minorHAnsi"/>
                <w:szCs w:val="20"/>
              </w:rPr>
            </w:pPr>
            <w:r w:rsidRPr="00EF521E">
              <w:rPr>
                <w:szCs w:val="20"/>
              </w:rPr>
              <w:t xml:space="preserve"> The transition from voluntary to mandatory reporting requires a shift from manual spreadsheets to robust, automated, and governed data pipelines. In this topic, we explore the "Digital Spine" of reporting. You will learn how to architect a system that ensures Data Lineage, implement internal controls through specific roles like the Data Validator, and meet the technical digital requirements set by ESMA.</w:t>
            </w:r>
          </w:p>
        </w:tc>
      </w:tr>
      <w:tr w:rsidR="009F662C" w:rsidRPr="00EF521E" w14:paraId="300BD450" w14:textId="77777777" w:rsidTr="00515876">
        <w:tc>
          <w:tcPr>
            <w:tcW w:w="9628" w:type="dxa"/>
            <w:shd w:val="clear" w:color="auto" w:fill="D9D9D9" w:themeFill="background1" w:themeFillShade="D9"/>
          </w:tcPr>
          <w:p w14:paraId="55260E9F" w14:textId="77777777" w:rsidR="009F662C" w:rsidRPr="00EF521E" w:rsidRDefault="009F662C" w:rsidP="00515876">
            <w:pPr>
              <w:rPr>
                <w:rFonts w:cstheme="minorHAnsi"/>
                <w:b/>
                <w:szCs w:val="20"/>
              </w:rPr>
            </w:pPr>
            <w:r w:rsidRPr="00EF521E">
              <w:rPr>
                <w:rFonts w:cstheme="minorHAnsi"/>
                <w:b/>
                <w:szCs w:val="20"/>
              </w:rPr>
              <w:t xml:space="preserve">Theory &amp; Knowledge: </w:t>
            </w:r>
          </w:p>
        </w:tc>
      </w:tr>
      <w:tr w:rsidR="009F662C" w:rsidRPr="00EF521E" w14:paraId="7327CD36" w14:textId="77777777" w:rsidTr="00515876">
        <w:trPr>
          <w:trHeight w:val="2142"/>
        </w:trPr>
        <w:tc>
          <w:tcPr>
            <w:tcW w:w="9628" w:type="dxa"/>
          </w:tcPr>
          <w:p w14:paraId="2EA11319" w14:textId="48441979" w:rsidR="009F662C" w:rsidRPr="00EF521E" w:rsidRDefault="009F662C" w:rsidP="009F662C">
            <w:pPr>
              <w:rPr>
                <w:b/>
                <w:color w:val="009889" w:themeColor="accent2"/>
                <w:sz w:val="22"/>
                <w:szCs w:val="22"/>
              </w:rPr>
            </w:pPr>
            <w:r w:rsidRPr="00EF521E">
              <w:rPr>
                <w:b/>
                <w:color w:val="009889" w:themeColor="accent2"/>
                <w:sz w:val="22"/>
                <w:szCs w:val="22"/>
              </w:rPr>
              <w:t>The 3-Tier Architecture of Sustainability Information</w:t>
            </w:r>
          </w:p>
          <w:p w14:paraId="38310414" w14:textId="77777777" w:rsidR="009F662C" w:rsidRPr="00EF521E" w:rsidRDefault="009F662C" w:rsidP="009F662C">
            <w:pPr>
              <w:rPr>
                <w:rFonts w:cstheme="minorHAnsi"/>
                <w:b/>
                <w:color w:val="009889" w:themeColor="accent2"/>
                <w:sz w:val="24"/>
                <w:szCs w:val="24"/>
              </w:rPr>
            </w:pPr>
          </w:p>
          <w:p w14:paraId="74666CA9" w14:textId="77777777" w:rsidR="009F662C" w:rsidRPr="00EF521E" w:rsidRDefault="009F662C" w:rsidP="009F662C">
            <w:pPr>
              <w:jc w:val="both"/>
            </w:pPr>
            <w:r w:rsidRPr="00EF521E">
              <w:t>To ensure "financial-grade" data, an undertaking must move beyond disconnected Excel files. A professional reporting architecture consists of three governed layers:</w:t>
            </w:r>
          </w:p>
          <w:p w14:paraId="186393A5" w14:textId="77777777" w:rsidR="009F662C" w:rsidRPr="00EF521E" w:rsidRDefault="009F662C" w:rsidP="009F662C">
            <w:pPr>
              <w:numPr>
                <w:ilvl w:val="0"/>
                <w:numId w:val="211"/>
              </w:numPr>
              <w:jc w:val="both"/>
            </w:pPr>
            <w:r w:rsidRPr="00EF521E">
              <w:rPr>
                <w:b/>
              </w:rPr>
              <w:t>The Source Layer:</w:t>
            </w:r>
            <w:r w:rsidRPr="00EF521E">
              <w:t xml:space="preserve"> Where raw data is born (e.g., ERP for supply chain, HRIS for social metrics, IoT sensors for energy). Every source must have a </w:t>
            </w:r>
            <w:r w:rsidRPr="00EF521E">
              <w:rPr>
                <w:b/>
                <w:bCs/>
              </w:rPr>
              <w:t>designated Data Owner</w:t>
            </w:r>
            <w:r w:rsidRPr="00EF521E">
              <w:t>.</w:t>
            </w:r>
          </w:p>
          <w:p w14:paraId="3F23EB58" w14:textId="77777777" w:rsidR="009F662C" w:rsidRPr="00EF521E" w:rsidRDefault="009F662C" w:rsidP="009F662C">
            <w:pPr>
              <w:numPr>
                <w:ilvl w:val="0"/>
                <w:numId w:val="211"/>
              </w:numPr>
              <w:jc w:val="both"/>
            </w:pPr>
            <w:r w:rsidRPr="00EF521E">
              <w:rPr>
                <w:b/>
              </w:rPr>
              <w:t>The Integration &amp; Validation Layer:</w:t>
            </w:r>
            <w:r w:rsidRPr="00EF521E">
              <w:t> A central "Single Source of Truth" where data is cleaned and normalized. Here, the </w:t>
            </w:r>
            <w:r w:rsidRPr="00EF521E">
              <w:rPr>
                <w:bCs/>
              </w:rPr>
              <w:t>Data Validator performs</w:t>
            </w:r>
            <w:r w:rsidRPr="00EF521E">
              <w:t xml:space="preserve"> checks to ensure the raw data matches the source (e.g., utility bills) before consolidation.</w:t>
            </w:r>
          </w:p>
          <w:p w14:paraId="600876F8" w14:textId="77777777" w:rsidR="009F662C" w:rsidRPr="00EF521E" w:rsidRDefault="009F662C" w:rsidP="009F662C">
            <w:pPr>
              <w:numPr>
                <w:ilvl w:val="0"/>
                <w:numId w:val="211"/>
              </w:numPr>
              <w:jc w:val="both"/>
            </w:pPr>
            <w:r w:rsidRPr="00EF521E">
              <w:rPr>
                <w:b/>
              </w:rPr>
              <w:t>The Reporting Layer:</w:t>
            </w:r>
            <w:r w:rsidRPr="00EF521E">
              <w:t> The final output where data is visualized and prepared for </w:t>
            </w:r>
            <w:r w:rsidRPr="00EF521E">
              <w:rPr>
                <w:bCs/>
              </w:rPr>
              <w:t>Assurance. The ESG Controller oversees this layer to ensure all disclosures align with the Data Dictionary.</w:t>
            </w:r>
          </w:p>
          <w:p w14:paraId="3FC8E66E" w14:textId="77777777" w:rsidR="009F662C" w:rsidRPr="00EF521E" w:rsidRDefault="009F662C" w:rsidP="009F662C"/>
          <w:p w14:paraId="193CD7BD" w14:textId="77777777" w:rsidR="009F662C" w:rsidRPr="00EF521E" w:rsidRDefault="009F662C" w:rsidP="009F662C">
            <w:pPr>
              <w:keepNext/>
              <w:jc w:val="center"/>
            </w:pPr>
            <w:r w:rsidRPr="00EF521E">
              <w:rPr>
                <w:noProof/>
              </w:rPr>
              <w:drawing>
                <wp:inline distT="0" distB="0" distL="0" distR="0" wp14:anchorId="342E8669" wp14:editId="77E740FC">
                  <wp:extent cx="5968712" cy="2926715"/>
                  <wp:effectExtent l="0" t="0" r="0" b="698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pic:cNvPicPr>
                        </pic:nvPicPr>
                        <pic:blipFill>
                          <a:blip r:embed="rId43"/>
                          <a:srcRect t="7016" b="3150"/>
                          <a:stretch/>
                        </pic:blipFill>
                        <pic:spPr bwMode="auto">
                          <a:xfrm>
                            <a:off x="0" y="0"/>
                            <a:ext cx="5973006" cy="2928821"/>
                          </a:xfrm>
                          <a:prstGeom prst="rect">
                            <a:avLst/>
                          </a:prstGeom>
                          <a:noFill/>
                          <a:ln>
                            <a:noFill/>
                          </a:ln>
                        </pic:spPr>
                      </pic:pic>
                    </a:graphicData>
                  </a:graphic>
                </wp:inline>
              </w:drawing>
            </w:r>
          </w:p>
          <w:p w14:paraId="4E2D35F7" w14:textId="3FA6F936" w:rsidR="009F662C" w:rsidRPr="00EF521E" w:rsidRDefault="009F662C" w:rsidP="009F662C">
            <w:pPr>
              <w:pStyle w:val="Caption"/>
              <w:jc w:val="center"/>
              <w:rPr>
                <w:b w:val="0"/>
                <w:bCs w:val="0"/>
              </w:rPr>
            </w:pPr>
            <w:bookmarkStart w:id="20" w:name="_Toc227486384"/>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6</w:t>
            </w:r>
            <w:r w:rsidRPr="00EF521E">
              <w:rPr>
                <w:b w:val="0"/>
                <w:bCs w:val="0"/>
              </w:rPr>
              <w:fldChar w:fldCharType="end"/>
            </w:r>
            <w:r w:rsidRPr="00EF521E">
              <w:rPr>
                <w:b w:val="0"/>
                <w:bCs w:val="0"/>
              </w:rPr>
              <w:t>. The Three-Tier Architecture of Sustainability Information Systems (AI generated)</w:t>
            </w:r>
            <w:bookmarkEnd w:id="20"/>
          </w:p>
          <w:p w14:paraId="5FAC18C0" w14:textId="77777777" w:rsidR="009F662C" w:rsidRPr="00EF521E" w:rsidRDefault="009F662C" w:rsidP="009F662C">
            <w:pPr>
              <w:jc w:val="both"/>
            </w:pPr>
          </w:p>
          <w:p w14:paraId="377C296F" w14:textId="0F5803BD" w:rsidR="009F662C" w:rsidRDefault="009F662C" w:rsidP="009F662C">
            <w:pPr>
              <w:jc w:val="both"/>
            </w:pPr>
            <w:r w:rsidRPr="00EF521E">
              <w:t>The image above shows a layered architecture with three levels: data sources at the bottom (e.g., data factories, IT infrastructure, corporate systems, and stakeholders), integration and processing in the middle (including aggregation, standardization, and analysis), and reporting and visualization at the top (dashboards and sustainability reports). It illustrates how different types of sustainability data flow through the system to produce insights and reports.</w:t>
            </w:r>
          </w:p>
          <w:p w14:paraId="75BB9B5B" w14:textId="77777777" w:rsidR="00AB7746" w:rsidRPr="00EF521E" w:rsidRDefault="00AB7746" w:rsidP="009F662C">
            <w:pPr>
              <w:jc w:val="both"/>
            </w:pPr>
          </w:p>
          <w:p w14:paraId="5370B669" w14:textId="77777777" w:rsidR="009F662C" w:rsidRPr="00EF521E" w:rsidRDefault="009F662C" w:rsidP="009F662C">
            <w:pPr>
              <w:rPr>
                <w:i/>
                <w:iCs/>
              </w:rPr>
            </w:pPr>
          </w:p>
          <w:p w14:paraId="314E65F6" w14:textId="1946B23B" w:rsidR="009F662C" w:rsidRPr="00EF521E" w:rsidRDefault="009F662C" w:rsidP="009F662C">
            <w:pPr>
              <w:rPr>
                <w:b/>
                <w:color w:val="009889" w:themeColor="accent2"/>
                <w:sz w:val="22"/>
                <w:szCs w:val="22"/>
              </w:rPr>
            </w:pPr>
            <w:r w:rsidRPr="00EF521E">
              <w:rPr>
                <w:b/>
                <w:color w:val="009889" w:themeColor="accent2"/>
                <w:sz w:val="22"/>
                <w:szCs w:val="22"/>
              </w:rPr>
              <w:lastRenderedPageBreak/>
              <w:t>Operationalizing Data: The Data Dictionary and Metadata</w:t>
            </w:r>
          </w:p>
          <w:p w14:paraId="27AA51A8" w14:textId="77777777" w:rsidR="009F662C" w:rsidRPr="00EF521E" w:rsidRDefault="009F662C" w:rsidP="00E661A9">
            <w:pPr>
              <w:jc w:val="both"/>
            </w:pPr>
            <w:r w:rsidRPr="00EF521E">
              <w:t>A metric is not useful for decision-making unless its construction is transparent. Every material KPI must be documented in a </w:t>
            </w:r>
            <w:r w:rsidRPr="00EF521E">
              <w:rPr>
                <w:b/>
              </w:rPr>
              <w:t>Data Dictionary</w:t>
            </w:r>
            <w:r w:rsidRPr="00EF521E">
              <w:t> using specific </w:t>
            </w:r>
            <w:r w:rsidRPr="00EF521E">
              <w:rPr>
                <w:b/>
              </w:rPr>
              <w:t>Metadata</w:t>
            </w:r>
            <w:r w:rsidRPr="00EF521E">
              <w:t> fields:</w:t>
            </w:r>
          </w:p>
          <w:p w14:paraId="4C0B51DA" w14:textId="77777777" w:rsidR="009F662C" w:rsidRPr="00EF521E" w:rsidRDefault="009F662C" w:rsidP="00E661A9">
            <w:pPr>
              <w:numPr>
                <w:ilvl w:val="0"/>
                <w:numId w:val="212"/>
              </w:numPr>
              <w:jc w:val="both"/>
            </w:pPr>
            <w:r w:rsidRPr="00EF521E">
              <w:rPr>
                <w:b/>
              </w:rPr>
              <w:t>Metric Definition &amp; Calculation Logic:</w:t>
            </w:r>
            <w:r w:rsidRPr="00EF521E">
              <w:t> Precise description and the mathematical formula (e.g., Intensity = Absolute Impact / Revenue).</w:t>
            </w:r>
          </w:p>
          <w:p w14:paraId="694FFE65" w14:textId="77777777" w:rsidR="009F662C" w:rsidRPr="00EF521E" w:rsidRDefault="009F662C" w:rsidP="00E661A9">
            <w:pPr>
              <w:numPr>
                <w:ilvl w:val="0"/>
                <w:numId w:val="212"/>
              </w:numPr>
              <w:jc w:val="both"/>
            </w:pPr>
            <w:r w:rsidRPr="00EF521E">
              <w:rPr>
                <w:b/>
              </w:rPr>
              <w:t>System Boundaries:</w:t>
            </w:r>
            <w:r w:rsidRPr="00EF521E">
              <w:t> Definition of which subsidiaries or sites are included to ensure consistency.</w:t>
            </w:r>
          </w:p>
          <w:p w14:paraId="3CDF5F9A" w14:textId="77777777" w:rsidR="009F662C" w:rsidRPr="00EF521E" w:rsidRDefault="009F662C" w:rsidP="00E661A9">
            <w:pPr>
              <w:numPr>
                <w:ilvl w:val="0"/>
                <w:numId w:val="212"/>
              </w:numPr>
              <w:jc w:val="both"/>
            </w:pPr>
            <w:r w:rsidRPr="00EF521E">
              <w:rPr>
                <w:b/>
              </w:rPr>
              <w:t>Data Collection Template Logic:</w:t>
            </w:r>
            <w:r w:rsidRPr="00EF521E">
              <w:t> Digital templates must require Data Owners to provide both the numerical value and the supporting documentation (audit trail) for every entry.</w:t>
            </w:r>
          </w:p>
          <w:p w14:paraId="6FCFC9F4" w14:textId="77777777" w:rsidR="00695ADD" w:rsidRPr="00EF521E" w:rsidRDefault="00695ADD" w:rsidP="00E661A9">
            <w:pPr>
              <w:jc w:val="both"/>
              <w:rPr>
                <w:b/>
              </w:rPr>
            </w:pPr>
          </w:p>
          <w:p w14:paraId="636EAF3B" w14:textId="11838297" w:rsidR="009F662C" w:rsidRPr="00EF521E" w:rsidRDefault="009F662C" w:rsidP="00E661A9">
            <w:pPr>
              <w:jc w:val="both"/>
              <w:rPr>
                <w:b/>
                <w:color w:val="009889" w:themeColor="accent2"/>
                <w:sz w:val="22"/>
                <w:szCs w:val="22"/>
              </w:rPr>
            </w:pPr>
            <w:r w:rsidRPr="00EF521E">
              <w:rPr>
                <w:b/>
                <w:color w:val="009889" w:themeColor="accent2"/>
                <w:sz w:val="22"/>
                <w:szCs w:val="22"/>
              </w:rPr>
              <w:t>Internal Control Environment: Roles in the Data Flow</w:t>
            </w:r>
          </w:p>
          <w:p w14:paraId="284556EE" w14:textId="77777777" w:rsidR="009F662C" w:rsidRPr="00EF521E" w:rsidRDefault="009F662C" w:rsidP="00E661A9">
            <w:pPr>
              <w:jc w:val="both"/>
            </w:pPr>
            <w:r w:rsidRPr="00EF521E">
              <w:t>Reliability is guaranteed through a formal hierarchy of roles, ensuring the "Digital ESG Governance" described in recent frameworks (MDPI, 2025):</w:t>
            </w:r>
          </w:p>
          <w:p w14:paraId="0724C2E7" w14:textId="77777777" w:rsidR="009F662C" w:rsidRPr="00EF521E" w:rsidRDefault="009F662C" w:rsidP="00E661A9">
            <w:pPr>
              <w:numPr>
                <w:ilvl w:val="0"/>
                <w:numId w:val="213"/>
              </w:numPr>
              <w:jc w:val="both"/>
            </w:pPr>
            <w:r w:rsidRPr="00EF521E">
              <w:rPr>
                <w:b/>
              </w:rPr>
              <w:t>Data Owner (Operational):</w:t>
            </w:r>
            <w:r w:rsidRPr="00EF521E">
              <w:t> Accountable for the accuracy of raw data at the point of origin.</w:t>
            </w:r>
          </w:p>
          <w:p w14:paraId="2855D49D" w14:textId="77777777" w:rsidR="009F662C" w:rsidRPr="00EF521E" w:rsidRDefault="009F662C" w:rsidP="00E661A9">
            <w:pPr>
              <w:numPr>
                <w:ilvl w:val="0"/>
                <w:numId w:val="213"/>
              </w:numPr>
              <w:jc w:val="both"/>
            </w:pPr>
            <w:r w:rsidRPr="00EF521E">
              <w:rPr>
                <w:b/>
              </w:rPr>
              <w:t>Data Validator (Control):</w:t>
            </w:r>
            <w:r w:rsidRPr="00EF521E">
              <w:t> An independent role that verifies the integrity of the data before it enters the reporting layer.</w:t>
            </w:r>
          </w:p>
          <w:p w14:paraId="7FCA4374" w14:textId="77777777" w:rsidR="009F662C" w:rsidRPr="00EF521E" w:rsidRDefault="009F662C" w:rsidP="00E661A9">
            <w:pPr>
              <w:numPr>
                <w:ilvl w:val="0"/>
                <w:numId w:val="213"/>
              </w:numPr>
              <w:jc w:val="both"/>
            </w:pPr>
            <w:r w:rsidRPr="00EF521E">
              <w:rPr>
                <w:b/>
              </w:rPr>
              <w:t>ESG Controller (Management):</w:t>
            </w:r>
            <w:r w:rsidRPr="00EF521E">
              <w:t> Manages the overall reporting strategy and ensures that digital disclosures meet the ESRS quality characteristics (Relevance, Verifiability, etc.).</w:t>
            </w:r>
          </w:p>
          <w:p w14:paraId="1CAAA584" w14:textId="77777777" w:rsidR="009F662C" w:rsidRPr="00EF521E" w:rsidRDefault="009F662C" w:rsidP="009F662C">
            <w:pPr>
              <w:rPr>
                <w:b/>
                <w:color w:val="00AC4D"/>
              </w:rPr>
            </w:pPr>
            <w:r w:rsidRPr="00EF521E">
              <w:rPr>
                <w:b/>
                <w:color w:val="00AC4D"/>
              </w:rPr>
              <w:t xml:space="preserve">What is XBRL? </w:t>
            </w:r>
          </w:p>
          <w:p w14:paraId="21331872" w14:textId="77777777" w:rsidR="00C048C5" w:rsidRPr="00EF521E" w:rsidRDefault="009F662C" w:rsidP="00C048C5">
            <w:pPr>
              <w:keepNext/>
              <w:jc w:val="center"/>
            </w:pPr>
            <w:r w:rsidRPr="00EF521E">
              <w:rPr>
                <w:color w:val="00AC4D"/>
              </w:rPr>
              <w:t xml:space="preserve">Watch the </w:t>
            </w:r>
            <w:proofErr w:type="spellStart"/>
            <w:r w:rsidRPr="00EF521E">
              <w:rPr>
                <w:color w:val="00AC4D"/>
              </w:rPr>
              <w:t>folllowing</w:t>
            </w:r>
            <w:proofErr w:type="spellEnd"/>
            <w:r w:rsidRPr="00EF521E">
              <w:rPr>
                <w:color w:val="00AC4D"/>
              </w:rPr>
              <w:t xml:space="preserve"> video. </w:t>
            </w:r>
            <w:r w:rsidRPr="00EF521E">
              <w:rPr>
                <w:noProof/>
              </w:rPr>
              <w:drawing>
                <wp:inline distT="0" distB="0" distL="0" distR="0" wp14:anchorId="7DB4F163" wp14:editId="541F1D5E">
                  <wp:extent cx="4875531" cy="3656648"/>
                  <wp:effectExtent l="76200" t="76200" r="134620" b="134620"/>
                  <wp:docPr id="1864095741" name="Video 22" descr="XBRL in plain englis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95741" name="Video 22" descr="XBRL in plain english">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4uTrB1gQ-xM?feature=oembed&quot; frameborder=&quot;0&quot; allow=&quot;accelerometer; autoplay; clipboard-write; encrypted-media; gyroscope; picture-in-picture; web-share&quot; referrerpolicy=&quot;strict-origin-when-cross-origin&quot; allowfullscreen=&quot;&quot; title=&quot;XBRL in plain english&quot; sandbox=&quot;allow-scripts allow-same-origin allow-popups&quot;&gt;&lt;/iframe&gt;" h="150" w="200"/>
                              </a:ext>
                            </a:extLst>
                          </a:blip>
                          <a:stretch>
                            <a:fillRect/>
                          </a:stretch>
                        </pic:blipFill>
                        <pic:spPr>
                          <a:xfrm>
                            <a:off x="0" y="0"/>
                            <a:ext cx="4884654" cy="3663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9C798A" w14:textId="0C369704" w:rsidR="009F662C" w:rsidRPr="00EF521E" w:rsidRDefault="00C048C5" w:rsidP="00C048C5">
            <w:pPr>
              <w:pStyle w:val="Caption"/>
              <w:jc w:val="center"/>
              <w:rPr>
                <w:b w:val="0"/>
                <w:bCs w:val="0"/>
              </w:rPr>
            </w:pPr>
            <w:bookmarkStart w:id="21" w:name="_Toc227738762"/>
            <w:r w:rsidRPr="00EF521E">
              <w:rPr>
                <w:b w:val="0"/>
                <w:bCs w:val="0"/>
              </w:rPr>
              <w:t xml:space="preserve">Video </w:t>
            </w:r>
            <w:r w:rsidRPr="00EF521E">
              <w:rPr>
                <w:b w:val="0"/>
                <w:bCs w:val="0"/>
              </w:rPr>
              <w:fldChar w:fldCharType="begin"/>
            </w:r>
            <w:r w:rsidRPr="00EF521E">
              <w:rPr>
                <w:b w:val="0"/>
                <w:bCs w:val="0"/>
              </w:rPr>
              <w:instrText xml:space="preserve"> SEQ Video \* ARABIC </w:instrText>
            </w:r>
            <w:r w:rsidRPr="00EF521E">
              <w:rPr>
                <w:b w:val="0"/>
                <w:bCs w:val="0"/>
              </w:rPr>
              <w:fldChar w:fldCharType="separate"/>
            </w:r>
            <w:r w:rsidR="002074FD">
              <w:rPr>
                <w:b w:val="0"/>
                <w:bCs w:val="0"/>
                <w:noProof/>
              </w:rPr>
              <w:t>5</w:t>
            </w:r>
            <w:r w:rsidRPr="00EF521E">
              <w:rPr>
                <w:b w:val="0"/>
                <w:bCs w:val="0"/>
              </w:rPr>
              <w:fldChar w:fldCharType="end"/>
            </w:r>
            <w:r w:rsidRPr="00EF521E">
              <w:rPr>
                <w:b w:val="0"/>
                <w:bCs w:val="0"/>
              </w:rPr>
              <w:t>. What is XBRL? (</w:t>
            </w:r>
            <w:hyperlink r:id="rId46" w:history="1">
              <w:r w:rsidRPr="00EF521E">
                <w:rPr>
                  <w:rStyle w:val="Hyperlink"/>
                  <w:b w:val="0"/>
                  <w:bCs w:val="0"/>
                  <w:color w:val="009889" w:themeColor="accent2"/>
                </w:rPr>
                <w:t>https://www.youtube.com/watch?v=4uTrB1gQ-xM&amp;t=110s</w:t>
              </w:r>
            </w:hyperlink>
            <w:r w:rsidRPr="00EF521E">
              <w:rPr>
                <w:b w:val="0"/>
                <w:bCs w:val="0"/>
              </w:rPr>
              <w:t>)</w:t>
            </w:r>
            <w:bookmarkEnd w:id="21"/>
          </w:p>
          <w:p w14:paraId="19E9C976" w14:textId="77777777" w:rsidR="00C048C5" w:rsidRPr="00EF521E" w:rsidRDefault="00C048C5" w:rsidP="00C048C5"/>
          <w:p w14:paraId="7A8D15E1" w14:textId="77777777" w:rsidR="00AB7746" w:rsidRDefault="00AB7746" w:rsidP="009F662C">
            <w:pPr>
              <w:rPr>
                <w:b/>
                <w:color w:val="009889" w:themeColor="accent2"/>
                <w:sz w:val="22"/>
                <w:szCs w:val="22"/>
              </w:rPr>
            </w:pPr>
          </w:p>
          <w:p w14:paraId="768B8804" w14:textId="77777777" w:rsidR="00AB7746" w:rsidRDefault="00AB7746" w:rsidP="009F662C">
            <w:pPr>
              <w:rPr>
                <w:b/>
                <w:color w:val="009889" w:themeColor="accent2"/>
                <w:sz w:val="22"/>
                <w:szCs w:val="22"/>
              </w:rPr>
            </w:pPr>
          </w:p>
          <w:p w14:paraId="62EF9300" w14:textId="118D5892" w:rsidR="009F662C" w:rsidRPr="00EF521E" w:rsidRDefault="009F662C" w:rsidP="009F662C">
            <w:pPr>
              <w:rPr>
                <w:b/>
                <w:color w:val="009889" w:themeColor="accent2"/>
                <w:sz w:val="22"/>
                <w:szCs w:val="22"/>
              </w:rPr>
            </w:pPr>
            <w:r w:rsidRPr="00EF521E">
              <w:rPr>
                <w:b/>
                <w:color w:val="009889" w:themeColor="accent2"/>
                <w:sz w:val="22"/>
                <w:szCs w:val="22"/>
              </w:rPr>
              <w:lastRenderedPageBreak/>
              <w:t>Machine-Readability and ESMA Requirements</w:t>
            </w:r>
          </w:p>
          <w:p w14:paraId="268F556C" w14:textId="77777777" w:rsidR="00C048C5" w:rsidRPr="00EF521E" w:rsidRDefault="00C048C5" w:rsidP="009F662C">
            <w:pPr>
              <w:rPr>
                <w:b/>
                <w:bCs/>
                <w:color w:val="009889" w:themeColor="accent2"/>
                <w:sz w:val="22"/>
                <w:szCs w:val="22"/>
              </w:rPr>
            </w:pPr>
          </w:p>
          <w:p w14:paraId="1BE7481C" w14:textId="77777777" w:rsidR="009F662C" w:rsidRPr="00EF521E" w:rsidRDefault="009F662C" w:rsidP="00E661A9">
            <w:pPr>
              <w:jc w:val="both"/>
            </w:pPr>
            <w:r w:rsidRPr="00EF521E">
              <w:t>Under the CSRD, reports must comply with ESMA (European Securities and Markets Authority) standards:</w:t>
            </w:r>
          </w:p>
          <w:p w14:paraId="12C61D3C" w14:textId="77777777" w:rsidR="009F662C" w:rsidRPr="00EF521E" w:rsidRDefault="009F662C" w:rsidP="00E661A9">
            <w:pPr>
              <w:numPr>
                <w:ilvl w:val="0"/>
                <w:numId w:val="214"/>
              </w:numPr>
              <w:jc w:val="both"/>
            </w:pPr>
            <w:proofErr w:type="spellStart"/>
            <w:r w:rsidRPr="00EF521E">
              <w:rPr>
                <w:b/>
              </w:rPr>
              <w:t>iXBRL</w:t>
            </w:r>
            <w:proofErr w:type="spellEnd"/>
            <w:r w:rsidRPr="00EF521E">
              <w:rPr>
                <w:b/>
              </w:rPr>
              <w:t xml:space="preserve"> Tagging:</w:t>
            </w:r>
            <w:r w:rsidRPr="00EF521E">
              <w:t> As shown in Figure 7, reports must be digitally tagged. This allows regulators to "scrape" data points automatically.</w:t>
            </w:r>
          </w:p>
          <w:p w14:paraId="0964184A" w14:textId="7A799C44" w:rsidR="00C048C5" w:rsidRPr="00EF521E" w:rsidRDefault="009F662C" w:rsidP="00E661A9">
            <w:pPr>
              <w:numPr>
                <w:ilvl w:val="0"/>
                <w:numId w:val="214"/>
              </w:numPr>
              <w:jc w:val="both"/>
            </w:pPr>
            <w:r w:rsidRPr="00EF521E">
              <w:rPr>
                <w:b/>
              </w:rPr>
              <w:t>Digital Transparency</w:t>
            </w:r>
            <w:r w:rsidRPr="00EF521E">
              <w:t>: This ensures that an undertaking’s ESG data is immediately comparable to its peers across the entire EU market, reaching the same transparency standard as financial reporting.</w:t>
            </w:r>
          </w:p>
          <w:p w14:paraId="46D18541" w14:textId="0CE0E989" w:rsidR="00C048C5" w:rsidRPr="00EF521E" w:rsidRDefault="00C048C5" w:rsidP="00C048C5">
            <w:pPr>
              <w:ind w:left="720"/>
              <w:jc w:val="center"/>
            </w:pPr>
            <w:r w:rsidRPr="00EF521E">
              <w:rPr>
                <w:noProof/>
              </w:rPr>
              <w:drawing>
                <wp:inline distT="0" distB="0" distL="0" distR="0" wp14:anchorId="2B6BF501" wp14:editId="02C71B8F">
                  <wp:extent cx="2358048" cy="1751693"/>
                  <wp:effectExtent l="0" t="0" r="4445" b="1270"/>
                  <wp:docPr id="15091906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0613" name="Picture 1509190613"/>
                          <pic:cNvPicPr/>
                        </pic:nvPicPr>
                        <pic:blipFill rotWithShape="1">
                          <a:blip r:embed="rId47">
                            <a:extLst>
                              <a:ext uri="{28A0092B-C50C-407E-A947-70E740481C1C}">
                                <a14:useLocalDpi xmlns:a14="http://schemas.microsoft.com/office/drawing/2010/main" val="0"/>
                              </a:ext>
                            </a:extLst>
                          </a:blip>
                          <a:srcRect l="32279" r="32779" b="79038"/>
                          <a:stretch>
                            <a:fillRect/>
                          </a:stretch>
                        </pic:blipFill>
                        <pic:spPr bwMode="auto">
                          <a:xfrm>
                            <a:off x="0" y="0"/>
                            <a:ext cx="2380739" cy="1768549"/>
                          </a:xfrm>
                          <a:prstGeom prst="rect">
                            <a:avLst/>
                          </a:prstGeom>
                          <a:ln>
                            <a:noFill/>
                          </a:ln>
                          <a:extLst>
                            <a:ext uri="{53640926-AAD7-44D8-BBD7-CCE9431645EC}">
                              <a14:shadowObscured xmlns:a14="http://schemas.microsoft.com/office/drawing/2010/main"/>
                            </a:ext>
                          </a:extLst>
                        </pic:spPr>
                      </pic:pic>
                    </a:graphicData>
                  </a:graphic>
                </wp:inline>
              </w:drawing>
            </w:r>
          </w:p>
          <w:p w14:paraId="70A6DC39" w14:textId="139395EB" w:rsidR="009F662C" w:rsidRPr="00EF521E" w:rsidRDefault="009F662C" w:rsidP="00AB7746">
            <w:pPr>
              <w:keepNext/>
            </w:pPr>
          </w:p>
          <w:p w14:paraId="4C5B5D95" w14:textId="77777777" w:rsidR="009F662C" w:rsidRPr="00EF521E" w:rsidRDefault="009F662C" w:rsidP="009F662C">
            <w:pPr>
              <w:keepNext/>
              <w:jc w:val="center"/>
            </w:pPr>
            <w:r w:rsidRPr="00EF521E">
              <w:rPr>
                <w:noProof/>
              </w:rPr>
              <w:drawing>
                <wp:inline distT="0" distB="0" distL="0" distR="0" wp14:anchorId="0A8F8B58" wp14:editId="2CFF1B23">
                  <wp:extent cx="5991224" cy="4859867"/>
                  <wp:effectExtent l="0" t="0" r="0" b="0"/>
                  <wp:docPr id="11822198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19833" name="Picture 1182219833"/>
                          <pic:cNvPicPr/>
                        </pic:nvPicPr>
                        <pic:blipFill rotWithShape="1">
                          <a:blip r:embed="rId47">
                            <a:extLst>
                              <a:ext uri="{28A0092B-C50C-407E-A947-70E740481C1C}">
                                <a14:useLocalDpi xmlns:a14="http://schemas.microsoft.com/office/drawing/2010/main" val="0"/>
                              </a:ext>
                            </a:extLst>
                          </a:blip>
                          <a:srcRect t="29204"/>
                          <a:stretch>
                            <a:fillRect/>
                          </a:stretch>
                        </pic:blipFill>
                        <pic:spPr bwMode="auto">
                          <a:xfrm>
                            <a:off x="0" y="0"/>
                            <a:ext cx="6027405" cy="4889216"/>
                          </a:xfrm>
                          <a:prstGeom prst="rect">
                            <a:avLst/>
                          </a:prstGeom>
                          <a:ln>
                            <a:noFill/>
                          </a:ln>
                          <a:extLst>
                            <a:ext uri="{53640926-AAD7-44D8-BBD7-CCE9431645EC}">
                              <a14:shadowObscured xmlns:a14="http://schemas.microsoft.com/office/drawing/2010/main"/>
                            </a:ext>
                          </a:extLst>
                        </pic:spPr>
                      </pic:pic>
                    </a:graphicData>
                  </a:graphic>
                </wp:inline>
              </w:drawing>
            </w:r>
          </w:p>
          <w:p w14:paraId="6822061A" w14:textId="46021949" w:rsidR="009F662C" w:rsidRPr="00EF521E" w:rsidRDefault="009F662C" w:rsidP="009F662C">
            <w:pPr>
              <w:pStyle w:val="Caption"/>
              <w:jc w:val="center"/>
              <w:rPr>
                <w:b w:val="0"/>
                <w:bCs w:val="0"/>
              </w:rPr>
            </w:pPr>
            <w:bookmarkStart w:id="22" w:name="_Toc227486385"/>
            <w:r w:rsidRPr="00EF521E">
              <w:rPr>
                <w:b w:val="0"/>
                <w:bCs w:val="0"/>
              </w:rPr>
              <w:t xml:space="preserve">Figure </w:t>
            </w:r>
            <w:r w:rsidRPr="00EF521E">
              <w:rPr>
                <w:b w:val="0"/>
                <w:bCs w:val="0"/>
              </w:rPr>
              <w:fldChar w:fldCharType="begin"/>
            </w:r>
            <w:r w:rsidRPr="00EF521E">
              <w:rPr>
                <w:b w:val="0"/>
                <w:bCs w:val="0"/>
              </w:rPr>
              <w:instrText xml:space="preserve"> SEQ Figure \* ARABIC </w:instrText>
            </w:r>
            <w:r w:rsidRPr="00EF521E">
              <w:rPr>
                <w:b w:val="0"/>
                <w:bCs w:val="0"/>
              </w:rPr>
              <w:fldChar w:fldCharType="separate"/>
            </w:r>
            <w:r w:rsidR="00D135B0">
              <w:rPr>
                <w:b w:val="0"/>
                <w:bCs w:val="0"/>
                <w:noProof/>
              </w:rPr>
              <w:t>7</w:t>
            </w:r>
            <w:r w:rsidRPr="00EF521E">
              <w:rPr>
                <w:b w:val="0"/>
                <w:bCs w:val="0"/>
              </w:rPr>
              <w:fldChar w:fldCharType="end"/>
            </w:r>
            <w:r w:rsidRPr="00EF521E">
              <w:rPr>
                <w:b w:val="0"/>
                <w:bCs w:val="0"/>
              </w:rPr>
              <w:t xml:space="preserve">. Tagging Example (source: </w:t>
            </w:r>
            <w:hyperlink r:id="rId48">
              <w:r w:rsidRPr="00EF521E">
                <w:rPr>
                  <w:rStyle w:val="Hyperlink"/>
                  <w:b w:val="0"/>
                  <w:bCs w:val="0"/>
                  <w:color w:val="009889" w:themeColor="accent2"/>
                </w:rPr>
                <w:t>xbrl.org</w:t>
              </w:r>
            </w:hyperlink>
            <w:r w:rsidRPr="00EF521E">
              <w:rPr>
                <w:b w:val="0"/>
                <w:bCs w:val="0"/>
              </w:rPr>
              <w:t>)</w:t>
            </w:r>
            <w:bookmarkEnd w:id="22"/>
          </w:p>
          <w:p w14:paraId="6F08E8BA" w14:textId="77777777" w:rsidR="00C048C5" w:rsidRPr="00EF521E" w:rsidRDefault="00C048C5" w:rsidP="00C048C5"/>
          <w:p w14:paraId="7C50FFA3" w14:textId="1D46C2BD" w:rsidR="009F662C" w:rsidRPr="00E661A9" w:rsidRDefault="00C048C5" w:rsidP="00E661A9">
            <w:pPr>
              <w:jc w:val="both"/>
              <w:rPr>
                <w:rFonts w:cstheme="minorHAnsi"/>
                <w:szCs w:val="20"/>
              </w:rPr>
            </w:pPr>
            <w:r w:rsidRPr="00E661A9">
              <w:rPr>
                <w:rFonts w:cstheme="minorHAnsi"/>
                <w:szCs w:val="20"/>
              </w:rPr>
              <w:lastRenderedPageBreak/>
              <w:t>This image</w:t>
            </w:r>
            <w:r w:rsidR="009F662C" w:rsidRPr="00E661A9">
              <w:rPr>
                <w:rFonts w:cstheme="minorHAnsi"/>
                <w:szCs w:val="20"/>
              </w:rPr>
              <w:t xml:space="preserve"> shows a financial statement snippet with revenue and other figures, alongside a table explaining how a value is tagged using </w:t>
            </w:r>
            <w:proofErr w:type="spellStart"/>
            <w:r w:rsidR="009F662C" w:rsidRPr="00E661A9">
              <w:rPr>
                <w:rFonts w:cstheme="minorHAnsi"/>
                <w:szCs w:val="20"/>
              </w:rPr>
              <w:t>iXBRL</w:t>
            </w:r>
            <w:proofErr w:type="spellEnd"/>
            <w:r w:rsidR="009F662C" w:rsidRPr="00E661A9">
              <w:rPr>
                <w:rFonts w:cstheme="minorHAnsi"/>
                <w:szCs w:val="20"/>
              </w:rPr>
              <w:t>. It illustrates how the reported value is transformed and enriched with attributes such as scale, format, concept, unit, period, and other metadata dimensions.</w:t>
            </w:r>
          </w:p>
          <w:p w14:paraId="4A6C1B82" w14:textId="77777777" w:rsidR="009F662C" w:rsidRPr="00E661A9" w:rsidRDefault="009F662C" w:rsidP="00E661A9">
            <w:pPr>
              <w:numPr>
                <w:ilvl w:val="0"/>
                <w:numId w:val="205"/>
              </w:numPr>
              <w:jc w:val="both"/>
              <w:rPr>
                <w:rFonts w:cstheme="minorHAnsi"/>
                <w:szCs w:val="20"/>
              </w:rPr>
            </w:pPr>
            <w:r w:rsidRPr="00E661A9">
              <w:rPr>
                <w:rFonts w:cstheme="minorHAnsi"/>
                <w:b/>
                <w:szCs w:val="20"/>
              </w:rPr>
              <w:t>Tagging:</w:t>
            </w:r>
            <w:r w:rsidRPr="00E661A9">
              <w:rPr>
                <w:rFonts w:cstheme="minorHAnsi"/>
                <w:szCs w:val="20"/>
              </w:rPr>
              <w:t> Every material data point in the report is assigned a specific "tag" from the ESRS Taxonomy.</w:t>
            </w:r>
          </w:p>
          <w:p w14:paraId="3068177B" w14:textId="77777777" w:rsidR="009F662C" w:rsidRPr="00E661A9" w:rsidRDefault="009F662C" w:rsidP="00E661A9">
            <w:pPr>
              <w:numPr>
                <w:ilvl w:val="0"/>
                <w:numId w:val="205"/>
              </w:numPr>
              <w:jc w:val="both"/>
              <w:rPr>
                <w:rFonts w:cstheme="minorHAnsi"/>
                <w:szCs w:val="20"/>
              </w:rPr>
            </w:pPr>
            <w:r w:rsidRPr="00E661A9">
              <w:rPr>
                <w:rFonts w:cstheme="minorHAnsi"/>
                <w:b/>
                <w:szCs w:val="20"/>
              </w:rPr>
              <w:t>Purpose:</w:t>
            </w:r>
            <w:r w:rsidRPr="00E661A9">
              <w:rPr>
                <w:rFonts w:cstheme="minorHAnsi"/>
                <w:szCs w:val="20"/>
              </w:rPr>
              <w:t> This allows regulators, investors, and AI tools to automatically "scrape" the data from thousands of reports to compare performance across the entire EU market instantly.</w:t>
            </w:r>
          </w:p>
          <w:p w14:paraId="24598794" w14:textId="77777777" w:rsidR="009F662C" w:rsidRPr="00E661A9" w:rsidRDefault="009F662C" w:rsidP="00E661A9">
            <w:pPr>
              <w:numPr>
                <w:ilvl w:val="0"/>
                <w:numId w:val="205"/>
              </w:numPr>
              <w:jc w:val="both"/>
              <w:rPr>
                <w:rFonts w:cstheme="minorHAnsi"/>
                <w:szCs w:val="20"/>
              </w:rPr>
            </w:pPr>
            <w:r w:rsidRPr="00E661A9">
              <w:rPr>
                <w:rFonts w:cstheme="minorHAnsi"/>
                <w:b/>
                <w:szCs w:val="20"/>
              </w:rPr>
              <w:t>Impact on the Analyst:</w:t>
            </w:r>
            <w:r w:rsidRPr="00E661A9">
              <w:rPr>
                <w:rFonts w:cstheme="minorHAnsi"/>
                <w:szCs w:val="20"/>
              </w:rPr>
              <w:t> As a data specialist, you must ensure that your data structure aligns with the official ESRS taxonomy so that the tagging process is seamless and error-free.</w:t>
            </w:r>
          </w:p>
          <w:p w14:paraId="19B2ED98" w14:textId="77777777" w:rsidR="009F662C" w:rsidRPr="00E661A9" w:rsidRDefault="009F662C" w:rsidP="00E661A9">
            <w:pPr>
              <w:jc w:val="both"/>
              <w:rPr>
                <w:rFonts w:cstheme="minorHAnsi"/>
                <w:color w:val="00AC4D"/>
                <w:szCs w:val="20"/>
              </w:rPr>
            </w:pPr>
          </w:p>
          <w:p w14:paraId="4A33AB29" w14:textId="77777777" w:rsidR="00E661A9" w:rsidRDefault="009F662C" w:rsidP="00E661A9">
            <w:pPr>
              <w:jc w:val="both"/>
              <w:rPr>
                <w:rFonts w:cstheme="minorHAnsi"/>
                <w:b/>
                <w:szCs w:val="20"/>
              </w:rPr>
            </w:pPr>
            <w:r w:rsidRPr="00E661A9">
              <w:rPr>
                <w:rFonts w:cstheme="minorHAnsi"/>
                <w:b/>
                <w:szCs w:val="20"/>
              </w:rPr>
              <w:t>Reflection Point:</w:t>
            </w:r>
          </w:p>
          <w:p w14:paraId="005195DF" w14:textId="3B3A1C89" w:rsidR="009F662C" w:rsidRPr="00E661A9" w:rsidRDefault="009F662C" w:rsidP="00E661A9">
            <w:pPr>
              <w:jc w:val="both"/>
              <w:rPr>
                <w:rFonts w:cstheme="minorHAnsi"/>
                <w:szCs w:val="20"/>
              </w:rPr>
            </w:pPr>
            <w:r w:rsidRPr="00E661A9">
              <w:rPr>
                <w:rFonts w:cstheme="minorHAnsi"/>
                <w:szCs w:val="20"/>
              </w:rPr>
              <w:t>Think about your current workplace or a company you know.</w:t>
            </w:r>
          </w:p>
          <w:p w14:paraId="54EF4196" w14:textId="77777777" w:rsidR="009F662C" w:rsidRPr="00E661A9" w:rsidRDefault="009F662C" w:rsidP="00E661A9">
            <w:pPr>
              <w:numPr>
                <w:ilvl w:val="0"/>
                <w:numId w:val="206"/>
              </w:numPr>
              <w:jc w:val="both"/>
              <w:rPr>
                <w:rFonts w:cstheme="minorHAnsi"/>
                <w:szCs w:val="20"/>
              </w:rPr>
            </w:pPr>
            <w:r w:rsidRPr="00E661A9">
              <w:rPr>
                <w:rFonts w:cstheme="minorHAnsi"/>
                <w:szCs w:val="20"/>
              </w:rPr>
              <w:t>Where is the "Energy Consumption" data currently kept? (e.g., Excel, printed bills, or a digital system?)</w:t>
            </w:r>
          </w:p>
          <w:p w14:paraId="3547133C" w14:textId="77777777" w:rsidR="00E661A9" w:rsidRDefault="009F662C" w:rsidP="00E661A9">
            <w:pPr>
              <w:numPr>
                <w:ilvl w:val="0"/>
                <w:numId w:val="206"/>
              </w:numPr>
              <w:jc w:val="both"/>
              <w:rPr>
                <w:rFonts w:cstheme="minorHAnsi"/>
                <w:szCs w:val="20"/>
              </w:rPr>
            </w:pPr>
            <w:r w:rsidRPr="00E661A9">
              <w:rPr>
                <w:rFonts w:cstheme="minorHAnsi"/>
                <w:szCs w:val="20"/>
              </w:rPr>
              <w:t>If an auditor asked to see the original invoice for a bill from 18 months ago, how long would it take to find it?</w:t>
            </w:r>
          </w:p>
          <w:p w14:paraId="79B3EC76" w14:textId="02B9AD08" w:rsidR="009F662C" w:rsidRPr="00E661A9" w:rsidRDefault="009F662C" w:rsidP="00E661A9">
            <w:pPr>
              <w:ind w:left="720"/>
              <w:jc w:val="both"/>
              <w:rPr>
                <w:rFonts w:cstheme="minorHAnsi"/>
                <w:szCs w:val="20"/>
              </w:rPr>
            </w:pPr>
            <w:r w:rsidRPr="00E661A9">
              <w:rPr>
                <w:rFonts w:cstheme="minorHAnsi"/>
                <w:i/>
                <w:szCs w:val="20"/>
              </w:rPr>
              <w:t>This exercise highlights the difference between "reporting" and "audit-ready architecture."</w:t>
            </w:r>
          </w:p>
          <w:p w14:paraId="06835259" w14:textId="18B116CB" w:rsidR="009F662C" w:rsidRPr="00E661A9" w:rsidRDefault="009F662C" w:rsidP="00E661A9">
            <w:pPr>
              <w:jc w:val="both"/>
              <w:rPr>
                <w:rFonts w:cstheme="minorHAnsi"/>
                <w:szCs w:val="20"/>
              </w:rPr>
            </w:pPr>
          </w:p>
          <w:p w14:paraId="76FACDF6" w14:textId="77777777" w:rsidR="009F662C" w:rsidRPr="00E661A9" w:rsidRDefault="009F662C" w:rsidP="00E661A9">
            <w:pPr>
              <w:jc w:val="both"/>
              <w:rPr>
                <w:rFonts w:cstheme="minorHAnsi"/>
                <w:szCs w:val="20"/>
              </w:rPr>
            </w:pPr>
            <w:r w:rsidRPr="00E661A9">
              <w:rPr>
                <w:rFonts w:cstheme="minorHAnsi"/>
                <w:b/>
                <w:color w:val="00AC4E" w:themeColor="accent1"/>
                <w:szCs w:val="20"/>
              </w:rPr>
              <w:t xml:space="preserve">Micro-activity: </w:t>
            </w:r>
            <w:r w:rsidRPr="00E661A9">
              <w:rPr>
                <w:rFonts w:cstheme="minorHAnsi"/>
                <w:szCs w:val="20"/>
              </w:rPr>
              <w:br/>
            </w:r>
            <w:r w:rsidRPr="00E661A9">
              <w:rPr>
                <w:rFonts w:cstheme="minorHAnsi"/>
                <w:b/>
                <w:szCs w:val="20"/>
              </w:rPr>
              <w:t>Activity 1: Designing a Data Flow Map (60 minutes)</w:t>
            </w:r>
          </w:p>
          <w:p w14:paraId="0EBC47F6" w14:textId="77777777" w:rsidR="009F662C" w:rsidRPr="00E661A9" w:rsidRDefault="009F662C" w:rsidP="00E661A9">
            <w:pPr>
              <w:jc w:val="both"/>
              <w:rPr>
                <w:rFonts w:cstheme="minorHAnsi"/>
                <w:szCs w:val="20"/>
              </w:rPr>
            </w:pPr>
            <w:r w:rsidRPr="00E661A9">
              <w:rPr>
                <w:rFonts w:cstheme="minorHAnsi"/>
                <w:b/>
                <w:szCs w:val="20"/>
              </w:rPr>
              <w:t>Scenario:</w:t>
            </w:r>
            <w:r w:rsidRPr="00E661A9">
              <w:rPr>
                <w:rFonts w:cstheme="minorHAnsi"/>
                <w:szCs w:val="20"/>
              </w:rPr>
              <w:t> You are tasked with reporting the "Total Water Withdrawal" for a company with three factories in different countries.</w:t>
            </w:r>
          </w:p>
          <w:p w14:paraId="682169ED" w14:textId="77777777" w:rsidR="009F662C" w:rsidRPr="00E661A9" w:rsidRDefault="009F662C" w:rsidP="00E661A9">
            <w:pPr>
              <w:jc w:val="both"/>
              <w:rPr>
                <w:rFonts w:cstheme="minorHAnsi"/>
                <w:szCs w:val="20"/>
              </w:rPr>
            </w:pPr>
            <w:r w:rsidRPr="00E661A9">
              <w:rPr>
                <w:rFonts w:cstheme="minorHAnsi"/>
                <w:b/>
                <w:szCs w:val="20"/>
              </w:rPr>
              <w:t>Task:</w:t>
            </w:r>
            <w:r w:rsidRPr="00E661A9">
              <w:rPr>
                <w:rFonts w:cstheme="minorHAnsi"/>
                <w:szCs w:val="20"/>
              </w:rPr>
              <w:t> Draw a flow chart (on paper or using a tool like PowerPoint/Miro) that maps the data journey. You must include:</w:t>
            </w:r>
          </w:p>
          <w:p w14:paraId="64E9A6D3" w14:textId="77777777" w:rsidR="009F662C" w:rsidRPr="00E661A9" w:rsidRDefault="009F662C" w:rsidP="00E661A9">
            <w:pPr>
              <w:numPr>
                <w:ilvl w:val="1"/>
                <w:numId w:val="207"/>
              </w:numPr>
              <w:jc w:val="both"/>
              <w:rPr>
                <w:rFonts w:cstheme="minorHAnsi"/>
                <w:szCs w:val="20"/>
              </w:rPr>
            </w:pPr>
            <w:r w:rsidRPr="00E661A9">
              <w:rPr>
                <w:rFonts w:cstheme="minorHAnsi"/>
                <w:szCs w:val="20"/>
              </w:rPr>
              <w:t>The </w:t>
            </w:r>
            <w:r w:rsidRPr="00E661A9">
              <w:rPr>
                <w:rFonts w:cstheme="minorHAnsi"/>
                <w:b/>
                <w:szCs w:val="20"/>
              </w:rPr>
              <w:t>Source</w:t>
            </w:r>
            <w:r w:rsidRPr="00E661A9">
              <w:rPr>
                <w:rFonts w:cstheme="minorHAnsi"/>
                <w:szCs w:val="20"/>
              </w:rPr>
              <w:t> (Who enters the data at the factory level?).</w:t>
            </w:r>
          </w:p>
          <w:p w14:paraId="72B1E4E9" w14:textId="77777777" w:rsidR="009F662C" w:rsidRPr="00E661A9" w:rsidRDefault="009F662C" w:rsidP="00E661A9">
            <w:pPr>
              <w:numPr>
                <w:ilvl w:val="1"/>
                <w:numId w:val="207"/>
              </w:numPr>
              <w:jc w:val="both"/>
              <w:rPr>
                <w:rFonts w:cstheme="minorHAnsi"/>
                <w:szCs w:val="20"/>
              </w:rPr>
            </w:pPr>
            <w:r w:rsidRPr="00E661A9">
              <w:rPr>
                <w:rFonts w:cstheme="minorHAnsi"/>
                <w:szCs w:val="20"/>
              </w:rPr>
              <w:t>The </w:t>
            </w:r>
            <w:r w:rsidRPr="00E661A9">
              <w:rPr>
                <w:rFonts w:cstheme="minorHAnsi"/>
                <w:b/>
                <w:szCs w:val="20"/>
              </w:rPr>
              <w:t>Frequency</w:t>
            </w:r>
            <w:r w:rsidRPr="00E661A9">
              <w:rPr>
                <w:rFonts w:cstheme="minorHAnsi"/>
                <w:szCs w:val="20"/>
              </w:rPr>
              <w:t> (How often is it collected?).</w:t>
            </w:r>
          </w:p>
          <w:p w14:paraId="2DA7ACF1" w14:textId="77777777" w:rsidR="009F662C" w:rsidRPr="00E661A9" w:rsidRDefault="009F662C" w:rsidP="00E661A9">
            <w:pPr>
              <w:numPr>
                <w:ilvl w:val="1"/>
                <w:numId w:val="207"/>
              </w:numPr>
              <w:jc w:val="both"/>
              <w:rPr>
                <w:rFonts w:cstheme="minorHAnsi"/>
                <w:szCs w:val="20"/>
              </w:rPr>
            </w:pPr>
            <w:r w:rsidRPr="00E661A9">
              <w:rPr>
                <w:rFonts w:cstheme="minorHAnsi"/>
                <w:szCs w:val="20"/>
              </w:rPr>
              <w:t>The </w:t>
            </w:r>
            <w:r w:rsidRPr="00E661A9">
              <w:rPr>
                <w:rFonts w:cstheme="minorHAnsi"/>
                <w:b/>
                <w:szCs w:val="20"/>
              </w:rPr>
              <w:t>Transformation</w:t>
            </w:r>
            <w:r w:rsidRPr="00E661A9">
              <w:rPr>
                <w:rFonts w:cstheme="minorHAnsi"/>
                <w:szCs w:val="20"/>
              </w:rPr>
              <w:t> (Where is it converted to cubic meters if the source is in different units?).</w:t>
            </w:r>
          </w:p>
          <w:p w14:paraId="14A25B6A" w14:textId="77777777" w:rsidR="009F662C" w:rsidRPr="00E661A9" w:rsidRDefault="009F662C" w:rsidP="00E661A9">
            <w:pPr>
              <w:numPr>
                <w:ilvl w:val="1"/>
                <w:numId w:val="207"/>
              </w:numPr>
              <w:jc w:val="both"/>
              <w:rPr>
                <w:rFonts w:cstheme="minorHAnsi"/>
                <w:szCs w:val="20"/>
              </w:rPr>
            </w:pPr>
            <w:r w:rsidRPr="00E661A9">
              <w:rPr>
                <w:rFonts w:cstheme="minorHAnsi"/>
                <w:szCs w:val="20"/>
              </w:rPr>
              <w:t>The </w:t>
            </w:r>
            <w:r w:rsidRPr="00E661A9">
              <w:rPr>
                <w:rFonts w:cstheme="minorHAnsi"/>
                <w:b/>
                <w:szCs w:val="20"/>
              </w:rPr>
              <w:t>Control Point</w:t>
            </w:r>
            <w:r w:rsidRPr="00E661A9">
              <w:rPr>
                <w:rFonts w:cstheme="minorHAnsi"/>
                <w:szCs w:val="20"/>
              </w:rPr>
              <w:t> (Who checks the data for errors?).</w:t>
            </w:r>
          </w:p>
          <w:p w14:paraId="3399BE63" w14:textId="77777777" w:rsidR="009F662C" w:rsidRPr="00E661A9" w:rsidRDefault="009F662C" w:rsidP="00E661A9">
            <w:pPr>
              <w:jc w:val="both"/>
              <w:rPr>
                <w:rFonts w:cstheme="minorHAnsi"/>
                <w:szCs w:val="20"/>
              </w:rPr>
            </w:pPr>
            <w:r w:rsidRPr="00E661A9">
              <w:rPr>
                <w:rFonts w:cstheme="minorHAnsi"/>
                <w:b/>
                <w:szCs w:val="20"/>
              </w:rPr>
              <w:t>Goal:</w:t>
            </w:r>
            <w:r w:rsidRPr="00E661A9">
              <w:rPr>
                <w:rFonts w:cstheme="minorHAnsi"/>
                <w:szCs w:val="20"/>
              </w:rPr>
              <w:t> Identify at least two "weak links" in this chain where data could be lost or corrupted.</w:t>
            </w:r>
          </w:p>
          <w:p w14:paraId="2C299D61" w14:textId="77777777" w:rsidR="009F662C" w:rsidRPr="00E661A9" w:rsidRDefault="009F662C" w:rsidP="00E661A9">
            <w:pPr>
              <w:ind w:left="720"/>
              <w:jc w:val="both"/>
              <w:rPr>
                <w:rFonts w:cstheme="minorHAnsi"/>
                <w:szCs w:val="20"/>
              </w:rPr>
            </w:pPr>
          </w:p>
          <w:p w14:paraId="53875BAB" w14:textId="77777777" w:rsidR="009F662C" w:rsidRPr="00E661A9" w:rsidRDefault="009F662C" w:rsidP="00E661A9">
            <w:pPr>
              <w:jc w:val="both"/>
              <w:rPr>
                <w:rFonts w:cstheme="minorHAnsi"/>
                <w:szCs w:val="20"/>
              </w:rPr>
            </w:pPr>
            <w:r w:rsidRPr="00E661A9">
              <w:rPr>
                <w:rFonts w:cstheme="minorHAnsi"/>
                <w:b/>
                <w:szCs w:val="20"/>
              </w:rPr>
              <w:t>Activity 2: The Audit Readiness Checklist (45 minutes)</w:t>
            </w:r>
          </w:p>
          <w:p w14:paraId="0AD48943" w14:textId="77777777" w:rsidR="009F662C" w:rsidRPr="00E661A9" w:rsidRDefault="009F662C" w:rsidP="00E661A9">
            <w:pPr>
              <w:jc w:val="both"/>
              <w:rPr>
                <w:rFonts w:cstheme="minorHAnsi"/>
                <w:szCs w:val="20"/>
              </w:rPr>
            </w:pPr>
            <w:r w:rsidRPr="00E661A9">
              <w:rPr>
                <w:rFonts w:cstheme="minorHAnsi"/>
                <w:b/>
                <w:szCs w:val="20"/>
              </w:rPr>
              <w:t>Task:</w:t>
            </w:r>
            <w:r w:rsidRPr="00E661A9">
              <w:rPr>
                <w:rFonts w:cstheme="minorHAnsi"/>
                <w:szCs w:val="20"/>
              </w:rPr>
              <w:t> Based on your reading of </w:t>
            </w:r>
            <w:r w:rsidRPr="00E661A9">
              <w:rPr>
                <w:rFonts w:cstheme="minorHAnsi"/>
                <w:b/>
                <w:szCs w:val="20"/>
              </w:rPr>
              <w:t>ESRS 1 Chapter 2 (Qualitative Characteristics)</w:t>
            </w:r>
            <w:r w:rsidRPr="00E661A9">
              <w:rPr>
                <w:rFonts w:cstheme="minorHAnsi"/>
                <w:szCs w:val="20"/>
              </w:rPr>
              <w:t> from the previous lessons, create a 10-point "Technical Checklist" that a data analyst should use before hitting 'publish' on a dashboard.</w:t>
            </w:r>
          </w:p>
          <w:p w14:paraId="16A29686" w14:textId="77777777" w:rsidR="009F662C" w:rsidRPr="00E661A9" w:rsidRDefault="009F662C" w:rsidP="00E661A9">
            <w:pPr>
              <w:jc w:val="both"/>
              <w:rPr>
                <w:rFonts w:cstheme="minorHAnsi"/>
                <w:szCs w:val="20"/>
              </w:rPr>
            </w:pPr>
            <w:r w:rsidRPr="00E661A9">
              <w:rPr>
                <w:rFonts w:cstheme="minorHAnsi"/>
                <w:i/>
                <w:szCs w:val="20"/>
              </w:rPr>
              <w:t>Hint:</w:t>
            </w:r>
            <w:r w:rsidRPr="00E661A9">
              <w:rPr>
                <w:rFonts w:cstheme="minorHAnsi"/>
                <w:szCs w:val="20"/>
              </w:rPr>
              <w:t> Include points about "Verifiability" (is there an audit trail?) and "Comparability" (did we use the same methodology as last year?).</w:t>
            </w:r>
          </w:p>
          <w:p w14:paraId="76755B95" w14:textId="77777777" w:rsidR="009F662C" w:rsidRPr="00E661A9" w:rsidRDefault="009F662C" w:rsidP="00E661A9">
            <w:pPr>
              <w:jc w:val="both"/>
              <w:rPr>
                <w:rFonts w:cstheme="minorHAnsi"/>
                <w:szCs w:val="20"/>
              </w:rPr>
            </w:pPr>
          </w:p>
          <w:p w14:paraId="0F475938" w14:textId="77777777" w:rsidR="009F662C" w:rsidRPr="00E661A9" w:rsidRDefault="009F662C" w:rsidP="00E661A9">
            <w:pPr>
              <w:tabs>
                <w:tab w:val="num" w:pos="720"/>
              </w:tabs>
              <w:jc w:val="both"/>
              <w:rPr>
                <w:rFonts w:cstheme="minorHAnsi"/>
                <w:szCs w:val="20"/>
              </w:rPr>
            </w:pPr>
            <w:r w:rsidRPr="00E661A9">
              <w:rPr>
                <w:rFonts w:cstheme="minorHAnsi"/>
                <w:b/>
                <w:szCs w:val="20"/>
              </w:rPr>
              <w:t xml:space="preserve">Review: </w:t>
            </w:r>
            <w:r w:rsidRPr="00E661A9">
              <w:rPr>
                <w:rFonts w:cstheme="minorHAnsi"/>
                <w:szCs w:val="20"/>
              </w:rPr>
              <w:t>Briefly review the Topic Summary below.</w:t>
            </w:r>
          </w:p>
          <w:p w14:paraId="3F367703" w14:textId="28C7EBE2" w:rsidR="009F662C" w:rsidRPr="00E661A9" w:rsidRDefault="009F662C" w:rsidP="00E661A9">
            <w:pPr>
              <w:jc w:val="both"/>
              <w:rPr>
                <w:rFonts w:cstheme="minorHAnsi"/>
                <w:szCs w:val="20"/>
              </w:rPr>
            </w:pPr>
          </w:p>
          <w:p w14:paraId="6EED965C" w14:textId="77777777" w:rsidR="00AB7746" w:rsidRPr="00E661A9" w:rsidRDefault="00AB7746" w:rsidP="00E661A9">
            <w:pPr>
              <w:jc w:val="both"/>
              <w:rPr>
                <w:rFonts w:cstheme="minorHAnsi"/>
                <w:szCs w:val="20"/>
              </w:rPr>
            </w:pPr>
          </w:p>
          <w:p w14:paraId="5826D50F" w14:textId="77777777" w:rsidR="00AB7746" w:rsidRPr="00E661A9" w:rsidRDefault="00AB7746" w:rsidP="00E661A9">
            <w:pPr>
              <w:jc w:val="both"/>
              <w:rPr>
                <w:rFonts w:cstheme="minorHAnsi"/>
                <w:szCs w:val="20"/>
              </w:rPr>
            </w:pPr>
          </w:p>
          <w:p w14:paraId="7DDC6E73" w14:textId="77777777" w:rsidR="00AB7746" w:rsidRPr="00E661A9" w:rsidRDefault="00AB7746" w:rsidP="00E661A9">
            <w:pPr>
              <w:jc w:val="both"/>
              <w:rPr>
                <w:rFonts w:cstheme="minorHAnsi"/>
                <w:szCs w:val="20"/>
              </w:rPr>
            </w:pPr>
          </w:p>
          <w:p w14:paraId="27807460" w14:textId="77777777" w:rsidR="009F662C" w:rsidRPr="00E661A9" w:rsidRDefault="009F662C" w:rsidP="00E661A9">
            <w:pPr>
              <w:jc w:val="both"/>
              <w:rPr>
                <w:rFonts w:cstheme="minorHAnsi"/>
                <w:szCs w:val="20"/>
              </w:rPr>
            </w:pPr>
            <w:r w:rsidRPr="00E661A9">
              <w:rPr>
                <w:rFonts w:cstheme="minorHAnsi"/>
                <w:b/>
                <w:color w:val="00AC4E" w:themeColor="accent1"/>
                <w:szCs w:val="20"/>
              </w:rPr>
              <w:lastRenderedPageBreak/>
              <w:t>Additional reading:</w:t>
            </w:r>
            <w:r w:rsidRPr="00E661A9">
              <w:rPr>
                <w:rFonts w:cstheme="minorHAnsi"/>
                <w:szCs w:val="20"/>
              </w:rPr>
              <w:t xml:space="preserve">  </w:t>
            </w:r>
          </w:p>
          <w:p w14:paraId="05FD48E4" w14:textId="2AD5DDC0" w:rsidR="009F662C" w:rsidRPr="00E661A9" w:rsidRDefault="009F662C" w:rsidP="00E661A9">
            <w:pPr>
              <w:pStyle w:val="ListParagraph"/>
              <w:numPr>
                <w:ilvl w:val="0"/>
                <w:numId w:val="237"/>
              </w:numPr>
              <w:jc w:val="both"/>
              <w:rPr>
                <w:rFonts w:cstheme="minorHAnsi"/>
                <w:szCs w:val="20"/>
              </w:rPr>
            </w:pPr>
            <w:r w:rsidRPr="00E661A9">
              <w:rPr>
                <w:rFonts w:cstheme="minorHAnsi"/>
                <w:b/>
                <w:bCs/>
                <w:szCs w:val="20"/>
              </w:rPr>
              <w:t xml:space="preserve">ESRS 1: General Requirements: </w:t>
            </w:r>
            <w:hyperlink r:id="rId49">
              <w:r w:rsidRPr="00E661A9">
                <w:rPr>
                  <w:rStyle w:val="Hyperlink"/>
                  <w:rFonts w:cstheme="minorHAnsi"/>
                  <w:szCs w:val="20"/>
                </w:rPr>
                <w:t>ANNEX I  European Sustainability Reporting Standards - ESRS</w:t>
              </w:r>
            </w:hyperlink>
            <w:r w:rsidRPr="00E661A9">
              <w:rPr>
                <w:rFonts w:cstheme="minorHAnsi"/>
                <w:szCs w:val="20"/>
              </w:rPr>
              <w:t xml:space="preserve">. </w:t>
            </w:r>
          </w:p>
          <w:p w14:paraId="60E20747" w14:textId="77777777" w:rsidR="009F662C" w:rsidRPr="00E661A9" w:rsidRDefault="009F662C" w:rsidP="00E661A9">
            <w:pPr>
              <w:pStyle w:val="ListParagraph"/>
              <w:numPr>
                <w:ilvl w:val="0"/>
                <w:numId w:val="237"/>
              </w:numPr>
              <w:jc w:val="both"/>
              <w:rPr>
                <w:rFonts w:cstheme="minorHAnsi"/>
                <w:szCs w:val="20"/>
              </w:rPr>
            </w:pPr>
            <w:r w:rsidRPr="00E661A9">
              <w:rPr>
                <w:rFonts w:cstheme="minorHAnsi"/>
                <w:szCs w:val="20"/>
              </w:rPr>
              <w:t>Paragraph 111 (b) - legal basis for why we use XBRL tagging; The Data Blueprint (Page 32, Appendix D) and the table titled "Structure of the ESRS sustainability statement." - how you must organize your data layers (L1: General Information; L2: Environmental; L3: Social; L4: Governance). If you are building a dashboard, your menu should follow this exact structure to be compliant.</w:t>
            </w:r>
          </w:p>
          <w:p w14:paraId="5A3E0E53" w14:textId="75755552" w:rsidR="009F662C" w:rsidRPr="00E661A9" w:rsidRDefault="009F662C" w:rsidP="00E661A9">
            <w:pPr>
              <w:pStyle w:val="ListParagraph"/>
              <w:numPr>
                <w:ilvl w:val="0"/>
                <w:numId w:val="237"/>
              </w:numPr>
              <w:tabs>
                <w:tab w:val="num" w:pos="1440"/>
              </w:tabs>
              <w:jc w:val="both"/>
              <w:rPr>
                <w:rFonts w:cstheme="minorHAnsi"/>
                <w:b/>
                <w:szCs w:val="20"/>
              </w:rPr>
            </w:pPr>
            <w:r w:rsidRPr="00E661A9">
              <w:rPr>
                <w:rFonts w:cstheme="minorHAnsi"/>
                <w:b/>
                <w:color w:val="2B2D31"/>
                <w:szCs w:val="20"/>
                <w:shd w:val="clear" w:color="auto" w:fill="FFFFFF"/>
              </w:rPr>
              <w:t>XBRL.ORG</w:t>
            </w:r>
            <w:r w:rsidRPr="00E661A9">
              <w:rPr>
                <w:rFonts w:cstheme="minorHAnsi"/>
                <w:color w:val="2B2D31"/>
                <w:szCs w:val="20"/>
                <w:shd w:val="clear" w:color="auto" w:fill="FFFFFF"/>
              </w:rPr>
              <w:t xml:space="preserve"> - </w:t>
            </w:r>
            <w:hyperlink r:id="rId50">
              <w:proofErr w:type="spellStart"/>
              <w:r w:rsidRPr="00E661A9">
                <w:rPr>
                  <w:rStyle w:val="Hyperlink"/>
                  <w:rFonts w:cstheme="minorHAnsi"/>
                  <w:b/>
                  <w:bCs/>
                  <w:szCs w:val="20"/>
                </w:rPr>
                <w:t>iXBRL</w:t>
              </w:r>
              <w:proofErr w:type="spellEnd"/>
              <w:r w:rsidRPr="00E661A9">
                <w:rPr>
                  <w:rStyle w:val="Hyperlink"/>
                  <w:rFonts w:cstheme="minorHAnsi"/>
                  <w:b/>
                  <w:bCs/>
                  <w:szCs w:val="20"/>
                </w:rPr>
                <w:t xml:space="preserve"> Basics</w:t>
              </w:r>
            </w:hyperlink>
            <w:r w:rsidRPr="00E661A9">
              <w:rPr>
                <w:rFonts w:cstheme="minorHAnsi"/>
                <w:b/>
                <w:bCs/>
                <w:szCs w:val="20"/>
              </w:rPr>
              <w:t>.</w:t>
            </w:r>
            <w:r w:rsidRPr="00E661A9">
              <w:rPr>
                <w:rFonts w:cstheme="minorHAnsi"/>
                <w:b/>
                <w:szCs w:val="20"/>
              </w:rPr>
              <w:t xml:space="preserve"> </w:t>
            </w:r>
            <w:r w:rsidRPr="00E661A9">
              <w:rPr>
                <w:rFonts w:cstheme="minorHAnsi"/>
                <w:szCs w:val="20"/>
              </w:rPr>
              <w:t xml:space="preserve">Understand how </w:t>
            </w:r>
            <w:proofErr w:type="spellStart"/>
            <w:r w:rsidRPr="00E661A9">
              <w:rPr>
                <w:rFonts w:cstheme="minorHAnsi"/>
                <w:szCs w:val="20"/>
              </w:rPr>
              <w:t>iXBRL</w:t>
            </w:r>
            <w:proofErr w:type="spellEnd"/>
            <w:r w:rsidRPr="00E661A9">
              <w:rPr>
                <w:rFonts w:cstheme="minorHAnsi"/>
                <w:szCs w:val="20"/>
              </w:rPr>
              <w:t xml:space="preserve"> merges human-readable reports with machine-readable data. </w:t>
            </w:r>
            <w:r w:rsidRPr="00E661A9">
              <w:rPr>
                <w:rFonts w:cstheme="minorHAnsi"/>
                <w:b/>
                <w:szCs w:val="20"/>
              </w:rPr>
              <w:t xml:space="preserve"> </w:t>
            </w:r>
          </w:p>
          <w:p w14:paraId="19B876B3" w14:textId="21951638" w:rsidR="009F662C" w:rsidRPr="00E661A9" w:rsidRDefault="009F662C" w:rsidP="00E661A9">
            <w:pPr>
              <w:pStyle w:val="ListParagraph"/>
              <w:numPr>
                <w:ilvl w:val="0"/>
                <w:numId w:val="237"/>
              </w:numPr>
              <w:tabs>
                <w:tab w:val="num" w:pos="1440"/>
              </w:tabs>
              <w:jc w:val="both"/>
              <w:rPr>
                <w:rFonts w:cstheme="minorHAnsi"/>
                <w:szCs w:val="20"/>
              </w:rPr>
            </w:pPr>
            <w:r w:rsidRPr="00E661A9">
              <w:rPr>
                <w:rFonts w:cstheme="minorHAnsi"/>
                <w:b/>
                <w:bCs/>
                <w:szCs w:val="20"/>
              </w:rPr>
              <w:t>EFRAG Taxonomy: Illustrative Reports</w:t>
            </w:r>
            <w:r w:rsidRPr="00E661A9">
              <w:rPr>
                <w:rFonts w:cstheme="minorHAnsi"/>
                <w:szCs w:val="20"/>
              </w:rPr>
              <w:t xml:space="preserve"> - </w:t>
            </w:r>
            <w:hyperlink r:id="rId51">
              <w:r w:rsidRPr="00E661A9">
                <w:rPr>
                  <w:rStyle w:val="Hyperlink"/>
                  <w:rFonts w:cstheme="minorHAnsi"/>
                  <w:szCs w:val="20"/>
                </w:rPr>
                <w:t>Annex 1: ESRS Set 1 XBRL Taxonomy Illustrated in Excel (XLSX, 1.6 MB)</w:t>
              </w:r>
            </w:hyperlink>
            <w:r w:rsidRPr="00E661A9">
              <w:rPr>
                <w:rFonts w:cstheme="minorHAnsi"/>
                <w:szCs w:val="20"/>
              </w:rPr>
              <w:t xml:space="preserve"> and </w:t>
            </w:r>
            <w:hyperlink r:id="rId52">
              <w:r w:rsidRPr="00E661A9">
                <w:rPr>
                  <w:rStyle w:val="Hyperlink"/>
                  <w:rFonts w:cstheme="minorHAnsi"/>
                  <w:szCs w:val="20"/>
                </w:rPr>
                <w:t>Annex 2: Illustrative examples of XBRL reports (ZIP, 5.5 MB)</w:t>
              </w:r>
            </w:hyperlink>
            <w:r w:rsidRPr="00E661A9">
              <w:rPr>
                <w:rFonts w:cstheme="minorHAnsi"/>
                <w:szCs w:val="20"/>
              </w:rPr>
              <w:t>. Browse the "Illustrative Report" to see what digital tagging looks like in a real-world example.</w:t>
            </w:r>
          </w:p>
          <w:p w14:paraId="54AE5DC2" w14:textId="32D6D4B1" w:rsidR="009F662C" w:rsidRPr="00E661A9" w:rsidRDefault="009F662C" w:rsidP="00E661A9">
            <w:pPr>
              <w:jc w:val="both"/>
              <w:rPr>
                <w:rFonts w:cstheme="minorHAnsi"/>
                <w:szCs w:val="20"/>
              </w:rPr>
            </w:pPr>
          </w:p>
          <w:p w14:paraId="404FC62D" w14:textId="77777777" w:rsidR="009F662C" w:rsidRPr="00E661A9" w:rsidRDefault="009F662C" w:rsidP="00E661A9">
            <w:pPr>
              <w:jc w:val="both"/>
              <w:rPr>
                <w:rFonts w:cstheme="minorHAnsi"/>
                <w:szCs w:val="20"/>
              </w:rPr>
            </w:pPr>
            <w:r w:rsidRPr="00E661A9">
              <w:rPr>
                <w:rFonts w:cstheme="minorHAnsi"/>
                <w:b/>
                <w:color w:val="00AC4E" w:themeColor="accent1"/>
                <w:szCs w:val="20"/>
              </w:rPr>
              <w:t>Key Takeaways (Topic Summary)</w:t>
            </w:r>
            <w:r w:rsidRPr="00E661A9">
              <w:rPr>
                <w:rFonts w:cstheme="minorHAnsi"/>
                <w:szCs w:val="20"/>
              </w:rPr>
              <w:t xml:space="preserve">:   </w:t>
            </w:r>
          </w:p>
          <w:p w14:paraId="4F727900" w14:textId="77777777" w:rsidR="009F662C" w:rsidRPr="00E661A9" w:rsidRDefault="009F662C" w:rsidP="00E661A9">
            <w:pPr>
              <w:pStyle w:val="ListParagraph"/>
              <w:numPr>
                <w:ilvl w:val="0"/>
                <w:numId w:val="199"/>
              </w:numPr>
              <w:jc w:val="both"/>
              <w:rPr>
                <w:rFonts w:cstheme="minorHAnsi"/>
                <w:szCs w:val="20"/>
                <w:lang w:eastAsia="en-IE"/>
              </w:rPr>
            </w:pPr>
            <w:r w:rsidRPr="00E661A9">
              <w:rPr>
                <w:rFonts w:cstheme="minorHAnsi"/>
                <w:b/>
                <w:szCs w:val="20"/>
              </w:rPr>
              <w:t>Systemic Integration:</w:t>
            </w:r>
            <w:r w:rsidRPr="00E661A9">
              <w:rPr>
                <w:rFonts w:cstheme="minorHAnsi"/>
                <w:szCs w:val="20"/>
              </w:rPr>
              <w:t> Modern reporting requires an integrated architecture that connects raw data sources (ERP, HR, IoT) to a centralized "Single Source of Truth."</w:t>
            </w:r>
          </w:p>
          <w:p w14:paraId="7598C7DE" w14:textId="77777777" w:rsidR="009F662C" w:rsidRPr="00E661A9" w:rsidRDefault="009F662C" w:rsidP="00E661A9">
            <w:pPr>
              <w:pStyle w:val="ListParagraph"/>
              <w:numPr>
                <w:ilvl w:val="0"/>
                <w:numId w:val="199"/>
              </w:numPr>
              <w:jc w:val="both"/>
              <w:rPr>
                <w:rFonts w:cstheme="minorHAnsi"/>
                <w:szCs w:val="20"/>
                <w:lang w:eastAsia="en-IE"/>
              </w:rPr>
            </w:pPr>
            <w:r w:rsidRPr="00E661A9">
              <w:rPr>
                <w:rFonts w:cstheme="minorHAnsi"/>
                <w:b/>
                <w:szCs w:val="20"/>
              </w:rPr>
              <w:t>The Importance of Lineage:</w:t>
            </w:r>
            <w:r w:rsidRPr="00E661A9">
              <w:rPr>
                <w:rFonts w:cstheme="minorHAnsi"/>
                <w:szCs w:val="20"/>
              </w:rPr>
              <w:t> Data lineage (the "paper trail") is essential for mandatory assurance; every reported figure must be traceable back to its origin to satisfy auditors.</w:t>
            </w:r>
          </w:p>
          <w:p w14:paraId="01388BCF" w14:textId="77777777" w:rsidR="009F662C" w:rsidRPr="00E661A9" w:rsidRDefault="009F662C" w:rsidP="00E661A9">
            <w:pPr>
              <w:pStyle w:val="ListParagraph"/>
              <w:numPr>
                <w:ilvl w:val="0"/>
                <w:numId w:val="199"/>
              </w:numPr>
              <w:jc w:val="both"/>
              <w:rPr>
                <w:rFonts w:cstheme="minorHAnsi"/>
                <w:szCs w:val="20"/>
                <w:lang w:eastAsia="en-IE"/>
              </w:rPr>
            </w:pPr>
            <w:r w:rsidRPr="00E661A9">
              <w:rPr>
                <w:rFonts w:cstheme="minorHAnsi"/>
                <w:b/>
                <w:szCs w:val="20"/>
              </w:rPr>
              <w:t>Validation and Controls:</w:t>
            </w:r>
            <w:r w:rsidRPr="00E661A9">
              <w:rPr>
                <w:rFonts w:cstheme="minorHAnsi"/>
                <w:szCs w:val="20"/>
              </w:rPr>
              <w:t> Robust data flows must include internal validation points and clear "data ownership" to prevent errors during the consolidation of global data.</w:t>
            </w:r>
          </w:p>
          <w:p w14:paraId="715836EC" w14:textId="77777777" w:rsidR="009F662C" w:rsidRPr="00E661A9" w:rsidRDefault="009F662C" w:rsidP="00E661A9">
            <w:pPr>
              <w:pStyle w:val="ListParagraph"/>
              <w:numPr>
                <w:ilvl w:val="0"/>
                <w:numId w:val="199"/>
              </w:numPr>
              <w:jc w:val="both"/>
              <w:rPr>
                <w:rFonts w:cstheme="minorHAnsi"/>
                <w:szCs w:val="20"/>
                <w:lang w:eastAsia="en-IE"/>
              </w:rPr>
            </w:pPr>
            <w:r w:rsidRPr="00E661A9">
              <w:rPr>
                <w:rFonts w:cstheme="minorHAnsi"/>
                <w:b/>
                <w:szCs w:val="20"/>
              </w:rPr>
              <w:t>Mandatory Machine-Readability:</w:t>
            </w:r>
            <w:r w:rsidRPr="00E661A9">
              <w:rPr>
                <w:rFonts w:cstheme="minorHAnsi"/>
                <w:szCs w:val="20"/>
              </w:rPr>
              <w:t xml:space="preserve"> Under CSRD, reports must be tagged using the </w:t>
            </w:r>
            <w:proofErr w:type="spellStart"/>
            <w:r w:rsidRPr="00E661A9">
              <w:rPr>
                <w:rFonts w:cstheme="minorHAnsi"/>
                <w:szCs w:val="20"/>
              </w:rPr>
              <w:t>iXBRL</w:t>
            </w:r>
            <w:proofErr w:type="spellEnd"/>
            <w:r w:rsidRPr="00E661A9">
              <w:rPr>
                <w:rFonts w:cstheme="minorHAnsi"/>
                <w:szCs w:val="20"/>
              </w:rPr>
              <w:t xml:space="preserve"> format, moving sustainability data from human-readable documents to machine-readable datasets.</w:t>
            </w:r>
          </w:p>
          <w:p w14:paraId="603FFAD0" w14:textId="77777777" w:rsidR="009F662C" w:rsidRPr="00E661A9" w:rsidRDefault="009F662C" w:rsidP="00E661A9">
            <w:pPr>
              <w:pStyle w:val="ListParagraph"/>
              <w:numPr>
                <w:ilvl w:val="0"/>
                <w:numId w:val="199"/>
              </w:numPr>
              <w:jc w:val="both"/>
              <w:rPr>
                <w:rFonts w:cstheme="minorHAnsi"/>
                <w:szCs w:val="20"/>
                <w:lang w:eastAsia="en-IE"/>
              </w:rPr>
            </w:pPr>
            <w:r w:rsidRPr="00E661A9">
              <w:rPr>
                <w:rFonts w:cstheme="minorHAnsi"/>
                <w:b/>
                <w:szCs w:val="20"/>
              </w:rPr>
              <w:t>The Analyst as Architect:</w:t>
            </w:r>
            <w:r w:rsidRPr="00E661A9">
              <w:rPr>
                <w:rFonts w:cstheme="minorHAnsi"/>
                <w:szCs w:val="20"/>
              </w:rPr>
              <w:t> The role of the sustainability analyst is evolving into a "Data Architect" who ensures that the technical systems are as reliable and transparent as financial accounting systems.</w:t>
            </w:r>
          </w:p>
          <w:p w14:paraId="1185E557" w14:textId="76AA63D6" w:rsidR="009F662C" w:rsidRPr="00E661A9" w:rsidRDefault="009F662C" w:rsidP="00E661A9">
            <w:pPr>
              <w:jc w:val="both"/>
              <w:rPr>
                <w:rFonts w:cstheme="minorHAnsi"/>
                <w:b/>
                <w:color w:val="00AC4E" w:themeColor="accent1"/>
                <w:szCs w:val="20"/>
                <w:lang w:eastAsia="en-IE"/>
              </w:rPr>
            </w:pPr>
          </w:p>
          <w:p w14:paraId="58BC0409" w14:textId="77777777" w:rsidR="009F662C" w:rsidRPr="00E661A9" w:rsidRDefault="009F662C" w:rsidP="00E661A9">
            <w:pPr>
              <w:jc w:val="both"/>
              <w:rPr>
                <w:rFonts w:cstheme="minorHAnsi"/>
                <w:szCs w:val="20"/>
                <w:lang w:eastAsia="en-IE"/>
              </w:rPr>
            </w:pPr>
            <w:r w:rsidRPr="00E661A9">
              <w:rPr>
                <w:rFonts w:cstheme="minorHAnsi"/>
                <w:b/>
                <w:color w:val="00AC4E" w:themeColor="accent1"/>
                <w:szCs w:val="20"/>
              </w:rPr>
              <w:t xml:space="preserve">Quick Check: </w:t>
            </w:r>
          </w:p>
          <w:p w14:paraId="3FF3A769" w14:textId="77777777" w:rsidR="009F662C" w:rsidRPr="00E661A9" w:rsidRDefault="009F662C" w:rsidP="00E661A9">
            <w:pPr>
              <w:jc w:val="both"/>
              <w:rPr>
                <w:rFonts w:cstheme="minorHAnsi"/>
                <w:color w:val="009889" w:themeColor="accent2"/>
                <w:szCs w:val="20"/>
              </w:rPr>
            </w:pPr>
            <w:r w:rsidRPr="00E661A9">
              <w:rPr>
                <w:rFonts w:cstheme="minorHAnsi"/>
                <w:color w:val="009889" w:themeColor="accent2"/>
                <w:szCs w:val="20"/>
              </w:rPr>
              <w:t xml:space="preserve">1. Which layer of the sustainability information architecture is responsible for converting raw data (e.g., </w:t>
            </w:r>
            <w:proofErr w:type="spellStart"/>
            <w:r w:rsidRPr="00E661A9">
              <w:rPr>
                <w:rFonts w:cstheme="minorHAnsi"/>
                <w:color w:val="009889" w:themeColor="accent2"/>
                <w:szCs w:val="20"/>
              </w:rPr>
              <w:t>liters</w:t>
            </w:r>
            <w:proofErr w:type="spellEnd"/>
            <w:r w:rsidRPr="00E661A9">
              <w:rPr>
                <w:rFonts w:cstheme="minorHAnsi"/>
                <w:color w:val="009889" w:themeColor="accent2"/>
                <w:szCs w:val="20"/>
              </w:rPr>
              <w:t xml:space="preserve"> of fuel) into standardized reporting units e.g., </w:t>
            </w:r>
            <m:oMath>
              <m:r>
                <w:rPr>
                  <w:rFonts w:ascii="Cambria Math" w:hAnsi="Cambria Math" w:cstheme="minorHAnsi"/>
                  <w:color w:val="009889" w:themeColor="accent2"/>
                  <w:szCs w:val="20"/>
                </w:rPr>
                <m:t>tC</m:t>
              </m:r>
              <m:sSub>
                <m:sSubPr>
                  <m:ctrlPr>
                    <w:rPr>
                      <w:rFonts w:ascii="Cambria Math" w:hAnsi="Cambria Math" w:cstheme="minorHAnsi"/>
                      <w:color w:val="009889" w:themeColor="accent2"/>
                      <w:szCs w:val="20"/>
                    </w:rPr>
                  </m:ctrlPr>
                </m:sSubPr>
                <m:e>
                  <m:r>
                    <w:rPr>
                      <w:rFonts w:ascii="Cambria Math" w:hAnsi="Cambria Math" w:cstheme="minorHAnsi"/>
                      <w:color w:val="009889" w:themeColor="accent2"/>
                      <w:szCs w:val="20"/>
                    </w:rPr>
                    <m:t>O</m:t>
                  </m:r>
                </m:e>
                <m:sub>
                  <m:r>
                    <w:rPr>
                      <w:rFonts w:ascii="Cambria Math" w:hAnsi="Cambria Math" w:cstheme="minorHAnsi"/>
                      <w:color w:val="009889" w:themeColor="accent2"/>
                      <w:szCs w:val="20"/>
                    </w:rPr>
                    <m:t>2</m:t>
                  </m:r>
                </m:sub>
              </m:sSub>
              <m:r>
                <w:rPr>
                  <w:rFonts w:ascii="Cambria Math" w:hAnsi="Cambria Math" w:cstheme="minorHAnsi"/>
                  <w:color w:val="009889" w:themeColor="accent2"/>
                  <w:szCs w:val="20"/>
                </w:rPr>
                <m:t>e</m:t>
              </m:r>
            </m:oMath>
            <w:r w:rsidRPr="00E661A9">
              <w:rPr>
                <w:rFonts w:cstheme="minorHAnsi"/>
                <w:color w:val="009889" w:themeColor="accent2"/>
                <w:szCs w:val="20"/>
              </w:rPr>
              <w:t>)?</w:t>
            </w:r>
          </w:p>
          <w:p w14:paraId="016A2E55" w14:textId="77777777" w:rsidR="009F662C" w:rsidRPr="00E661A9" w:rsidRDefault="009F662C" w:rsidP="00E661A9">
            <w:pPr>
              <w:numPr>
                <w:ilvl w:val="0"/>
                <w:numId w:val="208"/>
              </w:numPr>
              <w:jc w:val="both"/>
              <w:rPr>
                <w:rFonts w:cstheme="minorHAnsi"/>
                <w:szCs w:val="20"/>
              </w:rPr>
            </w:pPr>
            <w:r w:rsidRPr="00E661A9">
              <w:rPr>
                <w:rFonts w:cstheme="minorHAnsi"/>
                <w:szCs w:val="20"/>
              </w:rPr>
              <w:t>The Source Layer</w:t>
            </w:r>
          </w:p>
          <w:p w14:paraId="6180156B" w14:textId="77777777" w:rsidR="009F662C" w:rsidRPr="00E661A9" w:rsidRDefault="009F662C" w:rsidP="00E661A9">
            <w:pPr>
              <w:numPr>
                <w:ilvl w:val="0"/>
                <w:numId w:val="208"/>
              </w:numPr>
              <w:jc w:val="both"/>
              <w:rPr>
                <w:rFonts w:cstheme="minorHAnsi"/>
                <w:bCs/>
                <w:szCs w:val="20"/>
              </w:rPr>
            </w:pPr>
            <w:r w:rsidRPr="00E661A9">
              <w:rPr>
                <w:rFonts w:cstheme="minorHAnsi"/>
                <w:bCs/>
                <w:szCs w:val="20"/>
              </w:rPr>
              <w:t xml:space="preserve">The Integration Layer </w:t>
            </w:r>
          </w:p>
          <w:p w14:paraId="4011D003" w14:textId="137F5F90" w:rsidR="00DE6AC3" w:rsidRPr="00E661A9" w:rsidRDefault="009F662C" w:rsidP="00E661A9">
            <w:pPr>
              <w:numPr>
                <w:ilvl w:val="0"/>
                <w:numId w:val="208"/>
              </w:numPr>
              <w:jc w:val="both"/>
              <w:rPr>
                <w:rFonts w:cstheme="minorHAnsi"/>
                <w:szCs w:val="20"/>
              </w:rPr>
            </w:pPr>
            <w:r w:rsidRPr="00E661A9">
              <w:rPr>
                <w:rFonts w:cstheme="minorHAnsi"/>
                <w:szCs w:val="20"/>
              </w:rPr>
              <w:t>The Reporting Layer</w:t>
            </w:r>
            <w:r w:rsidR="00DE6AC3" w:rsidRPr="00E661A9">
              <w:rPr>
                <w:rFonts w:cstheme="minorHAnsi"/>
                <w:szCs w:val="20"/>
              </w:rPr>
              <w:t>.</w:t>
            </w:r>
          </w:p>
          <w:p w14:paraId="46D1B31B" w14:textId="77777777" w:rsidR="00DE6AC3" w:rsidRPr="00E661A9" w:rsidRDefault="00DE6AC3" w:rsidP="00E661A9">
            <w:pPr>
              <w:ind w:left="720"/>
              <w:jc w:val="both"/>
              <w:rPr>
                <w:rFonts w:cstheme="minorHAnsi"/>
                <w:szCs w:val="20"/>
              </w:rPr>
            </w:pPr>
          </w:p>
          <w:p w14:paraId="0A7F6980" w14:textId="77777777" w:rsidR="009F662C" w:rsidRPr="00E661A9" w:rsidRDefault="009F662C" w:rsidP="00E661A9">
            <w:pPr>
              <w:jc w:val="both"/>
              <w:rPr>
                <w:rFonts w:cstheme="minorHAnsi"/>
                <w:color w:val="009889" w:themeColor="accent2"/>
                <w:szCs w:val="20"/>
              </w:rPr>
            </w:pPr>
            <w:r w:rsidRPr="00E661A9">
              <w:rPr>
                <w:rFonts w:cstheme="minorHAnsi"/>
                <w:color w:val="009889" w:themeColor="accent2"/>
                <w:szCs w:val="20"/>
              </w:rPr>
              <w:t xml:space="preserve">2. Under the CSRD, what is the primary purpose of using </w:t>
            </w:r>
            <w:proofErr w:type="spellStart"/>
            <w:r w:rsidRPr="00E661A9">
              <w:rPr>
                <w:rFonts w:cstheme="minorHAnsi"/>
                <w:color w:val="009889" w:themeColor="accent2"/>
                <w:szCs w:val="20"/>
              </w:rPr>
              <w:t>iXBRL</w:t>
            </w:r>
            <w:proofErr w:type="spellEnd"/>
            <w:r w:rsidRPr="00E661A9">
              <w:rPr>
                <w:rFonts w:cstheme="minorHAnsi"/>
                <w:color w:val="009889" w:themeColor="accent2"/>
                <w:szCs w:val="20"/>
              </w:rPr>
              <w:t xml:space="preserve"> (inline XBRL) digital tagging?</w:t>
            </w:r>
          </w:p>
          <w:p w14:paraId="54FF11C4" w14:textId="77777777" w:rsidR="009F662C" w:rsidRPr="00E661A9" w:rsidRDefault="009F662C" w:rsidP="00E661A9">
            <w:pPr>
              <w:pStyle w:val="ListParagraph"/>
              <w:numPr>
                <w:ilvl w:val="0"/>
                <w:numId w:val="209"/>
              </w:numPr>
              <w:jc w:val="both"/>
              <w:rPr>
                <w:rFonts w:cstheme="minorHAnsi"/>
                <w:szCs w:val="20"/>
              </w:rPr>
            </w:pPr>
            <w:r w:rsidRPr="00E661A9">
              <w:rPr>
                <w:rFonts w:cstheme="minorHAnsi"/>
                <w:szCs w:val="20"/>
              </w:rPr>
              <w:t>To make the PDF report look more visually appealing for marketing.</w:t>
            </w:r>
          </w:p>
          <w:p w14:paraId="585963DE" w14:textId="77777777" w:rsidR="009F662C" w:rsidRPr="00E661A9" w:rsidRDefault="009F662C" w:rsidP="00E661A9">
            <w:pPr>
              <w:pStyle w:val="ListParagraph"/>
              <w:numPr>
                <w:ilvl w:val="0"/>
                <w:numId w:val="209"/>
              </w:numPr>
              <w:jc w:val="both"/>
              <w:rPr>
                <w:rFonts w:cstheme="minorHAnsi"/>
                <w:bCs/>
                <w:szCs w:val="20"/>
              </w:rPr>
            </w:pPr>
            <w:r w:rsidRPr="00E661A9">
              <w:rPr>
                <w:rFonts w:cstheme="minorHAnsi"/>
                <w:bCs/>
                <w:szCs w:val="20"/>
              </w:rPr>
              <w:t xml:space="preserve">To ensure the report is machine-readable for regulators and investors. </w:t>
            </w:r>
          </w:p>
          <w:p w14:paraId="7859296A" w14:textId="77777777" w:rsidR="009F662C" w:rsidRPr="00E661A9" w:rsidRDefault="009F662C" w:rsidP="00E661A9">
            <w:pPr>
              <w:pStyle w:val="ListParagraph"/>
              <w:numPr>
                <w:ilvl w:val="0"/>
                <w:numId w:val="209"/>
              </w:numPr>
              <w:jc w:val="both"/>
              <w:rPr>
                <w:rFonts w:cstheme="minorHAnsi"/>
                <w:szCs w:val="20"/>
              </w:rPr>
            </w:pPr>
            <w:r w:rsidRPr="00E661A9">
              <w:rPr>
                <w:rFonts w:cstheme="minorHAnsi"/>
                <w:szCs w:val="20"/>
              </w:rPr>
              <w:t>To encrypt the data so it cannot be read by competitors.</w:t>
            </w:r>
          </w:p>
          <w:p w14:paraId="6B586ADF" w14:textId="77777777" w:rsidR="00DE6AC3" w:rsidRPr="00E661A9" w:rsidRDefault="00DE6AC3" w:rsidP="00E661A9">
            <w:pPr>
              <w:pStyle w:val="ListParagraph"/>
              <w:jc w:val="both"/>
              <w:rPr>
                <w:rFonts w:cstheme="minorHAnsi"/>
                <w:szCs w:val="20"/>
              </w:rPr>
            </w:pPr>
          </w:p>
          <w:p w14:paraId="0F96CBAF" w14:textId="77777777" w:rsidR="009F662C" w:rsidRPr="00E661A9" w:rsidRDefault="009F662C" w:rsidP="00E661A9">
            <w:pPr>
              <w:jc w:val="both"/>
              <w:rPr>
                <w:rFonts w:cstheme="minorHAnsi"/>
                <w:color w:val="009889" w:themeColor="accent2"/>
                <w:szCs w:val="20"/>
              </w:rPr>
            </w:pPr>
            <w:r w:rsidRPr="00E661A9">
              <w:rPr>
                <w:rFonts w:cstheme="minorHAnsi"/>
                <w:color w:val="009889" w:themeColor="accent2"/>
                <w:szCs w:val="20"/>
              </w:rPr>
              <w:t>3. What does "Data Lineage" refer to in the context of an audit-ready ESG system?</w:t>
            </w:r>
          </w:p>
          <w:p w14:paraId="2710BBF0" w14:textId="77777777" w:rsidR="009F662C" w:rsidRPr="00E661A9" w:rsidRDefault="009F662C" w:rsidP="00E661A9">
            <w:pPr>
              <w:numPr>
                <w:ilvl w:val="0"/>
                <w:numId w:val="210"/>
              </w:numPr>
              <w:jc w:val="both"/>
              <w:rPr>
                <w:rFonts w:cstheme="minorHAnsi"/>
                <w:szCs w:val="20"/>
              </w:rPr>
            </w:pPr>
            <w:r w:rsidRPr="00E661A9">
              <w:rPr>
                <w:rFonts w:cstheme="minorHAnsi"/>
                <w:szCs w:val="20"/>
              </w:rPr>
              <w:t>The process of deleting old data to save server space.</w:t>
            </w:r>
          </w:p>
          <w:p w14:paraId="4806A4FA" w14:textId="77777777" w:rsidR="009F662C" w:rsidRPr="00E661A9" w:rsidRDefault="009F662C" w:rsidP="00E661A9">
            <w:pPr>
              <w:numPr>
                <w:ilvl w:val="0"/>
                <w:numId w:val="210"/>
              </w:numPr>
              <w:jc w:val="both"/>
              <w:rPr>
                <w:rFonts w:cstheme="minorHAnsi"/>
                <w:bCs/>
                <w:szCs w:val="20"/>
              </w:rPr>
            </w:pPr>
            <w:r w:rsidRPr="00E661A9">
              <w:rPr>
                <w:rFonts w:cstheme="minorHAnsi"/>
                <w:bCs/>
                <w:szCs w:val="20"/>
              </w:rPr>
              <w:t xml:space="preserve">The ability to trace a specific figure in the final report back to its original source.  </w:t>
            </w:r>
          </w:p>
          <w:p w14:paraId="45D42AD7" w14:textId="3C528F27" w:rsidR="009F662C" w:rsidRPr="00E661A9" w:rsidRDefault="009F662C" w:rsidP="00E661A9">
            <w:pPr>
              <w:numPr>
                <w:ilvl w:val="0"/>
                <w:numId w:val="210"/>
              </w:numPr>
              <w:jc w:val="both"/>
              <w:rPr>
                <w:rFonts w:cstheme="minorHAnsi"/>
                <w:szCs w:val="20"/>
              </w:rPr>
            </w:pPr>
            <w:r w:rsidRPr="00E661A9">
              <w:rPr>
                <w:rFonts w:cstheme="minorHAnsi"/>
                <w:szCs w:val="20"/>
              </w:rPr>
              <w:t>The list of employees who have access to the sustainability dashboard.</w:t>
            </w:r>
          </w:p>
          <w:p w14:paraId="4B635D8D" w14:textId="77777777" w:rsidR="00E661A9" w:rsidRDefault="00E661A9" w:rsidP="00E661A9">
            <w:pPr>
              <w:jc w:val="both"/>
              <w:rPr>
                <w:rFonts w:cstheme="minorHAnsi"/>
                <w:b/>
                <w:szCs w:val="20"/>
              </w:rPr>
            </w:pPr>
          </w:p>
          <w:p w14:paraId="71594B5A" w14:textId="77777777" w:rsidR="00E661A9" w:rsidRDefault="00E661A9" w:rsidP="00E661A9">
            <w:pPr>
              <w:jc w:val="both"/>
              <w:rPr>
                <w:rFonts w:cstheme="minorHAnsi"/>
                <w:b/>
                <w:szCs w:val="20"/>
              </w:rPr>
            </w:pPr>
          </w:p>
          <w:p w14:paraId="4201E044" w14:textId="77777777" w:rsidR="00E661A9" w:rsidRDefault="00E661A9" w:rsidP="00E661A9">
            <w:pPr>
              <w:jc w:val="both"/>
              <w:rPr>
                <w:rFonts w:cstheme="minorHAnsi"/>
                <w:b/>
                <w:szCs w:val="20"/>
              </w:rPr>
            </w:pPr>
          </w:p>
          <w:p w14:paraId="777C5A89" w14:textId="09ACB755" w:rsidR="009F662C" w:rsidRPr="00E661A9" w:rsidRDefault="009F662C" w:rsidP="00E661A9">
            <w:pPr>
              <w:jc w:val="both"/>
              <w:rPr>
                <w:rFonts w:cstheme="minorHAnsi"/>
                <w:szCs w:val="20"/>
              </w:rPr>
            </w:pPr>
            <w:r w:rsidRPr="00E661A9">
              <w:rPr>
                <w:rFonts w:cstheme="minorHAnsi"/>
                <w:b/>
                <w:szCs w:val="20"/>
              </w:rPr>
              <w:lastRenderedPageBreak/>
              <w:t>Reflection Prompt</w:t>
            </w:r>
          </w:p>
          <w:p w14:paraId="37643E03" w14:textId="77777777" w:rsidR="00900767" w:rsidRPr="00E661A9" w:rsidRDefault="00900767" w:rsidP="00E661A9">
            <w:pPr>
              <w:jc w:val="both"/>
              <w:rPr>
                <w:rFonts w:cstheme="minorHAnsi"/>
                <w:szCs w:val="20"/>
              </w:rPr>
            </w:pPr>
          </w:p>
          <w:p w14:paraId="685598F8" w14:textId="464A9C8A" w:rsidR="009F662C" w:rsidRPr="00E661A9" w:rsidRDefault="009F662C" w:rsidP="00E661A9">
            <w:pPr>
              <w:jc w:val="both"/>
              <w:rPr>
                <w:rFonts w:cstheme="minorHAnsi"/>
                <w:szCs w:val="20"/>
              </w:rPr>
            </w:pPr>
            <w:r w:rsidRPr="00E661A9">
              <w:rPr>
                <w:rFonts w:cstheme="minorHAnsi"/>
                <w:szCs w:val="20"/>
              </w:rPr>
              <w:t>In your own words, explain why relying on manual data entry in disconnected Excel spreadsheets is considered a high-risk approach for meeting the "Verifiability" requirement of the ESRS.</w:t>
            </w:r>
          </w:p>
          <w:p w14:paraId="2A829DBA" w14:textId="77777777" w:rsidR="00900767" w:rsidRPr="00E661A9" w:rsidRDefault="00900767" w:rsidP="00E661A9">
            <w:pPr>
              <w:jc w:val="both"/>
              <w:rPr>
                <w:rFonts w:cstheme="minorHAnsi"/>
                <w:szCs w:val="20"/>
                <w:lang w:eastAsia="en-IE"/>
              </w:rPr>
            </w:pPr>
          </w:p>
          <w:p w14:paraId="36DA637F" w14:textId="6FE9C2A2" w:rsidR="009F662C" w:rsidRPr="00900767" w:rsidRDefault="00900767" w:rsidP="00E661A9">
            <w:pPr>
              <w:jc w:val="both"/>
              <w:rPr>
                <w:bCs/>
                <w:i/>
                <w:iCs/>
                <w:szCs w:val="20"/>
              </w:rPr>
            </w:pPr>
            <w:r w:rsidRPr="00E661A9">
              <w:rPr>
                <w:rFonts w:cstheme="minorHAnsi"/>
                <w:bCs/>
                <w:i/>
                <w:iCs/>
                <w:szCs w:val="20"/>
              </w:rPr>
              <w:t>Answer key. 1. b), 2. b), 3. b).</w:t>
            </w:r>
            <w:r w:rsidRPr="00900767">
              <w:rPr>
                <w:bCs/>
                <w:i/>
                <w:iCs/>
                <w:szCs w:val="20"/>
              </w:rPr>
              <w:t xml:space="preserve"> </w:t>
            </w:r>
          </w:p>
        </w:tc>
      </w:tr>
    </w:tbl>
    <w:p w14:paraId="5531BEAA" w14:textId="77777777" w:rsidR="00AB7746" w:rsidRDefault="00AB7746" w:rsidP="00413340">
      <w:pPr>
        <w:spacing w:line="240" w:lineRule="auto"/>
      </w:pPr>
    </w:p>
    <w:p w14:paraId="1B1023C8" w14:textId="77777777" w:rsidR="00AB7746" w:rsidRPr="00EF521E" w:rsidRDefault="00AB7746" w:rsidP="00413340">
      <w:pPr>
        <w:spacing w:line="240" w:lineRule="auto"/>
      </w:pPr>
    </w:p>
    <w:tbl>
      <w:tblPr>
        <w:tblStyle w:val="TableGrid"/>
        <w:tblW w:w="0" w:type="auto"/>
        <w:tblLook w:val="04A0" w:firstRow="1" w:lastRow="0" w:firstColumn="1" w:lastColumn="0" w:noHBand="0" w:noVBand="1"/>
      </w:tblPr>
      <w:tblGrid>
        <w:gridCol w:w="9628"/>
      </w:tblGrid>
      <w:tr w:rsidR="00CC7263" w:rsidRPr="00EF521E" w14:paraId="45A1E602" w14:textId="77777777" w:rsidTr="00CC7263">
        <w:tc>
          <w:tcPr>
            <w:tcW w:w="9628" w:type="dxa"/>
            <w:shd w:val="clear" w:color="auto" w:fill="FFFFFF" w:themeFill="background1"/>
          </w:tcPr>
          <w:p w14:paraId="0A825920" w14:textId="672E203E" w:rsidR="00CC7263" w:rsidRPr="00EF521E" w:rsidRDefault="00CC7263" w:rsidP="00413340">
            <w:pPr>
              <w:pStyle w:val="Heading2"/>
              <w:numPr>
                <w:ilvl w:val="0"/>
                <w:numId w:val="0"/>
              </w:numPr>
              <w:rPr>
                <w:rFonts w:cstheme="minorHAnsi"/>
                <w:szCs w:val="20"/>
              </w:rPr>
            </w:pPr>
            <w:bookmarkStart w:id="23" w:name="_Toc227485164"/>
            <w:r w:rsidRPr="00EF521E">
              <w:t>Module 1: Conclusion and Self-Assessment</w:t>
            </w:r>
            <w:bookmarkEnd w:id="23"/>
          </w:p>
        </w:tc>
      </w:tr>
      <w:tr w:rsidR="00531361" w:rsidRPr="00EF521E" w14:paraId="52913B49" w14:textId="77777777" w:rsidTr="006203D4">
        <w:tc>
          <w:tcPr>
            <w:tcW w:w="9628" w:type="dxa"/>
            <w:shd w:val="clear" w:color="auto" w:fill="D9D9D9" w:themeFill="background1" w:themeFillShade="D9"/>
          </w:tcPr>
          <w:p w14:paraId="2AB3E627" w14:textId="17AF4DE3" w:rsidR="00531361" w:rsidRPr="00EF521E" w:rsidRDefault="00CC7263" w:rsidP="00413340">
            <w:pPr>
              <w:rPr>
                <w:rFonts w:cstheme="minorHAnsi"/>
                <w:b/>
                <w:bCs/>
                <w:szCs w:val="20"/>
              </w:rPr>
            </w:pPr>
            <w:r w:rsidRPr="00EF521E">
              <w:rPr>
                <w:rFonts w:cstheme="minorHAnsi"/>
                <w:b/>
                <w:bCs/>
                <w:szCs w:val="20"/>
              </w:rPr>
              <w:t>Module Summary:</w:t>
            </w:r>
          </w:p>
        </w:tc>
      </w:tr>
      <w:tr w:rsidR="00531361" w:rsidRPr="00EF521E" w14:paraId="7A2CD4A8" w14:textId="77777777" w:rsidTr="006203D4">
        <w:tc>
          <w:tcPr>
            <w:tcW w:w="9628" w:type="dxa"/>
          </w:tcPr>
          <w:p w14:paraId="6E36DF76" w14:textId="77777777" w:rsidR="00BF5BE8" w:rsidRPr="00AB7746" w:rsidRDefault="00BF5BE8" w:rsidP="00BF5BE8">
            <w:pPr>
              <w:pStyle w:val="NoSpacing"/>
              <w:jc w:val="both"/>
              <w:rPr>
                <w:sz w:val="20"/>
                <w:szCs w:val="20"/>
                <w:lang w:val="en-GB"/>
              </w:rPr>
            </w:pPr>
            <w:r w:rsidRPr="00AB7746">
              <w:rPr>
                <w:sz w:val="20"/>
                <w:szCs w:val="20"/>
                <w:lang w:val="en-GB"/>
              </w:rPr>
              <w:t>Module 1 has provided the strategic and technical blueprint for modern sustainability reporting. We have explored the shift from voluntary disclosures to a mandatory, digital, and audited accounting discipline.</w:t>
            </w:r>
          </w:p>
          <w:p w14:paraId="4A27A9D4" w14:textId="77777777" w:rsidR="00BF5BE8" w:rsidRPr="00AB7746" w:rsidRDefault="00BF5BE8" w:rsidP="00BF5BE8">
            <w:pPr>
              <w:pStyle w:val="NoSpacing"/>
              <w:numPr>
                <w:ilvl w:val="0"/>
                <w:numId w:val="215"/>
              </w:numPr>
              <w:jc w:val="both"/>
              <w:rPr>
                <w:sz w:val="20"/>
                <w:szCs w:val="20"/>
                <w:lang w:val="en-GB"/>
              </w:rPr>
            </w:pPr>
            <w:r w:rsidRPr="00AB7746">
              <w:rPr>
                <w:b/>
                <w:sz w:val="20"/>
                <w:szCs w:val="20"/>
                <w:lang w:val="en-GB"/>
              </w:rPr>
              <w:t>Regulatory Framework:</w:t>
            </w:r>
            <w:r w:rsidRPr="00AB7746">
              <w:rPr>
                <w:sz w:val="20"/>
                <w:szCs w:val="20"/>
                <w:lang w:val="en-GB"/>
              </w:rPr>
              <w:t> You have learned how the CSRD and the recent Omnibus I Directive (2026) have optimized the reporting landscape, focusing on large undertakings (1,000+ employees) and streamlining requirements to approximately 320 core ESRS data points.</w:t>
            </w:r>
          </w:p>
          <w:p w14:paraId="6EAAFC82" w14:textId="77777777" w:rsidR="00BF5BE8" w:rsidRPr="00AB7746" w:rsidRDefault="00BF5BE8" w:rsidP="00BF5BE8">
            <w:pPr>
              <w:pStyle w:val="NoSpacing"/>
              <w:numPr>
                <w:ilvl w:val="0"/>
                <w:numId w:val="215"/>
              </w:numPr>
              <w:jc w:val="both"/>
              <w:rPr>
                <w:sz w:val="20"/>
                <w:szCs w:val="20"/>
                <w:lang w:val="en-GB"/>
              </w:rPr>
            </w:pPr>
            <w:r w:rsidRPr="00AB7746">
              <w:rPr>
                <w:b/>
                <w:sz w:val="20"/>
                <w:szCs w:val="20"/>
                <w:lang w:val="en-GB"/>
              </w:rPr>
              <w:t>Metric Construction:</w:t>
            </w:r>
            <w:r w:rsidRPr="00AB7746">
              <w:rPr>
                <w:sz w:val="20"/>
                <w:szCs w:val="20"/>
                <w:lang w:val="en-GB"/>
              </w:rPr>
              <w:t> We moved beyond simple data collection to the logic of Metric Construction. You now understand that a KPI is only as good as its Metadata (formula, boundaries, and frequency) documented in a central Data Dictionary.</w:t>
            </w:r>
          </w:p>
          <w:p w14:paraId="30A606E8" w14:textId="77777777" w:rsidR="00BF5BE8" w:rsidRPr="00AB7746" w:rsidRDefault="00BF5BE8" w:rsidP="00BF5BE8">
            <w:pPr>
              <w:pStyle w:val="NoSpacing"/>
              <w:numPr>
                <w:ilvl w:val="0"/>
                <w:numId w:val="215"/>
              </w:numPr>
              <w:jc w:val="both"/>
              <w:rPr>
                <w:sz w:val="20"/>
                <w:szCs w:val="20"/>
                <w:lang w:val="en-GB"/>
              </w:rPr>
            </w:pPr>
            <w:r w:rsidRPr="00AB7746">
              <w:rPr>
                <w:b/>
                <w:sz w:val="20"/>
                <w:szCs w:val="20"/>
                <w:lang w:val="en-GB"/>
              </w:rPr>
              <w:t>Analytical Logic:</w:t>
            </w:r>
            <w:r w:rsidRPr="00AB7746">
              <w:rPr>
                <w:sz w:val="20"/>
                <w:szCs w:val="20"/>
                <w:lang w:val="en-GB"/>
              </w:rPr>
              <w:t> The distinction between Absolute metrics (total impact) and Intensity indicators (efficiency) is now clear. You have learned that intensity metrics are essential for decision-making and comparing efficiency across different company sizes.</w:t>
            </w:r>
          </w:p>
          <w:p w14:paraId="6C63B989" w14:textId="77777777" w:rsidR="00BF5BE8" w:rsidRPr="00AB7746" w:rsidRDefault="00BF5BE8" w:rsidP="00BF5BE8">
            <w:pPr>
              <w:pStyle w:val="NoSpacing"/>
              <w:numPr>
                <w:ilvl w:val="0"/>
                <w:numId w:val="215"/>
              </w:numPr>
              <w:jc w:val="both"/>
              <w:rPr>
                <w:sz w:val="20"/>
                <w:szCs w:val="20"/>
                <w:lang w:val="en-GB"/>
              </w:rPr>
            </w:pPr>
            <w:r w:rsidRPr="00AB7746">
              <w:rPr>
                <w:b/>
                <w:sz w:val="20"/>
                <w:szCs w:val="20"/>
                <w:lang w:val="en-GB"/>
              </w:rPr>
              <w:t>Strategic Filtering:</w:t>
            </w:r>
            <w:r w:rsidRPr="00AB7746">
              <w:rPr>
                <w:sz w:val="20"/>
                <w:szCs w:val="20"/>
                <w:lang w:val="en-GB"/>
              </w:rPr>
              <w:t> Through the Double Materiality (A-B-C-D) process, you have seen how an undertaking filters over 1,000 potential points into a focused reporting scope based on Severity and Likelihood.</w:t>
            </w:r>
          </w:p>
          <w:p w14:paraId="48D1B302" w14:textId="77777777" w:rsidR="00BF5BE8" w:rsidRPr="00AB7746" w:rsidRDefault="00BF5BE8" w:rsidP="00BF5BE8">
            <w:pPr>
              <w:pStyle w:val="NoSpacing"/>
              <w:numPr>
                <w:ilvl w:val="0"/>
                <w:numId w:val="215"/>
              </w:numPr>
              <w:jc w:val="both"/>
              <w:rPr>
                <w:sz w:val="20"/>
                <w:szCs w:val="20"/>
                <w:lang w:val="en-GB"/>
              </w:rPr>
            </w:pPr>
            <w:r w:rsidRPr="00AB7746">
              <w:rPr>
                <w:b/>
                <w:sz w:val="20"/>
                <w:szCs w:val="20"/>
                <w:lang w:val="en-GB"/>
              </w:rPr>
              <w:t>Governance &amp; Digital Architecture:</w:t>
            </w:r>
            <w:r w:rsidRPr="00AB7746">
              <w:rPr>
                <w:sz w:val="20"/>
                <w:szCs w:val="20"/>
                <w:lang w:val="en-GB"/>
              </w:rPr>
              <w:t> Finally, we established the "Digital Spine." High-quality data depends on a chain of accountability involving Data Owners, Data Validators, and the ESG Controller, all while ensuring reports are machine-readable via </w:t>
            </w:r>
            <w:proofErr w:type="spellStart"/>
            <w:r w:rsidRPr="00AB7746">
              <w:rPr>
                <w:sz w:val="20"/>
                <w:szCs w:val="20"/>
                <w:lang w:val="en-GB"/>
              </w:rPr>
              <w:t>iXBRL</w:t>
            </w:r>
            <w:proofErr w:type="spellEnd"/>
            <w:r w:rsidRPr="00AB7746">
              <w:rPr>
                <w:sz w:val="20"/>
                <w:szCs w:val="20"/>
                <w:lang w:val="en-GB"/>
              </w:rPr>
              <w:t xml:space="preserve"> tagging.</w:t>
            </w:r>
          </w:p>
          <w:p w14:paraId="2FCD1F7B" w14:textId="77777777" w:rsidR="00BF5BE8" w:rsidRPr="00AB7746" w:rsidRDefault="00BF5BE8" w:rsidP="00BF5BE8">
            <w:pPr>
              <w:pStyle w:val="NoSpacing"/>
              <w:jc w:val="both"/>
              <w:rPr>
                <w:sz w:val="20"/>
                <w:szCs w:val="20"/>
                <w:lang w:val="en-GB"/>
              </w:rPr>
            </w:pPr>
          </w:p>
          <w:p w14:paraId="6B3D7DA9" w14:textId="77777777" w:rsidR="00BF5BE8" w:rsidRPr="00AB7746" w:rsidRDefault="00BF5BE8" w:rsidP="00BF5BE8">
            <w:pPr>
              <w:pStyle w:val="NoSpacing"/>
              <w:jc w:val="both"/>
              <w:rPr>
                <w:b/>
                <w:color w:val="00AC4D"/>
                <w:sz w:val="20"/>
                <w:szCs w:val="20"/>
                <w:lang w:val="en-GB"/>
              </w:rPr>
            </w:pPr>
            <w:r w:rsidRPr="00AB7746">
              <w:rPr>
                <w:b/>
                <w:color w:val="00AC4D"/>
                <w:sz w:val="20"/>
                <w:szCs w:val="20"/>
                <w:lang w:val="en-GB"/>
              </w:rPr>
              <w:t>Module Knowledge Quiz</w:t>
            </w:r>
          </w:p>
          <w:p w14:paraId="310A9D47" w14:textId="77777777" w:rsidR="00BF5BE8" w:rsidRPr="00AB7746" w:rsidRDefault="00BF5BE8" w:rsidP="00BF5BE8">
            <w:pPr>
              <w:pStyle w:val="NoSpacing"/>
              <w:jc w:val="both"/>
              <w:rPr>
                <w:i/>
                <w:sz w:val="20"/>
                <w:szCs w:val="20"/>
                <w:lang w:val="en-GB"/>
              </w:rPr>
            </w:pPr>
            <w:r w:rsidRPr="00AB7746">
              <w:rPr>
                <w:i/>
                <w:sz w:val="20"/>
                <w:szCs w:val="20"/>
                <w:lang w:val="en-GB"/>
              </w:rPr>
              <w:t>Purpose: Consolidate technical and strategic concepts from Topics 1.1 through 1.4.</w:t>
            </w:r>
          </w:p>
          <w:p w14:paraId="7F408162"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1.Under the Omnibus I Directive (EU 2026/470), what is the updated employee threshold for mandatory large undertaking reporting?</w:t>
            </w:r>
          </w:p>
          <w:p w14:paraId="68B08F93" w14:textId="77777777" w:rsidR="00BF5BE8" w:rsidRPr="00AB7746" w:rsidRDefault="00BF5BE8" w:rsidP="00BF5BE8">
            <w:pPr>
              <w:pStyle w:val="NoSpacing"/>
              <w:numPr>
                <w:ilvl w:val="0"/>
                <w:numId w:val="216"/>
              </w:numPr>
              <w:jc w:val="both"/>
              <w:rPr>
                <w:sz w:val="20"/>
                <w:szCs w:val="20"/>
                <w:lang w:val="en-GB"/>
              </w:rPr>
            </w:pPr>
            <w:r w:rsidRPr="00AB7746">
              <w:rPr>
                <w:sz w:val="20"/>
                <w:szCs w:val="20"/>
                <w:lang w:val="en-GB"/>
              </w:rPr>
              <w:t>250+ employees</w:t>
            </w:r>
          </w:p>
          <w:p w14:paraId="5880E7B9" w14:textId="77777777" w:rsidR="00BF5BE8" w:rsidRPr="00AB7746" w:rsidRDefault="00BF5BE8" w:rsidP="00BF5BE8">
            <w:pPr>
              <w:pStyle w:val="NoSpacing"/>
              <w:numPr>
                <w:ilvl w:val="0"/>
                <w:numId w:val="216"/>
              </w:numPr>
              <w:jc w:val="both"/>
              <w:rPr>
                <w:sz w:val="20"/>
                <w:szCs w:val="20"/>
                <w:lang w:val="en-GB"/>
              </w:rPr>
            </w:pPr>
            <w:r w:rsidRPr="00AB7746">
              <w:rPr>
                <w:sz w:val="20"/>
                <w:szCs w:val="20"/>
                <w:lang w:val="en-GB"/>
              </w:rPr>
              <w:t>500+ employees</w:t>
            </w:r>
          </w:p>
          <w:p w14:paraId="64467E92" w14:textId="61CA1E40" w:rsidR="00BF5BE8" w:rsidRPr="00AB7746" w:rsidRDefault="00BF5BE8" w:rsidP="00BF5BE8">
            <w:pPr>
              <w:pStyle w:val="NoSpacing"/>
              <w:numPr>
                <w:ilvl w:val="0"/>
                <w:numId w:val="216"/>
              </w:numPr>
              <w:jc w:val="both"/>
              <w:rPr>
                <w:bCs/>
                <w:sz w:val="20"/>
                <w:szCs w:val="20"/>
                <w:lang w:val="en-GB"/>
              </w:rPr>
            </w:pPr>
            <w:r w:rsidRPr="00AB7746">
              <w:rPr>
                <w:bCs/>
                <w:sz w:val="20"/>
                <w:szCs w:val="20"/>
                <w:lang w:val="en-GB"/>
              </w:rPr>
              <w:t>1,000+ employees.</w:t>
            </w:r>
          </w:p>
          <w:p w14:paraId="7F72831F" w14:textId="77777777" w:rsidR="00BF5BE8" w:rsidRPr="00AB7746" w:rsidRDefault="00BF5BE8" w:rsidP="00BF5BE8">
            <w:pPr>
              <w:pStyle w:val="NoSpacing"/>
              <w:jc w:val="both"/>
              <w:rPr>
                <w:sz w:val="20"/>
                <w:szCs w:val="20"/>
                <w:lang w:val="en-GB"/>
              </w:rPr>
            </w:pPr>
          </w:p>
          <w:p w14:paraId="671D4587"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2. In a professional Data Dictionary, what does "Metadata" provide?</w:t>
            </w:r>
          </w:p>
          <w:p w14:paraId="69014340" w14:textId="77777777" w:rsidR="00BF5BE8" w:rsidRPr="00AB7746" w:rsidRDefault="00BF5BE8" w:rsidP="00BF5BE8">
            <w:pPr>
              <w:pStyle w:val="NoSpacing"/>
              <w:numPr>
                <w:ilvl w:val="0"/>
                <w:numId w:val="217"/>
              </w:numPr>
              <w:jc w:val="both"/>
              <w:rPr>
                <w:sz w:val="20"/>
                <w:szCs w:val="20"/>
                <w:lang w:val="en-GB"/>
              </w:rPr>
            </w:pPr>
            <w:r w:rsidRPr="00AB7746">
              <w:rPr>
                <w:sz w:val="20"/>
                <w:szCs w:val="20"/>
                <w:lang w:val="en-GB"/>
              </w:rPr>
              <w:t>The final numerical value of a KPI.</w:t>
            </w:r>
          </w:p>
          <w:p w14:paraId="707DEE13" w14:textId="77777777" w:rsidR="00BF5BE8" w:rsidRPr="00AB7746" w:rsidRDefault="00BF5BE8" w:rsidP="00BF5BE8">
            <w:pPr>
              <w:pStyle w:val="NoSpacing"/>
              <w:numPr>
                <w:ilvl w:val="0"/>
                <w:numId w:val="217"/>
              </w:numPr>
              <w:jc w:val="both"/>
              <w:rPr>
                <w:bCs/>
                <w:sz w:val="20"/>
                <w:szCs w:val="20"/>
                <w:lang w:val="en-GB"/>
              </w:rPr>
            </w:pPr>
            <w:r w:rsidRPr="00AB7746">
              <w:rPr>
                <w:bCs/>
                <w:sz w:val="20"/>
                <w:szCs w:val="20"/>
                <w:lang w:val="en-GB"/>
              </w:rPr>
              <w:t>The technical context, such as calculation logic, units, and data owners. (Correct)</w:t>
            </w:r>
          </w:p>
          <w:p w14:paraId="2A234A76" w14:textId="3E455FEA" w:rsidR="00BF5BE8" w:rsidRPr="00AB7746" w:rsidRDefault="00BF5BE8" w:rsidP="00BF5BE8">
            <w:pPr>
              <w:pStyle w:val="NoSpacing"/>
              <w:numPr>
                <w:ilvl w:val="0"/>
                <w:numId w:val="217"/>
              </w:numPr>
              <w:jc w:val="both"/>
              <w:rPr>
                <w:sz w:val="20"/>
                <w:szCs w:val="20"/>
                <w:lang w:val="en-GB"/>
              </w:rPr>
            </w:pPr>
            <w:r w:rsidRPr="00AB7746">
              <w:rPr>
                <w:sz w:val="20"/>
                <w:szCs w:val="20"/>
                <w:lang w:val="en-GB"/>
              </w:rPr>
              <w:t>A list of all competitors' emissions.</w:t>
            </w:r>
          </w:p>
          <w:p w14:paraId="7839036D" w14:textId="77777777" w:rsidR="00BF5BE8" w:rsidRPr="00AB7746" w:rsidRDefault="00BF5BE8" w:rsidP="00BF5BE8">
            <w:pPr>
              <w:pStyle w:val="NoSpacing"/>
              <w:ind w:left="720"/>
              <w:jc w:val="both"/>
              <w:rPr>
                <w:sz w:val="20"/>
                <w:szCs w:val="20"/>
                <w:lang w:val="en-GB"/>
              </w:rPr>
            </w:pPr>
          </w:p>
          <w:p w14:paraId="26EC5893"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3. If a factory reduces its absolute energy use by 5%, but its production volume drops by 20%, what has happened to its Energy Intensity?</w:t>
            </w:r>
          </w:p>
          <w:p w14:paraId="540ED2B9" w14:textId="77777777" w:rsidR="00BF5BE8" w:rsidRPr="00AB7746" w:rsidRDefault="00BF5BE8" w:rsidP="00BF5BE8">
            <w:pPr>
              <w:pStyle w:val="NoSpacing"/>
              <w:numPr>
                <w:ilvl w:val="0"/>
                <w:numId w:val="218"/>
              </w:numPr>
              <w:jc w:val="both"/>
              <w:rPr>
                <w:sz w:val="20"/>
                <w:szCs w:val="20"/>
                <w:lang w:val="en-GB"/>
              </w:rPr>
            </w:pPr>
            <w:r w:rsidRPr="00AB7746">
              <w:rPr>
                <w:sz w:val="20"/>
                <w:szCs w:val="20"/>
                <w:lang w:val="en-GB"/>
              </w:rPr>
              <w:t>It has improved (efficiency increased).</w:t>
            </w:r>
          </w:p>
          <w:p w14:paraId="57B6DC72" w14:textId="52E39AB8" w:rsidR="00BF5BE8" w:rsidRPr="00AB7746" w:rsidRDefault="00BF5BE8" w:rsidP="00BF5BE8">
            <w:pPr>
              <w:pStyle w:val="NoSpacing"/>
              <w:numPr>
                <w:ilvl w:val="0"/>
                <w:numId w:val="218"/>
              </w:numPr>
              <w:jc w:val="both"/>
              <w:rPr>
                <w:bCs/>
                <w:sz w:val="20"/>
                <w:szCs w:val="20"/>
                <w:lang w:val="en-GB"/>
              </w:rPr>
            </w:pPr>
            <w:r w:rsidRPr="00AB7746">
              <w:rPr>
                <w:bCs/>
                <w:sz w:val="20"/>
                <w:szCs w:val="20"/>
                <w:lang w:val="en-GB"/>
              </w:rPr>
              <w:t xml:space="preserve">It has worsened (efficiency decreased). </w:t>
            </w:r>
          </w:p>
          <w:p w14:paraId="1D33E811" w14:textId="77777777" w:rsidR="00BF5BE8" w:rsidRPr="00AB7746" w:rsidRDefault="00BF5BE8" w:rsidP="00BF5BE8">
            <w:pPr>
              <w:pStyle w:val="NoSpacing"/>
              <w:jc w:val="both"/>
              <w:rPr>
                <w:sz w:val="20"/>
                <w:szCs w:val="20"/>
                <w:lang w:val="en-GB"/>
              </w:rPr>
            </w:pPr>
          </w:p>
          <w:p w14:paraId="6B5AA82B"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4.Which role is responsible for coordinating the internal validation of data points before they reach external assurance?</w:t>
            </w:r>
          </w:p>
          <w:p w14:paraId="0FF26B37" w14:textId="77777777" w:rsidR="00BF5BE8" w:rsidRPr="00AB7746" w:rsidRDefault="00BF5BE8" w:rsidP="00BF5BE8">
            <w:pPr>
              <w:pStyle w:val="NoSpacing"/>
              <w:numPr>
                <w:ilvl w:val="0"/>
                <w:numId w:val="219"/>
              </w:numPr>
              <w:jc w:val="both"/>
              <w:rPr>
                <w:sz w:val="20"/>
                <w:szCs w:val="20"/>
                <w:lang w:val="en-GB"/>
              </w:rPr>
            </w:pPr>
            <w:r w:rsidRPr="00AB7746">
              <w:rPr>
                <w:sz w:val="20"/>
                <w:szCs w:val="20"/>
                <w:lang w:val="en-GB"/>
              </w:rPr>
              <w:t xml:space="preserve">Data </w:t>
            </w:r>
            <w:r w:rsidRPr="00AB7746">
              <w:rPr>
                <w:bCs/>
                <w:sz w:val="20"/>
                <w:szCs w:val="20"/>
                <w:lang w:val="en-GB"/>
              </w:rPr>
              <w:t>Owner</w:t>
            </w:r>
          </w:p>
          <w:p w14:paraId="6207DE8A" w14:textId="198028EB" w:rsidR="00BF5BE8" w:rsidRPr="00AB7746" w:rsidRDefault="00BF5BE8" w:rsidP="00BF5BE8">
            <w:pPr>
              <w:pStyle w:val="NoSpacing"/>
              <w:numPr>
                <w:ilvl w:val="0"/>
                <w:numId w:val="219"/>
              </w:numPr>
              <w:jc w:val="both"/>
              <w:rPr>
                <w:bCs/>
                <w:sz w:val="20"/>
                <w:szCs w:val="20"/>
                <w:lang w:val="en-GB"/>
              </w:rPr>
            </w:pPr>
            <w:r w:rsidRPr="00AB7746">
              <w:rPr>
                <w:bCs/>
                <w:sz w:val="20"/>
                <w:szCs w:val="20"/>
                <w:lang w:val="en-GB"/>
              </w:rPr>
              <w:t xml:space="preserve">ESG Controller / Data Validator </w:t>
            </w:r>
          </w:p>
          <w:p w14:paraId="62F151DC" w14:textId="21F7609B" w:rsidR="00BF5BE8" w:rsidRPr="00AB7746" w:rsidRDefault="00BF5BE8" w:rsidP="00BF5BE8">
            <w:pPr>
              <w:pStyle w:val="NoSpacing"/>
              <w:numPr>
                <w:ilvl w:val="0"/>
                <w:numId w:val="219"/>
              </w:numPr>
              <w:jc w:val="both"/>
              <w:rPr>
                <w:sz w:val="20"/>
                <w:szCs w:val="20"/>
                <w:lang w:val="en-GB"/>
              </w:rPr>
            </w:pPr>
            <w:r w:rsidRPr="00AB7746">
              <w:rPr>
                <w:sz w:val="20"/>
                <w:szCs w:val="20"/>
                <w:lang w:val="en-GB"/>
              </w:rPr>
              <w:t>The Board of Directors.</w:t>
            </w:r>
          </w:p>
          <w:p w14:paraId="3E6B710C" w14:textId="77777777" w:rsidR="00BF5BE8" w:rsidRPr="00AB7746" w:rsidRDefault="00BF5BE8" w:rsidP="00BF5BE8">
            <w:pPr>
              <w:pStyle w:val="NoSpacing"/>
              <w:ind w:left="720"/>
              <w:jc w:val="both"/>
              <w:rPr>
                <w:sz w:val="20"/>
                <w:szCs w:val="20"/>
                <w:lang w:val="en-GB"/>
              </w:rPr>
            </w:pPr>
          </w:p>
          <w:p w14:paraId="5EDE5D2E"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5. Under the EFRAG Materiality Process, which step involves defining the geographical and operational "System Boundaries"?</w:t>
            </w:r>
          </w:p>
          <w:p w14:paraId="13A99C02" w14:textId="436F2235" w:rsidR="00BF5BE8" w:rsidRPr="00AB7746" w:rsidRDefault="00BF5BE8" w:rsidP="00BF5BE8">
            <w:pPr>
              <w:pStyle w:val="NoSpacing"/>
              <w:numPr>
                <w:ilvl w:val="0"/>
                <w:numId w:val="220"/>
              </w:numPr>
              <w:jc w:val="both"/>
              <w:rPr>
                <w:bCs/>
                <w:sz w:val="20"/>
                <w:szCs w:val="20"/>
                <w:lang w:val="en-GB"/>
              </w:rPr>
            </w:pPr>
            <w:r w:rsidRPr="00AB7746">
              <w:rPr>
                <w:bCs/>
                <w:sz w:val="20"/>
                <w:szCs w:val="20"/>
                <w:lang w:val="en-GB"/>
              </w:rPr>
              <w:t xml:space="preserve">Step A: Understanding the Context </w:t>
            </w:r>
          </w:p>
          <w:p w14:paraId="6CD2BA96" w14:textId="77777777" w:rsidR="00BF5BE8" w:rsidRPr="00AB7746" w:rsidRDefault="00BF5BE8" w:rsidP="00BF5BE8">
            <w:pPr>
              <w:pStyle w:val="NoSpacing"/>
              <w:numPr>
                <w:ilvl w:val="0"/>
                <w:numId w:val="220"/>
              </w:numPr>
              <w:jc w:val="both"/>
              <w:rPr>
                <w:sz w:val="20"/>
                <w:szCs w:val="20"/>
                <w:lang w:val="en-GB"/>
              </w:rPr>
            </w:pPr>
            <w:r w:rsidRPr="00AB7746">
              <w:rPr>
                <w:sz w:val="20"/>
                <w:szCs w:val="20"/>
                <w:lang w:val="en-GB"/>
              </w:rPr>
              <w:t>Step C: Assessment</w:t>
            </w:r>
          </w:p>
          <w:p w14:paraId="6B4CFFBB" w14:textId="3ADCB0CD" w:rsidR="00BF5BE8" w:rsidRPr="00AB7746" w:rsidRDefault="00BF5BE8" w:rsidP="00BF5BE8">
            <w:pPr>
              <w:pStyle w:val="NoSpacing"/>
              <w:numPr>
                <w:ilvl w:val="0"/>
                <w:numId w:val="220"/>
              </w:numPr>
              <w:jc w:val="both"/>
              <w:rPr>
                <w:sz w:val="20"/>
                <w:szCs w:val="20"/>
                <w:lang w:val="en-GB"/>
              </w:rPr>
            </w:pPr>
            <w:r w:rsidRPr="00AB7746">
              <w:rPr>
                <w:sz w:val="20"/>
                <w:szCs w:val="20"/>
                <w:lang w:val="en-GB"/>
              </w:rPr>
              <w:t>Step D: Reporting.</w:t>
            </w:r>
          </w:p>
          <w:p w14:paraId="66A9AA6A" w14:textId="77777777" w:rsidR="00BF5BE8" w:rsidRPr="00AB7746" w:rsidRDefault="00BF5BE8" w:rsidP="00BF5BE8">
            <w:pPr>
              <w:pStyle w:val="NoSpacing"/>
              <w:ind w:left="720"/>
              <w:jc w:val="both"/>
              <w:rPr>
                <w:sz w:val="20"/>
                <w:szCs w:val="20"/>
                <w:lang w:val="en-GB"/>
              </w:rPr>
            </w:pPr>
          </w:p>
          <w:p w14:paraId="03FB90DD" w14:textId="77777777" w:rsidR="00BF5BE8" w:rsidRPr="00AB7746" w:rsidRDefault="00BF5BE8" w:rsidP="00BF5BE8">
            <w:pPr>
              <w:pStyle w:val="NoSpacing"/>
              <w:jc w:val="both"/>
              <w:rPr>
                <w:bCs/>
                <w:color w:val="009889" w:themeColor="accent2"/>
                <w:sz w:val="20"/>
                <w:szCs w:val="20"/>
                <w:lang w:val="en-GB"/>
              </w:rPr>
            </w:pPr>
            <w:r w:rsidRPr="00AB7746">
              <w:rPr>
                <w:bCs/>
                <w:color w:val="009889" w:themeColor="accent2"/>
                <w:sz w:val="20"/>
                <w:szCs w:val="20"/>
                <w:lang w:val="en-GB"/>
              </w:rPr>
              <w:t>6. What technical standard does the ESG Controller use to ensure sustainability data is machine-readable for ESMA?</w:t>
            </w:r>
          </w:p>
          <w:p w14:paraId="64F11F5C" w14:textId="77777777" w:rsidR="00BF5BE8" w:rsidRPr="00AB7746" w:rsidRDefault="00BF5BE8" w:rsidP="00BF5BE8">
            <w:pPr>
              <w:pStyle w:val="NoSpacing"/>
              <w:numPr>
                <w:ilvl w:val="0"/>
                <w:numId w:val="221"/>
              </w:numPr>
              <w:jc w:val="both"/>
              <w:rPr>
                <w:sz w:val="20"/>
                <w:szCs w:val="20"/>
                <w:lang w:val="en-GB"/>
              </w:rPr>
            </w:pPr>
            <w:r w:rsidRPr="00AB7746">
              <w:rPr>
                <w:sz w:val="20"/>
                <w:szCs w:val="20"/>
                <w:lang w:val="en-GB"/>
              </w:rPr>
              <w:t>PDF/A-1</w:t>
            </w:r>
          </w:p>
          <w:p w14:paraId="114D0BA7" w14:textId="0D5CFD53" w:rsidR="00BF5BE8" w:rsidRPr="00AB7746" w:rsidRDefault="00BF5BE8" w:rsidP="00BF5BE8">
            <w:pPr>
              <w:pStyle w:val="NoSpacing"/>
              <w:numPr>
                <w:ilvl w:val="0"/>
                <w:numId w:val="221"/>
              </w:numPr>
              <w:jc w:val="both"/>
              <w:rPr>
                <w:bCs/>
                <w:sz w:val="20"/>
                <w:szCs w:val="20"/>
                <w:lang w:val="en-GB"/>
              </w:rPr>
            </w:pPr>
            <w:proofErr w:type="spellStart"/>
            <w:r w:rsidRPr="00AB7746">
              <w:rPr>
                <w:bCs/>
                <w:sz w:val="20"/>
                <w:szCs w:val="20"/>
                <w:lang w:val="en-GB"/>
              </w:rPr>
              <w:t>iXBRL</w:t>
            </w:r>
            <w:proofErr w:type="spellEnd"/>
            <w:r w:rsidRPr="00AB7746">
              <w:rPr>
                <w:bCs/>
                <w:sz w:val="20"/>
                <w:szCs w:val="20"/>
                <w:lang w:val="en-GB"/>
              </w:rPr>
              <w:t xml:space="preserve"> Tagging (ESEF Format) </w:t>
            </w:r>
          </w:p>
          <w:p w14:paraId="53C4C97A" w14:textId="15FB8D1C" w:rsidR="00BF5BE8" w:rsidRPr="00AB7746" w:rsidRDefault="00BF5BE8" w:rsidP="00BF5BE8">
            <w:pPr>
              <w:pStyle w:val="NoSpacing"/>
              <w:numPr>
                <w:ilvl w:val="0"/>
                <w:numId w:val="221"/>
              </w:numPr>
              <w:jc w:val="both"/>
              <w:rPr>
                <w:sz w:val="20"/>
                <w:szCs w:val="20"/>
                <w:lang w:val="en-GB"/>
              </w:rPr>
            </w:pPr>
            <w:r w:rsidRPr="00AB7746">
              <w:rPr>
                <w:sz w:val="20"/>
                <w:szCs w:val="20"/>
                <w:lang w:val="en-GB"/>
              </w:rPr>
              <w:t>Standard CSV files.</w:t>
            </w:r>
          </w:p>
          <w:p w14:paraId="3E602ACF" w14:textId="77777777" w:rsidR="00B22513" w:rsidRPr="00AB7746" w:rsidRDefault="00B22513" w:rsidP="00B22513">
            <w:pPr>
              <w:pStyle w:val="NoSpacing"/>
              <w:ind w:left="720"/>
              <w:jc w:val="both"/>
              <w:rPr>
                <w:sz w:val="20"/>
                <w:szCs w:val="20"/>
                <w:lang w:val="en-GB"/>
              </w:rPr>
            </w:pPr>
          </w:p>
          <w:p w14:paraId="1A2C9934" w14:textId="43E984BB" w:rsidR="00B22513" w:rsidRPr="00AB7746" w:rsidRDefault="00B22513" w:rsidP="00BF5BE8">
            <w:pPr>
              <w:pStyle w:val="NoSpacing"/>
              <w:jc w:val="both"/>
              <w:rPr>
                <w:i/>
                <w:iCs/>
                <w:sz w:val="20"/>
                <w:szCs w:val="20"/>
                <w:lang w:val="en-GB"/>
              </w:rPr>
            </w:pPr>
            <w:r w:rsidRPr="00AB7746">
              <w:rPr>
                <w:i/>
                <w:iCs/>
                <w:sz w:val="20"/>
                <w:szCs w:val="20"/>
                <w:lang w:val="en-GB"/>
              </w:rPr>
              <w:t>Answer Key: 1. c), 2. b), 3. b), 4. b), 5. a) 6. b).</w:t>
            </w:r>
          </w:p>
          <w:p w14:paraId="316BDA46" w14:textId="77777777" w:rsidR="00B22513" w:rsidRPr="00AB7746" w:rsidRDefault="00B22513" w:rsidP="00BF5BE8">
            <w:pPr>
              <w:pStyle w:val="NoSpacing"/>
              <w:jc w:val="both"/>
              <w:rPr>
                <w:sz w:val="20"/>
                <w:szCs w:val="20"/>
                <w:lang w:val="en-GB"/>
              </w:rPr>
            </w:pPr>
          </w:p>
          <w:p w14:paraId="1B8B6817" w14:textId="77777777" w:rsidR="00BF5BE8" w:rsidRPr="00AB7746" w:rsidRDefault="00BF5BE8" w:rsidP="00BF5BE8">
            <w:pPr>
              <w:pStyle w:val="NoSpacing"/>
              <w:jc w:val="both"/>
              <w:rPr>
                <w:sz w:val="20"/>
                <w:szCs w:val="20"/>
                <w:lang w:val="en-GB"/>
              </w:rPr>
            </w:pPr>
            <w:r w:rsidRPr="00AB7746">
              <w:rPr>
                <w:b/>
                <w:color w:val="00AC4E" w:themeColor="accent1"/>
                <w:sz w:val="20"/>
                <w:szCs w:val="20"/>
                <w:lang w:val="en-GB"/>
              </w:rPr>
              <w:t>Applied Scenario (</w:t>
            </w:r>
            <w:r w:rsidRPr="00AB7746">
              <w:rPr>
                <w:b/>
                <w:color w:val="00AC4E" w:themeColor="accent1"/>
                <w:sz w:val="20"/>
                <w:szCs w:val="20"/>
                <w:u w:val="single"/>
                <w:lang w:val="en-GB"/>
              </w:rPr>
              <w:t>not mandatory)</w:t>
            </w:r>
          </w:p>
          <w:p w14:paraId="4E250D86" w14:textId="77777777" w:rsidR="00BF5BE8" w:rsidRPr="00AB7746" w:rsidRDefault="00BF5BE8" w:rsidP="00BF5BE8">
            <w:pPr>
              <w:pStyle w:val="NoSpacing"/>
              <w:jc w:val="both"/>
              <w:rPr>
                <w:sz w:val="20"/>
                <w:szCs w:val="20"/>
                <w:lang w:val="en-GB"/>
              </w:rPr>
            </w:pPr>
            <w:r w:rsidRPr="00AB7746">
              <w:rPr>
                <w:b/>
                <w:sz w:val="20"/>
                <w:szCs w:val="20"/>
                <w:lang w:val="en-GB"/>
              </w:rPr>
              <w:t>Scenario:</w:t>
            </w:r>
            <w:r w:rsidRPr="00AB7746">
              <w:rPr>
                <w:sz w:val="20"/>
                <w:szCs w:val="20"/>
                <w:lang w:val="en-GB"/>
              </w:rPr>
              <w:br/>
              <w:t>"</w:t>
            </w:r>
            <w:proofErr w:type="spellStart"/>
            <w:r w:rsidRPr="00AB7746">
              <w:rPr>
                <w:sz w:val="20"/>
                <w:szCs w:val="20"/>
                <w:lang w:val="en-GB"/>
              </w:rPr>
              <w:t>GreenGear</w:t>
            </w:r>
            <w:proofErr w:type="spellEnd"/>
            <w:r w:rsidRPr="00AB7746">
              <w:rPr>
                <w:sz w:val="20"/>
                <w:szCs w:val="20"/>
                <w:lang w:val="en-GB"/>
              </w:rPr>
              <w:t xml:space="preserve"> Corp," a large EU manufacturer of bicycle components, is preparing its first CSRD-aligned report. The CEO wants to skip the "Double Materiality" process to save time and simply report the same metrics they used for their voluntary GRI report last year. Meanwhile, the IT department is planning to keep all ESG data in a shared Excel folder, as they believe the final "machine-readability" requirement is just a suggestion.</w:t>
            </w:r>
          </w:p>
          <w:p w14:paraId="7E84BF58" w14:textId="77777777" w:rsidR="00BF5BE8" w:rsidRPr="00AB7746" w:rsidRDefault="00BF5BE8" w:rsidP="00BF5BE8">
            <w:pPr>
              <w:pStyle w:val="NoSpacing"/>
              <w:jc w:val="both"/>
              <w:rPr>
                <w:sz w:val="20"/>
                <w:szCs w:val="20"/>
                <w:lang w:val="en-GB"/>
              </w:rPr>
            </w:pPr>
          </w:p>
          <w:p w14:paraId="45AD81DD" w14:textId="77777777" w:rsidR="00BF5BE8" w:rsidRPr="00AB7746" w:rsidRDefault="00BF5BE8" w:rsidP="00BF5BE8">
            <w:pPr>
              <w:pStyle w:val="NoSpacing"/>
              <w:jc w:val="both"/>
              <w:rPr>
                <w:b/>
                <w:sz w:val="20"/>
                <w:szCs w:val="20"/>
                <w:lang w:val="en-GB"/>
              </w:rPr>
            </w:pPr>
            <w:r w:rsidRPr="00AB7746">
              <w:rPr>
                <w:b/>
                <w:sz w:val="20"/>
                <w:szCs w:val="20"/>
                <w:lang w:val="en-GB"/>
              </w:rPr>
              <w:t>Your Task:</w:t>
            </w:r>
          </w:p>
          <w:p w14:paraId="2C5BCE88" w14:textId="77777777" w:rsidR="00BF5BE8" w:rsidRPr="00AB7746" w:rsidRDefault="00BF5BE8" w:rsidP="00BF5BE8">
            <w:pPr>
              <w:pStyle w:val="NoSpacing"/>
              <w:jc w:val="both"/>
              <w:rPr>
                <w:bCs/>
                <w:sz w:val="20"/>
                <w:szCs w:val="20"/>
                <w:lang w:val="en-GB"/>
              </w:rPr>
            </w:pPr>
            <w:r w:rsidRPr="00AB7746">
              <w:rPr>
                <w:sz w:val="20"/>
                <w:szCs w:val="20"/>
                <w:lang w:val="en-GB"/>
              </w:rPr>
              <w:t>Based on the </w:t>
            </w:r>
            <w:r w:rsidRPr="00AB7746">
              <w:rPr>
                <w:bCs/>
                <w:sz w:val="20"/>
                <w:szCs w:val="20"/>
                <w:lang w:val="en-GB"/>
              </w:rPr>
              <w:t>Governance and Architecture principles learned in this module, identify the two most urgent steps </w:t>
            </w:r>
            <w:proofErr w:type="spellStart"/>
            <w:r w:rsidRPr="00AB7746">
              <w:rPr>
                <w:bCs/>
                <w:sz w:val="20"/>
                <w:szCs w:val="20"/>
                <w:lang w:val="en-GB"/>
              </w:rPr>
              <w:t>AquaTech</w:t>
            </w:r>
            <w:proofErr w:type="spellEnd"/>
            <w:r w:rsidRPr="00AB7746">
              <w:rPr>
                <w:bCs/>
                <w:sz w:val="20"/>
                <w:szCs w:val="20"/>
                <w:lang w:val="en-GB"/>
              </w:rPr>
              <w:t xml:space="preserve"> must take to ensure their data is "audit-ready."</w:t>
            </w:r>
          </w:p>
          <w:p w14:paraId="76A6DB02" w14:textId="429E6C83" w:rsidR="00531361" w:rsidRPr="00AB7746" w:rsidRDefault="00BF5BE8" w:rsidP="00BF5BE8">
            <w:pPr>
              <w:pStyle w:val="NoSpacing"/>
              <w:jc w:val="both"/>
              <w:rPr>
                <w:sz w:val="20"/>
                <w:szCs w:val="20"/>
                <w:lang w:val="en-GB"/>
              </w:rPr>
            </w:pPr>
            <w:r w:rsidRPr="00AB7746">
              <w:rPr>
                <w:bCs/>
                <w:i/>
                <w:sz w:val="20"/>
                <w:szCs w:val="20"/>
                <w:lang w:val="en-GB"/>
              </w:rPr>
              <w:t>(Suggested Answer logic: Step 1: Appoint an ESG Controller to centralize the reporting process and define clear Governance Roles. Step 2: Establish a Data Dictionary that documents the Metadata and System Boundaries for every material KPI to ensure consistency and verifiability.)</w:t>
            </w:r>
          </w:p>
        </w:tc>
      </w:tr>
    </w:tbl>
    <w:p w14:paraId="24E737D4" w14:textId="77777777" w:rsidR="00531361" w:rsidRPr="00EF521E" w:rsidRDefault="00531361" w:rsidP="00413340">
      <w:pPr>
        <w:spacing w:line="240" w:lineRule="auto"/>
        <w:rPr>
          <w:rFonts w:cstheme="minorHAnsi"/>
          <w:szCs w:val="20"/>
        </w:rPr>
      </w:pPr>
    </w:p>
    <w:p w14:paraId="3B9642FC" w14:textId="77777777" w:rsidR="00BB1CD7" w:rsidRPr="00EF521E" w:rsidRDefault="00BB1CD7" w:rsidP="00413340">
      <w:pPr>
        <w:spacing w:line="240" w:lineRule="auto"/>
        <w:rPr>
          <w:rFonts w:cstheme="minorHAnsi"/>
          <w:szCs w:val="20"/>
        </w:rPr>
      </w:pPr>
    </w:p>
    <w:p w14:paraId="70484130" w14:textId="77777777" w:rsidR="00BB1CD7" w:rsidRPr="00EF521E" w:rsidRDefault="00BB1CD7" w:rsidP="00413340">
      <w:pPr>
        <w:spacing w:line="240" w:lineRule="auto"/>
        <w:rPr>
          <w:rFonts w:cstheme="minorHAnsi"/>
          <w:szCs w:val="20"/>
        </w:rPr>
      </w:pPr>
    </w:p>
    <w:p w14:paraId="55559129" w14:textId="0965211F" w:rsidR="00531361" w:rsidRPr="00EF521E" w:rsidRDefault="00531361" w:rsidP="00413340">
      <w:pPr>
        <w:pStyle w:val="Heading1"/>
        <w:numPr>
          <w:ilvl w:val="0"/>
          <w:numId w:val="0"/>
        </w:numPr>
        <w:ind w:left="426" w:hanging="360"/>
        <w:rPr>
          <w:sz w:val="40"/>
          <w:szCs w:val="40"/>
        </w:rPr>
      </w:pPr>
      <w:bookmarkStart w:id="24" w:name="_Toc227485165"/>
      <w:r w:rsidRPr="00EF521E">
        <w:rPr>
          <w:sz w:val="40"/>
          <w:szCs w:val="40"/>
        </w:rPr>
        <w:lastRenderedPageBreak/>
        <w:t>MODULE 2: Energy-Efficient Architecture</w:t>
      </w:r>
      <w:bookmarkEnd w:id="24"/>
    </w:p>
    <w:tbl>
      <w:tblPr>
        <w:tblStyle w:val="TableGrid"/>
        <w:tblW w:w="0" w:type="auto"/>
        <w:tblLook w:val="04A0" w:firstRow="1" w:lastRow="0" w:firstColumn="1" w:lastColumn="0" w:noHBand="0" w:noVBand="1"/>
      </w:tblPr>
      <w:tblGrid>
        <w:gridCol w:w="9628"/>
      </w:tblGrid>
      <w:tr w:rsidR="00BF5BE8" w:rsidRPr="00EF521E" w14:paraId="2A2F3423" w14:textId="77777777" w:rsidTr="00CD130A">
        <w:tc>
          <w:tcPr>
            <w:tcW w:w="9628" w:type="dxa"/>
            <w:shd w:val="clear" w:color="auto" w:fill="D9D9D9" w:themeFill="background1" w:themeFillShade="D9"/>
          </w:tcPr>
          <w:p w14:paraId="4217E815" w14:textId="77777777" w:rsidR="00BF5BE8" w:rsidRPr="00AB7746" w:rsidRDefault="00BF5BE8" w:rsidP="00CD130A">
            <w:pPr>
              <w:pStyle w:val="NoSpacing"/>
              <w:rPr>
                <w:b/>
                <w:bCs/>
                <w:sz w:val="20"/>
                <w:szCs w:val="20"/>
                <w:lang w:val="en-GB"/>
              </w:rPr>
            </w:pPr>
            <w:r w:rsidRPr="00AB7746">
              <w:rPr>
                <w:b/>
                <w:bCs/>
                <w:sz w:val="20"/>
                <w:szCs w:val="20"/>
                <w:lang w:val="en-GB"/>
              </w:rPr>
              <w:t xml:space="preserve">Module Overview: </w:t>
            </w:r>
          </w:p>
        </w:tc>
      </w:tr>
      <w:tr w:rsidR="00BF5BE8" w:rsidRPr="00EF521E" w14:paraId="64488A4D" w14:textId="77777777" w:rsidTr="00CD130A">
        <w:tc>
          <w:tcPr>
            <w:tcW w:w="9628" w:type="dxa"/>
          </w:tcPr>
          <w:p w14:paraId="6FEFF9A1" w14:textId="77777777" w:rsidR="00BF5BE8" w:rsidRPr="00AB7746" w:rsidRDefault="00BF5BE8" w:rsidP="00151A55">
            <w:pPr>
              <w:pStyle w:val="NoSpacing"/>
              <w:jc w:val="both"/>
              <w:rPr>
                <w:sz w:val="20"/>
                <w:szCs w:val="20"/>
                <w:highlight w:val="yellow"/>
                <w:lang w:val="en-GB"/>
              </w:rPr>
            </w:pPr>
            <w:r w:rsidRPr="00AB7746">
              <w:rPr>
                <w:sz w:val="20"/>
                <w:szCs w:val="20"/>
                <w:lang w:val="en-GB"/>
              </w:rPr>
              <w:t>To make correct data-driven decisions and provide accurate sustainability reporting, data first needs to be described, made accessible and its quality guaranteed. The next module will give an overview of data governance, management, collection and quality assurance.</w:t>
            </w:r>
          </w:p>
        </w:tc>
      </w:tr>
      <w:tr w:rsidR="00BF5BE8" w:rsidRPr="00EF521E" w14:paraId="5398C256" w14:textId="77777777" w:rsidTr="00CD130A">
        <w:tc>
          <w:tcPr>
            <w:tcW w:w="9628" w:type="dxa"/>
            <w:shd w:val="clear" w:color="auto" w:fill="D9D9D9" w:themeFill="background1" w:themeFillShade="D9"/>
          </w:tcPr>
          <w:p w14:paraId="4DEE8CB4" w14:textId="77777777" w:rsidR="00BF5BE8" w:rsidRPr="00AB7746" w:rsidRDefault="00BF5BE8" w:rsidP="00151A55">
            <w:pPr>
              <w:pStyle w:val="NoSpacing"/>
              <w:jc w:val="both"/>
              <w:rPr>
                <w:sz w:val="20"/>
                <w:szCs w:val="20"/>
                <w:lang w:val="en-GB"/>
              </w:rPr>
            </w:pPr>
            <w:r w:rsidRPr="00AB7746">
              <w:rPr>
                <w:b/>
                <w:sz w:val="20"/>
                <w:szCs w:val="20"/>
                <w:lang w:val="en-GB"/>
              </w:rPr>
              <w:t>Module learning outcomes</w:t>
            </w:r>
          </w:p>
        </w:tc>
      </w:tr>
      <w:tr w:rsidR="00BF5BE8" w:rsidRPr="00EF521E" w14:paraId="79B4E66E" w14:textId="77777777" w:rsidTr="00CD130A">
        <w:tc>
          <w:tcPr>
            <w:tcW w:w="9628" w:type="dxa"/>
          </w:tcPr>
          <w:p w14:paraId="26643B21" w14:textId="77777777" w:rsidR="00BF5BE8" w:rsidRPr="00AB7746" w:rsidRDefault="00BF5BE8" w:rsidP="00151A55">
            <w:pPr>
              <w:pStyle w:val="ListParagraph"/>
              <w:numPr>
                <w:ilvl w:val="0"/>
                <w:numId w:val="224"/>
              </w:numPr>
              <w:jc w:val="both"/>
              <w:rPr>
                <w:szCs w:val="20"/>
              </w:rPr>
            </w:pPr>
            <w:r w:rsidRPr="00AB7746">
              <w:rPr>
                <w:szCs w:val="20"/>
              </w:rPr>
              <w:t>Know roles, tasks and parts of data governance and data management</w:t>
            </w:r>
          </w:p>
          <w:p w14:paraId="6E3D2B51" w14:textId="77777777" w:rsidR="00BF5BE8" w:rsidRPr="00AB7746" w:rsidRDefault="00BF5BE8" w:rsidP="00151A55">
            <w:pPr>
              <w:pStyle w:val="ListParagraph"/>
              <w:numPr>
                <w:ilvl w:val="0"/>
                <w:numId w:val="224"/>
              </w:numPr>
              <w:jc w:val="both"/>
              <w:rPr>
                <w:szCs w:val="20"/>
              </w:rPr>
            </w:pPr>
            <w:r w:rsidRPr="00AB7746">
              <w:rPr>
                <w:szCs w:val="20"/>
              </w:rPr>
              <w:t>Implement data collection workflows for sustainability reporting frameworks </w:t>
            </w:r>
          </w:p>
          <w:p w14:paraId="3BB3A375" w14:textId="77777777" w:rsidR="00BF5BE8" w:rsidRPr="00AB7746" w:rsidRDefault="00BF5BE8" w:rsidP="00151A55">
            <w:pPr>
              <w:pStyle w:val="ListParagraph"/>
              <w:numPr>
                <w:ilvl w:val="0"/>
                <w:numId w:val="224"/>
              </w:numPr>
              <w:jc w:val="both"/>
              <w:rPr>
                <w:szCs w:val="20"/>
              </w:rPr>
            </w:pPr>
            <w:r w:rsidRPr="00AB7746">
              <w:rPr>
                <w:szCs w:val="20"/>
              </w:rPr>
              <w:t>Apply data quality assurance principles to sustainability datasets.</w:t>
            </w:r>
          </w:p>
          <w:p w14:paraId="155F07A4" w14:textId="4CF13DC6" w:rsidR="00BF5BE8" w:rsidRPr="00AB7746" w:rsidRDefault="00BF5BE8" w:rsidP="00151A55">
            <w:pPr>
              <w:numPr>
                <w:ilvl w:val="0"/>
                <w:numId w:val="224"/>
              </w:numPr>
              <w:jc w:val="both"/>
              <w:rPr>
                <w:rFonts w:ascii="Times New Roman" w:eastAsia="Times New Roman" w:hAnsi="Times New Roman" w:cs="Times New Roman"/>
                <w:szCs w:val="20"/>
                <w:lang w:eastAsia="et-EE"/>
              </w:rPr>
            </w:pPr>
            <w:r w:rsidRPr="00AB7746">
              <w:rPr>
                <w:rFonts w:ascii="Poppins" w:eastAsia="Times New Roman" w:hAnsi="Poppins" w:cs="Poppins"/>
                <w:color w:val="000000"/>
                <w:szCs w:val="20"/>
              </w:rPr>
              <w:t>Create meta-data documentation</w:t>
            </w:r>
          </w:p>
        </w:tc>
      </w:tr>
      <w:tr w:rsidR="00151A55" w:rsidRPr="00EF521E" w14:paraId="1EBEEB9D" w14:textId="77777777" w:rsidTr="00151A55">
        <w:tc>
          <w:tcPr>
            <w:tcW w:w="9628" w:type="dxa"/>
            <w:shd w:val="clear" w:color="auto" w:fill="D9D9D9" w:themeFill="background1" w:themeFillShade="D9"/>
          </w:tcPr>
          <w:p w14:paraId="060C3E4E" w14:textId="67AE3B8B" w:rsidR="00151A55" w:rsidRPr="00AB7746" w:rsidRDefault="00151A55" w:rsidP="00151A55">
            <w:pPr>
              <w:pStyle w:val="NoSpacing"/>
              <w:rPr>
                <w:sz w:val="20"/>
                <w:szCs w:val="20"/>
                <w:lang w:val="en-GB"/>
              </w:rPr>
            </w:pPr>
            <w:r w:rsidRPr="00AB7746">
              <w:rPr>
                <w:b/>
                <w:sz w:val="20"/>
                <w:szCs w:val="20"/>
                <w:lang w:val="en-GB"/>
              </w:rPr>
              <w:t xml:space="preserve">Estimated workload </w:t>
            </w:r>
          </w:p>
        </w:tc>
      </w:tr>
      <w:tr w:rsidR="00BF5BE8" w:rsidRPr="00EF521E" w14:paraId="15BAC45E" w14:textId="77777777" w:rsidTr="00CD130A">
        <w:tc>
          <w:tcPr>
            <w:tcW w:w="9628" w:type="dxa"/>
          </w:tcPr>
          <w:p w14:paraId="0D245248" w14:textId="77777777" w:rsidR="00BF5BE8" w:rsidRPr="00AB7746" w:rsidRDefault="00BF5BE8" w:rsidP="00CD130A">
            <w:pPr>
              <w:pStyle w:val="NoSpacing"/>
              <w:rPr>
                <w:bCs/>
                <w:sz w:val="20"/>
                <w:szCs w:val="20"/>
                <w:lang w:val="en-GB"/>
              </w:rPr>
            </w:pPr>
            <w:r w:rsidRPr="00AB7746">
              <w:rPr>
                <w:bCs/>
                <w:sz w:val="20"/>
                <w:szCs w:val="20"/>
                <w:lang w:val="en-GB"/>
              </w:rPr>
              <w:t>Lecture hours (F2F): 6 hours</w:t>
            </w:r>
          </w:p>
          <w:p w14:paraId="45753CC4" w14:textId="77777777" w:rsidR="00BF5BE8" w:rsidRPr="00AB7746" w:rsidRDefault="00BF5BE8" w:rsidP="00CD130A">
            <w:pPr>
              <w:pStyle w:val="NoSpacing"/>
              <w:rPr>
                <w:bCs/>
                <w:sz w:val="20"/>
                <w:szCs w:val="20"/>
                <w:lang w:val="en-GB"/>
              </w:rPr>
            </w:pPr>
            <w:r w:rsidRPr="00AB7746">
              <w:rPr>
                <w:bCs/>
                <w:sz w:val="20"/>
                <w:szCs w:val="20"/>
                <w:lang w:val="en-GB"/>
              </w:rPr>
              <w:t>Self-study: 6 hours</w:t>
            </w:r>
          </w:p>
          <w:p w14:paraId="3DA91647" w14:textId="77777777" w:rsidR="00BF5BE8" w:rsidRPr="00AB7746" w:rsidRDefault="00BF5BE8" w:rsidP="00CD130A">
            <w:pPr>
              <w:pStyle w:val="NoSpacing"/>
              <w:rPr>
                <w:bCs/>
                <w:sz w:val="20"/>
                <w:szCs w:val="20"/>
                <w:lang w:val="en-GB"/>
              </w:rPr>
            </w:pPr>
            <w:r w:rsidRPr="00AB7746">
              <w:rPr>
                <w:bCs/>
                <w:sz w:val="20"/>
                <w:szCs w:val="20"/>
                <w:lang w:val="en-GB"/>
              </w:rPr>
              <w:t>Practical application (if applicable): 5 hours</w:t>
            </w:r>
          </w:p>
          <w:p w14:paraId="1AC86AED" w14:textId="704F7726" w:rsidR="00BF5BE8" w:rsidRPr="00AB7746" w:rsidRDefault="00BF5BE8" w:rsidP="00CD130A">
            <w:pPr>
              <w:pStyle w:val="NoSpacing"/>
              <w:rPr>
                <w:sz w:val="20"/>
                <w:szCs w:val="20"/>
                <w:lang w:val="en-GB"/>
              </w:rPr>
            </w:pPr>
            <w:r w:rsidRPr="00AB7746">
              <w:rPr>
                <w:bCs/>
                <w:sz w:val="20"/>
                <w:szCs w:val="20"/>
                <w:lang w:val="en-GB"/>
              </w:rPr>
              <w:t>Assessment link: This module contributes to the metadata and data quality assurance part of the final assessment.</w:t>
            </w:r>
          </w:p>
        </w:tc>
      </w:tr>
      <w:tr w:rsidR="00151A55" w:rsidRPr="00EF521E" w14:paraId="7FB2A905" w14:textId="77777777" w:rsidTr="00151A55">
        <w:tc>
          <w:tcPr>
            <w:tcW w:w="9628" w:type="dxa"/>
            <w:shd w:val="clear" w:color="auto" w:fill="D9D9D9" w:themeFill="background1" w:themeFillShade="D9"/>
          </w:tcPr>
          <w:p w14:paraId="6D7A1634" w14:textId="23904262" w:rsidR="00151A55" w:rsidRPr="00AB7746" w:rsidRDefault="00151A55" w:rsidP="00CD130A">
            <w:pPr>
              <w:pStyle w:val="NoSpacing"/>
              <w:rPr>
                <w:b/>
                <w:sz w:val="20"/>
                <w:szCs w:val="20"/>
                <w:lang w:val="en-GB"/>
              </w:rPr>
            </w:pPr>
            <w:r w:rsidRPr="00AB7746">
              <w:rPr>
                <w:b/>
                <w:sz w:val="20"/>
                <w:szCs w:val="20"/>
                <w:lang w:val="en-GB"/>
              </w:rPr>
              <w:t>Practical focus / deliverable:</w:t>
            </w:r>
          </w:p>
        </w:tc>
      </w:tr>
      <w:tr w:rsidR="00151A55" w:rsidRPr="00EF521E" w14:paraId="3E2A70A9" w14:textId="77777777" w:rsidTr="00CD130A">
        <w:tc>
          <w:tcPr>
            <w:tcW w:w="9628" w:type="dxa"/>
          </w:tcPr>
          <w:p w14:paraId="5663651A" w14:textId="4B506A16" w:rsidR="00151A55" w:rsidRPr="00AB7746" w:rsidRDefault="00151A55" w:rsidP="00CD130A">
            <w:pPr>
              <w:pStyle w:val="NoSpacing"/>
              <w:rPr>
                <w:b/>
                <w:sz w:val="20"/>
                <w:szCs w:val="20"/>
                <w:lang w:val="en-GB"/>
              </w:rPr>
            </w:pPr>
            <w:r w:rsidRPr="00AB7746">
              <w:rPr>
                <w:sz w:val="20"/>
                <w:szCs w:val="20"/>
                <w:lang w:val="en-GB"/>
              </w:rPr>
              <w:t>Metadata description and short data quality audit report.</w:t>
            </w:r>
          </w:p>
        </w:tc>
      </w:tr>
    </w:tbl>
    <w:p w14:paraId="7C4B2730" w14:textId="77777777" w:rsidR="00BF5BE8" w:rsidRPr="00EF521E" w:rsidRDefault="00BF5BE8" w:rsidP="00413340">
      <w:pPr>
        <w:spacing w:line="240" w:lineRule="auto"/>
      </w:pPr>
    </w:p>
    <w:p w14:paraId="7A0DCB47" w14:textId="01C16AC2" w:rsidR="00BF5BE8" w:rsidRDefault="00BF5BE8" w:rsidP="00413340">
      <w:pPr>
        <w:spacing w:line="240" w:lineRule="auto"/>
      </w:pPr>
    </w:p>
    <w:p w14:paraId="00522996" w14:textId="77777777" w:rsidR="00AB7746" w:rsidRDefault="00AB7746" w:rsidP="00413340">
      <w:pPr>
        <w:spacing w:line="240" w:lineRule="auto"/>
      </w:pPr>
    </w:p>
    <w:p w14:paraId="73133DF8" w14:textId="77777777" w:rsidR="00AB7746" w:rsidRDefault="00AB7746" w:rsidP="00413340">
      <w:pPr>
        <w:spacing w:line="240" w:lineRule="auto"/>
      </w:pPr>
    </w:p>
    <w:p w14:paraId="6A3E1C6F" w14:textId="77777777" w:rsidR="00AB7746" w:rsidRDefault="00AB7746" w:rsidP="00413340">
      <w:pPr>
        <w:spacing w:line="240" w:lineRule="auto"/>
      </w:pPr>
    </w:p>
    <w:p w14:paraId="68E34B6A" w14:textId="77777777" w:rsidR="00AB7746" w:rsidRDefault="00AB7746" w:rsidP="00413340">
      <w:pPr>
        <w:spacing w:line="240" w:lineRule="auto"/>
      </w:pPr>
    </w:p>
    <w:p w14:paraId="35AEAD74" w14:textId="77777777" w:rsidR="00AB7746" w:rsidRDefault="00AB7746" w:rsidP="00413340">
      <w:pPr>
        <w:spacing w:line="240" w:lineRule="auto"/>
      </w:pPr>
    </w:p>
    <w:p w14:paraId="1340E982" w14:textId="77777777" w:rsidR="00AB7746" w:rsidRDefault="00AB7746" w:rsidP="00413340">
      <w:pPr>
        <w:spacing w:line="240" w:lineRule="auto"/>
      </w:pPr>
    </w:p>
    <w:p w14:paraId="35929D56" w14:textId="77777777" w:rsidR="00AB7746" w:rsidRDefault="00AB7746" w:rsidP="00413340">
      <w:pPr>
        <w:spacing w:line="240" w:lineRule="auto"/>
      </w:pPr>
    </w:p>
    <w:p w14:paraId="4A799D87" w14:textId="77777777" w:rsidR="00AB7746" w:rsidRDefault="00AB7746" w:rsidP="00413340">
      <w:pPr>
        <w:spacing w:line="240" w:lineRule="auto"/>
      </w:pPr>
    </w:p>
    <w:p w14:paraId="2E66B1BC" w14:textId="77777777" w:rsidR="00AB7746" w:rsidRDefault="00AB7746" w:rsidP="00413340">
      <w:pPr>
        <w:spacing w:line="240" w:lineRule="auto"/>
      </w:pPr>
    </w:p>
    <w:p w14:paraId="68CBB7D4" w14:textId="77777777" w:rsidR="00AB7746" w:rsidRDefault="00AB7746" w:rsidP="00413340">
      <w:pPr>
        <w:spacing w:line="240" w:lineRule="auto"/>
      </w:pPr>
    </w:p>
    <w:p w14:paraId="27131A12" w14:textId="77777777" w:rsidR="00AB7746" w:rsidRDefault="00AB7746" w:rsidP="00413340">
      <w:pPr>
        <w:spacing w:line="240" w:lineRule="auto"/>
      </w:pPr>
    </w:p>
    <w:p w14:paraId="687DE280" w14:textId="77777777" w:rsidR="00AB7746" w:rsidRDefault="00AB7746" w:rsidP="00413340">
      <w:pPr>
        <w:spacing w:line="240" w:lineRule="auto"/>
      </w:pPr>
    </w:p>
    <w:p w14:paraId="4D1F5BBB" w14:textId="77777777" w:rsidR="00AB7746" w:rsidRDefault="00AB7746" w:rsidP="00413340">
      <w:pPr>
        <w:spacing w:line="240" w:lineRule="auto"/>
      </w:pPr>
    </w:p>
    <w:p w14:paraId="1FFE33BA" w14:textId="77777777" w:rsidR="00AB7746" w:rsidRPr="00EF521E" w:rsidRDefault="00AB7746" w:rsidP="00413340">
      <w:pPr>
        <w:spacing w:line="240" w:lineRule="auto"/>
      </w:pPr>
    </w:p>
    <w:tbl>
      <w:tblPr>
        <w:tblStyle w:val="TableGrid"/>
        <w:tblW w:w="9634" w:type="dxa"/>
        <w:tblLayout w:type="fixed"/>
        <w:tblLook w:val="04A0" w:firstRow="1" w:lastRow="0" w:firstColumn="1" w:lastColumn="0" w:noHBand="0" w:noVBand="1"/>
      </w:tblPr>
      <w:tblGrid>
        <w:gridCol w:w="9634"/>
      </w:tblGrid>
      <w:tr w:rsidR="00BF5BE8" w:rsidRPr="00EF521E" w14:paraId="164F071C" w14:textId="77777777" w:rsidTr="00DE6AC3">
        <w:trPr>
          <w:trHeight w:val="300"/>
        </w:trPr>
        <w:tc>
          <w:tcPr>
            <w:tcW w:w="9634" w:type="dxa"/>
          </w:tcPr>
          <w:p w14:paraId="1CFC4E28" w14:textId="302F018C" w:rsidR="00BF5BE8" w:rsidRPr="00EF521E" w:rsidRDefault="00BF5BE8" w:rsidP="00BF5BE8">
            <w:pPr>
              <w:pStyle w:val="Heading3"/>
              <w:numPr>
                <w:ilvl w:val="0"/>
                <w:numId w:val="0"/>
              </w:numPr>
              <w:rPr>
                <w:sz w:val="32"/>
                <w:szCs w:val="32"/>
                <w:lang w:val="en-GB"/>
              </w:rPr>
            </w:pPr>
            <w:bookmarkStart w:id="25" w:name="_Toc227485166"/>
            <w:r w:rsidRPr="00EF521E">
              <w:rPr>
                <w:sz w:val="32"/>
                <w:szCs w:val="32"/>
                <w:lang w:val="en-GB"/>
              </w:rPr>
              <w:lastRenderedPageBreak/>
              <w:t>Topic 2.1: Data Governance and Management</w:t>
            </w:r>
            <w:bookmarkEnd w:id="25"/>
          </w:p>
        </w:tc>
      </w:tr>
      <w:tr w:rsidR="00DE6AC3" w:rsidRPr="00EF521E" w14:paraId="1602307D" w14:textId="77777777" w:rsidTr="00DE6AC3">
        <w:trPr>
          <w:trHeight w:val="398"/>
        </w:trPr>
        <w:tc>
          <w:tcPr>
            <w:tcW w:w="9634" w:type="dxa"/>
            <w:shd w:val="clear" w:color="auto" w:fill="D9D9D9" w:themeFill="background1" w:themeFillShade="D9"/>
          </w:tcPr>
          <w:p w14:paraId="7A011150" w14:textId="499850B6" w:rsidR="00DE6AC3" w:rsidRPr="00AB7746" w:rsidRDefault="00DE6AC3" w:rsidP="00BF5BE8">
            <w:pPr>
              <w:pStyle w:val="Heading3"/>
              <w:numPr>
                <w:ilvl w:val="0"/>
                <w:numId w:val="0"/>
              </w:numPr>
              <w:rPr>
                <w:color w:val="auto"/>
                <w:sz w:val="20"/>
                <w:szCs w:val="20"/>
                <w:lang w:val="en-GB"/>
              </w:rPr>
            </w:pPr>
            <w:bookmarkStart w:id="26" w:name="_Toc227485167"/>
            <w:r w:rsidRPr="00AB7746">
              <w:rPr>
                <w:rFonts w:asciiTheme="minorHAnsi" w:hAnsiTheme="minorHAnsi"/>
                <w:b/>
                <w:color w:val="auto"/>
                <w:sz w:val="20"/>
                <w:szCs w:val="20"/>
                <w:lang w:val="en-GB"/>
              </w:rPr>
              <w:t>Short introduction:</w:t>
            </w:r>
            <w:bookmarkEnd w:id="26"/>
          </w:p>
        </w:tc>
      </w:tr>
      <w:tr w:rsidR="00DE6AC3" w:rsidRPr="00EF521E" w14:paraId="70F57F41" w14:textId="77777777" w:rsidTr="00DE6AC3">
        <w:trPr>
          <w:trHeight w:val="300"/>
        </w:trPr>
        <w:tc>
          <w:tcPr>
            <w:tcW w:w="9634" w:type="dxa"/>
          </w:tcPr>
          <w:p w14:paraId="569017FF" w14:textId="2DD111BE" w:rsidR="00DE6AC3" w:rsidRPr="00AB7746" w:rsidRDefault="00DE6AC3"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Data has become one of the most critical strategic assets in modern organizations. To have an overview of which data and how is used in an organization, data governance and data management practices need to be in place. In the next chapter, introduction to data governance and data management is provided. A through look into roles, processes, data lifecycle and metadata is provided.</w:t>
            </w:r>
          </w:p>
        </w:tc>
      </w:tr>
      <w:tr w:rsidR="00DE6AC3" w:rsidRPr="00EF521E" w14:paraId="174A7BD2" w14:textId="77777777" w:rsidTr="00DE6AC3">
        <w:trPr>
          <w:trHeight w:val="300"/>
        </w:trPr>
        <w:tc>
          <w:tcPr>
            <w:tcW w:w="9634" w:type="dxa"/>
            <w:shd w:val="clear" w:color="auto" w:fill="D9D9D9" w:themeFill="background1" w:themeFillShade="D9"/>
          </w:tcPr>
          <w:p w14:paraId="39128A25" w14:textId="378EB384" w:rsidR="00DE6AC3" w:rsidRPr="00AB7746" w:rsidRDefault="00DE6AC3" w:rsidP="00DE6AC3">
            <w:pPr>
              <w:pStyle w:val="NormalWeb"/>
              <w:spacing w:before="40" w:beforeAutospacing="0" w:after="40" w:line="276" w:lineRule="auto"/>
              <w:rPr>
                <w:rFonts w:asciiTheme="minorHAnsi" w:hAnsiTheme="minorHAnsi"/>
                <w:b/>
                <w:sz w:val="20"/>
                <w:szCs w:val="20"/>
                <w:lang w:val="en-GB"/>
              </w:rPr>
            </w:pPr>
            <w:r w:rsidRPr="00AB7746">
              <w:rPr>
                <w:rFonts w:asciiTheme="minorHAnsi" w:hAnsiTheme="minorHAnsi"/>
                <w:b/>
                <w:sz w:val="20"/>
                <w:szCs w:val="20"/>
                <w:lang w:val="en-GB"/>
              </w:rPr>
              <w:t xml:space="preserve">Theory &amp; Knowledge: </w:t>
            </w:r>
          </w:p>
        </w:tc>
      </w:tr>
      <w:tr w:rsidR="00BF5BE8" w:rsidRPr="00EF521E" w14:paraId="4144C045" w14:textId="77777777" w:rsidTr="00DE6AC3">
        <w:trPr>
          <w:trHeight w:val="300"/>
        </w:trPr>
        <w:tc>
          <w:tcPr>
            <w:tcW w:w="9634" w:type="dxa"/>
          </w:tcPr>
          <w:p w14:paraId="0B3F1DE0"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Data governance is a set of policies and rules which gives instructions on how data should be used in an organization. Data management is the actions taken to enforce these policies. As an analogy, data governance is the blueprint to build a house and data management is the actual steps taken to build a house.</w:t>
            </w:r>
          </w:p>
          <w:p w14:paraId="4F3DFB04" w14:textId="478A3BC4" w:rsidR="00BF5BE8" w:rsidRPr="00EF521E" w:rsidRDefault="00BF5BE8" w:rsidP="00696E1E">
            <w:pPr>
              <w:pStyle w:val="NormalWeb"/>
              <w:spacing w:before="40" w:beforeAutospacing="0"/>
              <w:jc w:val="both"/>
              <w:rPr>
                <w:rFonts w:asciiTheme="minorHAnsi" w:eastAsia="Arial" w:hAnsiTheme="minorHAnsi"/>
                <w:color w:val="2D2D2D"/>
                <w:sz w:val="22"/>
                <w:szCs w:val="22"/>
                <w:lang w:val="en-GB"/>
              </w:rPr>
            </w:pPr>
            <w:r w:rsidRPr="00EF521E">
              <w:rPr>
                <w:rFonts w:asciiTheme="minorHAnsi" w:eastAsia="Arial" w:hAnsiTheme="minorHAnsi" w:cstheme="minorHAnsi"/>
                <w:noProof/>
                <w:color w:val="282B35" w:themeColor="text2"/>
                <w:sz w:val="22"/>
                <w:szCs w:val="22"/>
                <w:lang w:val="en-GB"/>
              </w:rPr>
              <mc:AlternateContent>
                <mc:Choice Requires="wps">
                  <w:drawing>
                    <wp:anchor distT="0" distB="0" distL="114300" distR="114300" simplePos="0" relativeHeight="251670528" behindDoc="0" locked="0" layoutInCell="1" allowOverlap="1" wp14:anchorId="2CCC199C" wp14:editId="2CFF4685">
                      <wp:simplePos x="0" y="0"/>
                      <wp:positionH relativeFrom="column">
                        <wp:posOffset>2894492</wp:posOffset>
                      </wp:positionH>
                      <wp:positionV relativeFrom="paragraph">
                        <wp:posOffset>725170</wp:posOffset>
                      </wp:positionV>
                      <wp:extent cx="690664" cy="0"/>
                      <wp:effectExtent l="0" t="76200" r="14604" b="95250"/>
                      <wp:wrapNone/>
                      <wp:docPr id="35" name="Straight Arrow Connector 4"/>
                      <wp:cNvGraphicFramePr/>
                      <a:graphic xmlns:a="http://schemas.openxmlformats.org/drawingml/2006/main">
                        <a:graphicData uri="http://schemas.microsoft.com/office/word/2010/wordprocessingShape">
                          <wps:wsp>
                            <wps:cNvCnPr/>
                            <wps:spPr bwMode="auto">
                              <a:xfrm>
                                <a:off x="0" y="0"/>
                                <a:ext cx="690664"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B06637" id="_x0000_t32" coordsize="21600,21600" o:spt="32" o:oned="t" path="m,l21600,21600e" filled="f">
                      <v:path arrowok="t" fillok="f" o:connecttype="none"/>
                      <o:lock v:ext="edit" shapetype="t"/>
                    </v:shapetype>
                    <v:shape id="Straight Arrow Connector 4" o:spid="_x0000_s1026" type="#_x0000_t32" style="position:absolute;margin-left:227.9pt;margin-top:57.1pt;width:54.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Xi1gEAAAsEAAAOAAAAZHJzL2Uyb0RvYy54bWysU8uO2zAMvBfoPwi6d+0ERdAacfaQ7fbS&#10;x6KPD1BkKhYgi4LEjZ2/L6XE3r5QoEUvhCVxhpwhvb2dBidOEJNF38rVTS0FeI2d9cdWfv1y/+KV&#10;FImU75RDD608Q5K3u+fPtmNoYI09ug6iYBKfmjG0sicKTVUl3cOg0g0G8PxoMA6K+BiPVRfVyOyD&#10;q9Z1valGjF2IqCElvr27PMpd4TcGNH00JgEJ10rujUqMJR5yrHZb1RyjCr3V1zbUP3QxKOu56EJ1&#10;p0iJx2h/oRqsjpjQ0I3GoUJjrIaigdWs6p/UfO5VgKKFzUlhsSn9P1r94bT3D5FtGENqUniI4jC+&#10;x45HpR4Ji6bJxCFr427FVKw7L9bBRELz5eZ1vdm8lELPT5VqZlyIid4CDiJ/tDJRVPbY0x695/lg&#10;XJUq6vQuEffBwBmQizqfY0Jnu3vrXDnk5YC9i+KkeKw0rfMYGfdDFinr3vhO0DmwGIpW+aODa2Zm&#10;rWbFV+10dnCp+AmMsB2runRWlvGpntIaPK0WJs7OMMPdLcC6SPoj8JqfoVAW9W/AC6JURk8LeLAe&#10;4++q0zS3bC75swMX3dmMA3bnsgvFGt644ur178gr/f25wJ/+4d03AAAA//8DAFBLAwQUAAYACAAA&#10;ACEAD0Duzt0AAAALAQAADwAAAGRycy9kb3ducmV2LnhtbEyPQU+DQBCF7yb+h82YeLNLW0CDLI3V&#10;mBhvRY3XKYyAsrOEXVr67x0TEz2+eS/vfZNvZturA42+c2xguYhAEVeu7rgx8PryeHUDygfkGnvH&#10;ZOBEHjbF+VmOWe2OvKNDGRolJewzNNCGMGRa+6oli37hBmLxPtxoMYgcG12PeJRy2+tVFKXaYsey&#10;0OJA9y1VX+VkDXxup+hBN9vn09tTVSJdr+3avRtzeTHf3YIKNIe/MPzgCzoUwrR3E9de9QbiJBH0&#10;IMYyXoGSRJLGKaj970UXuf7/Q/ENAAD//wMAUEsBAi0AFAAGAAgAAAAhALaDOJL+AAAA4QEAABMA&#10;AAAAAAAAAAAAAAAAAAAAAFtDb250ZW50X1R5cGVzXS54bWxQSwECLQAUAAYACAAAACEAOP0h/9YA&#10;AACUAQAACwAAAAAAAAAAAAAAAAAvAQAAX3JlbHMvLnJlbHNQSwECLQAUAAYACAAAACEApJ314tYB&#10;AAALBAAADgAAAAAAAAAAAAAAAAAuAgAAZHJzL2Uyb0RvYy54bWxQSwECLQAUAAYACAAAACEAD0Du&#10;zt0AAAALAQAADwAAAAAAAAAAAAAAAAAwBAAAZHJzL2Rvd25yZXYueG1sUEsFBgAAAAAEAAQA8wAA&#10;ADoFAAAAAA==&#10;" strokecolor="#282b35 [3215]" strokeweight=".5pt">
                      <v:stroke endarrow="block" joinstyle="miter"/>
                    </v:shape>
                  </w:pict>
                </mc:Fallback>
              </mc:AlternateContent>
            </w:r>
            <w:r w:rsidRPr="00EF521E">
              <w:rPr>
                <w:rFonts w:asciiTheme="minorHAnsi" w:eastAsia="Arial" w:hAnsiTheme="minorHAnsi"/>
                <w:color w:val="2D2D2D"/>
                <w:sz w:val="22"/>
                <w:szCs w:val="22"/>
                <w:lang w:val="en-GB"/>
              </w:rPr>
              <w:t xml:space="preserve">            </w:t>
            </w:r>
          </w:p>
          <w:p w14:paraId="45EAE79D" w14:textId="77777777" w:rsidR="00696E1E" w:rsidRDefault="00696E1E" w:rsidP="00696E1E">
            <w:pPr>
              <w:keepNext/>
              <w:spacing w:before="60" w:after="80"/>
              <w:jc w:val="center"/>
            </w:pPr>
            <w:r>
              <w:rPr>
                <w:i/>
                <w:noProof/>
                <w:color w:val="2D2D2D"/>
                <w:sz w:val="22"/>
                <w:szCs w:val="22"/>
              </w:rPr>
              <w:drawing>
                <wp:inline distT="0" distB="0" distL="0" distR="0" wp14:anchorId="380ED334" wp14:editId="6C370E4B">
                  <wp:extent cx="4015740" cy="1920240"/>
                  <wp:effectExtent l="0" t="0" r="3810" b="3810"/>
                  <wp:docPr id="496978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78799" name="Picture 496978799"/>
                          <pic:cNvPicPr/>
                        </pic:nvPicPr>
                        <pic:blipFill>
                          <a:blip r:embed="rId53">
                            <a:extLst>
                              <a:ext uri="{28A0092B-C50C-407E-A947-70E740481C1C}">
                                <a14:useLocalDpi xmlns:a14="http://schemas.microsoft.com/office/drawing/2010/main" val="0"/>
                              </a:ext>
                            </a:extLst>
                          </a:blip>
                          <a:stretch>
                            <a:fillRect/>
                          </a:stretch>
                        </pic:blipFill>
                        <pic:spPr>
                          <a:xfrm>
                            <a:off x="0" y="0"/>
                            <a:ext cx="4015740" cy="1920240"/>
                          </a:xfrm>
                          <a:prstGeom prst="rect">
                            <a:avLst/>
                          </a:prstGeom>
                        </pic:spPr>
                      </pic:pic>
                    </a:graphicData>
                  </a:graphic>
                </wp:inline>
              </w:drawing>
            </w:r>
          </w:p>
          <w:p w14:paraId="2B7EFA82" w14:textId="425FC96E" w:rsidR="00BF5BE8" w:rsidRPr="00696E1E" w:rsidRDefault="00696E1E" w:rsidP="00696E1E">
            <w:pPr>
              <w:pStyle w:val="Caption"/>
              <w:jc w:val="center"/>
              <w:rPr>
                <w:b w:val="0"/>
                <w:bCs w:val="0"/>
                <w:i/>
                <w:color w:val="2D2D2D"/>
                <w:sz w:val="22"/>
                <w:szCs w:val="22"/>
              </w:rPr>
            </w:pPr>
            <w:bookmarkStart w:id="27" w:name="_Toc227486386"/>
            <w:r w:rsidRPr="00696E1E">
              <w:rPr>
                <w:b w:val="0"/>
                <w:bCs w:val="0"/>
              </w:rPr>
              <w:t xml:space="preserve">Figure </w:t>
            </w:r>
            <w:r w:rsidRPr="00696E1E">
              <w:rPr>
                <w:b w:val="0"/>
                <w:bCs w:val="0"/>
              </w:rPr>
              <w:fldChar w:fldCharType="begin"/>
            </w:r>
            <w:r w:rsidRPr="00696E1E">
              <w:rPr>
                <w:b w:val="0"/>
                <w:bCs w:val="0"/>
              </w:rPr>
              <w:instrText xml:space="preserve"> SEQ Figure \* ARABIC </w:instrText>
            </w:r>
            <w:r w:rsidRPr="00696E1E">
              <w:rPr>
                <w:b w:val="0"/>
                <w:bCs w:val="0"/>
              </w:rPr>
              <w:fldChar w:fldCharType="separate"/>
            </w:r>
            <w:r w:rsidR="00D135B0">
              <w:rPr>
                <w:b w:val="0"/>
                <w:bCs w:val="0"/>
                <w:noProof/>
              </w:rPr>
              <w:t>8</w:t>
            </w:r>
            <w:r w:rsidRPr="00696E1E">
              <w:rPr>
                <w:b w:val="0"/>
                <w:bCs w:val="0"/>
              </w:rPr>
              <w:fldChar w:fldCharType="end"/>
            </w:r>
            <w:r w:rsidRPr="00696E1E">
              <w:rPr>
                <w:b w:val="0"/>
                <w:bCs w:val="0"/>
              </w:rPr>
              <w:t>. Data Governance and Data Management as plan and actions. (Source: created by author)</w:t>
            </w:r>
            <w:bookmarkEnd w:id="27"/>
          </w:p>
          <w:p w14:paraId="2F285EB8" w14:textId="77777777" w:rsidR="00AB7746" w:rsidRDefault="00AB7746" w:rsidP="00DE6AC3">
            <w:pPr>
              <w:spacing w:before="60" w:after="80"/>
              <w:jc w:val="both"/>
              <w:rPr>
                <w:iCs/>
                <w:color w:val="2D2D2D"/>
                <w:szCs w:val="20"/>
              </w:rPr>
            </w:pPr>
          </w:p>
          <w:p w14:paraId="415D17A1" w14:textId="6F6C7744" w:rsidR="00BF5BE8" w:rsidRPr="00AB7746" w:rsidRDefault="00BF5BE8" w:rsidP="00DE6AC3">
            <w:pPr>
              <w:spacing w:before="60" w:after="80"/>
              <w:jc w:val="both"/>
              <w:rPr>
                <w:iCs/>
                <w:color w:val="2D2D2D"/>
                <w:szCs w:val="20"/>
              </w:rPr>
            </w:pPr>
            <w:r w:rsidRPr="00AB7746">
              <w:rPr>
                <w:iCs/>
                <w:color w:val="2D2D2D"/>
                <w:szCs w:val="20"/>
              </w:rPr>
              <w:t>Image shows two icons: a paper with pen and a brick wall construction and an arrow between them. Below the paper icon there is a text “Data Governance = the plan” and below the bricks icon there is a text “Data management = the process of building”.</w:t>
            </w:r>
          </w:p>
          <w:p w14:paraId="2B60637E" w14:textId="77777777" w:rsidR="00BF5BE8" w:rsidRPr="00AB7746" w:rsidRDefault="00BF5BE8" w:rsidP="00DE6AC3">
            <w:pPr>
              <w:spacing w:before="60" w:after="80"/>
              <w:jc w:val="both"/>
              <w:rPr>
                <w:rFonts w:eastAsia="Arial"/>
                <w:color w:val="2D2D2D"/>
                <w:szCs w:val="20"/>
              </w:rPr>
            </w:pPr>
          </w:p>
          <w:p w14:paraId="2BD590BF"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The goal of data governance and data management is to ensure that the data is described, accessible and with high-quality. Thanks to this, an organization can make better decisions, provide better services and reduce operational costs. </w:t>
            </w:r>
          </w:p>
          <w:p w14:paraId="3B1EBD2A"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For better understanding of data management, check out the video “What is data management?” by Denise </w:t>
            </w:r>
            <w:proofErr w:type="spellStart"/>
            <w:r w:rsidRPr="00AB7746">
              <w:rPr>
                <w:rFonts w:eastAsia="Arial"/>
                <w:color w:val="2D2D2D"/>
                <w:szCs w:val="20"/>
              </w:rPr>
              <w:t>Harders</w:t>
            </w:r>
            <w:proofErr w:type="spellEnd"/>
            <w:r w:rsidRPr="00AB7746">
              <w:rPr>
                <w:rFonts w:eastAsia="Arial"/>
                <w:color w:val="2D2D2D"/>
                <w:szCs w:val="20"/>
              </w:rPr>
              <w:t>:</w:t>
            </w:r>
          </w:p>
          <w:p w14:paraId="1466BF7B" w14:textId="77777777" w:rsidR="002074FD" w:rsidRDefault="002074FD" w:rsidP="002074FD">
            <w:pPr>
              <w:keepNext/>
              <w:spacing w:before="60" w:after="80"/>
              <w:jc w:val="center"/>
            </w:pPr>
            <w:r>
              <w:rPr>
                <w:rFonts w:eastAsia="Arial"/>
                <w:noProof/>
                <w:color w:val="2D2D2D"/>
                <w:sz w:val="22"/>
                <w:szCs w:val="22"/>
              </w:rPr>
              <w:lastRenderedPageBreak/>
              <w:drawing>
                <wp:inline distT="0" distB="0" distL="0" distR="0" wp14:anchorId="2FA832BB" wp14:editId="7F7F7F58">
                  <wp:extent cx="5019558" cy="3764668"/>
                  <wp:effectExtent l="76200" t="76200" r="124460" b="140970"/>
                  <wp:docPr id="2144792303" name="Video 15" descr="What is data management? Let me explain. (Short versi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2303" name="Video 15" descr="What is data management? Let me explain. (Short version).">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8nPx2rM0NU?feature=oembed&quot; frameborder=&quot;0&quot; allow=&quot;accelerometer; autoplay; clipboard-write; encrypted-media; gyroscope; picture-in-picture; web-share&quot; referrerpolicy=&quot;strict-origin-when-cross-origin&quot; allowfullscreen=&quot;&quot; title=&quot;What is data management? Let me explain. (Short version).&quot; sandbox=&quot;allow-scripts allow-same-origin allow-popups&quot;&gt;&lt;/iframe&gt;" h="113" w="200"/>
                              </a:ext>
                            </a:extLst>
                          </a:blip>
                          <a:stretch>
                            <a:fillRect/>
                          </a:stretch>
                        </pic:blipFill>
                        <pic:spPr>
                          <a:xfrm>
                            <a:off x="0" y="0"/>
                            <a:ext cx="5041726" cy="3781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4BBC91" w14:textId="468DD572" w:rsidR="00BF5BE8" w:rsidRPr="002074FD" w:rsidRDefault="002074FD" w:rsidP="002074FD">
            <w:pPr>
              <w:pStyle w:val="Caption"/>
              <w:jc w:val="center"/>
              <w:rPr>
                <w:rFonts w:eastAsia="Arial"/>
                <w:b w:val="0"/>
                <w:bCs w:val="0"/>
                <w:color w:val="2D2D2D"/>
                <w:sz w:val="22"/>
                <w:szCs w:val="22"/>
              </w:rPr>
            </w:pPr>
            <w:bookmarkStart w:id="28" w:name="_Toc227738763"/>
            <w:r w:rsidRPr="002074FD">
              <w:rPr>
                <w:b w:val="0"/>
                <w:bCs w:val="0"/>
              </w:rPr>
              <w:t xml:space="preserve">Video </w:t>
            </w:r>
            <w:r w:rsidRPr="002074FD">
              <w:rPr>
                <w:b w:val="0"/>
                <w:bCs w:val="0"/>
              </w:rPr>
              <w:fldChar w:fldCharType="begin"/>
            </w:r>
            <w:r w:rsidRPr="002074FD">
              <w:rPr>
                <w:b w:val="0"/>
                <w:bCs w:val="0"/>
              </w:rPr>
              <w:instrText xml:space="preserve"> SEQ Video \* ARABIC </w:instrText>
            </w:r>
            <w:r w:rsidRPr="002074FD">
              <w:rPr>
                <w:b w:val="0"/>
                <w:bCs w:val="0"/>
              </w:rPr>
              <w:fldChar w:fldCharType="separate"/>
            </w:r>
            <w:r>
              <w:rPr>
                <w:b w:val="0"/>
                <w:bCs w:val="0"/>
                <w:noProof/>
              </w:rPr>
              <w:t>6</w:t>
            </w:r>
            <w:r w:rsidRPr="002074FD">
              <w:rPr>
                <w:b w:val="0"/>
                <w:bCs w:val="0"/>
              </w:rPr>
              <w:fldChar w:fldCharType="end"/>
            </w:r>
            <w:r w:rsidRPr="002074FD">
              <w:rPr>
                <w:b w:val="0"/>
                <w:bCs w:val="0"/>
              </w:rPr>
              <w:t>. What is data management? (</w:t>
            </w:r>
            <w:hyperlink r:id="rId56" w:history="1">
              <w:r w:rsidRPr="002074FD">
                <w:rPr>
                  <w:rStyle w:val="Hyperlink"/>
                  <w:b w:val="0"/>
                  <w:bCs w:val="0"/>
                  <w:color w:val="009889" w:themeColor="accent2"/>
                  <w:lang w:val="et-EE"/>
                </w:rPr>
                <w:t>https://www.youtube.com/watch?v=38nPx2rM0NU</w:t>
              </w:r>
            </w:hyperlink>
            <w:r w:rsidRPr="002074FD">
              <w:rPr>
                <w:b w:val="0"/>
                <w:bCs w:val="0"/>
              </w:rPr>
              <w:t>)</w:t>
            </w:r>
            <w:bookmarkEnd w:id="28"/>
          </w:p>
          <w:p w14:paraId="658DC504" w14:textId="77777777" w:rsidR="00BF5BE8" w:rsidRPr="00EF521E" w:rsidRDefault="00BF5BE8" w:rsidP="00DE6AC3">
            <w:pPr>
              <w:spacing w:before="60" w:after="80"/>
              <w:jc w:val="both"/>
            </w:pPr>
          </w:p>
          <w:p w14:paraId="0ACC0917" w14:textId="77777777" w:rsidR="00BF5BE8" w:rsidRPr="00AB7746" w:rsidRDefault="00BF5BE8" w:rsidP="00DE6AC3">
            <w:pPr>
              <w:spacing w:before="60" w:after="80"/>
              <w:jc w:val="both"/>
              <w:rPr>
                <w:rFonts w:eastAsia="Arial"/>
                <w:b/>
                <w:color w:val="009889" w:themeColor="accent2"/>
                <w:szCs w:val="20"/>
              </w:rPr>
            </w:pPr>
            <w:r w:rsidRPr="00AB7746">
              <w:rPr>
                <w:rFonts w:eastAsia="Arial"/>
                <w:b/>
                <w:color w:val="009889" w:themeColor="accent2"/>
                <w:szCs w:val="20"/>
              </w:rPr>
              <w:t>Parts of Data Governance</w:t>
            </w:r>
          </w:p>
          <w:p w14:paraId="50857AA4" w14:textId="12ECF261"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Isaac Sacolick, President of </w:t>
            </w:r>
            <w:proofErr w:type="spellStart"/>
            <w:r w:rsidRPr="00AB7746">
              <w:rPr>
                <w:rFonts w:eastAsia="Arial"/>
                <w:color w:val="2D2D2D"/>
                <w:szCs w:val="20"/>
              </w:rPr>
              <w:t>StarCIO</w:t>
            </w:r>
            <w:proofErr w:type="spellEnd"/>
            <w:r w:rsidRPr="00AB7746">
              <w:rPr>
                <w:rFonts w:eastAsia="Arial"/>
                <w:color w:val="2D2D2D"/>
                <w:szCs w:val="20"/>
              </w:rPr>
              <w:t xml:space="preserve">, a digital transformation learning company, brings out eight parts of data governance (see Figure </w:t>
            </w:r>
            <w:r w:rsidR="00290AAA" w:rsidRPr="00AB7746">
              <w:rPr>
                <w:rFonts w:eastAsia="Arial"/>
                <w:color w:val="2D2D2D"/>
                <w:szCs w:val="20"/>
              </w:rPr>
              <w:t>9</w:t>
            </w:r>
            <w:r w:rsidRPr="00AB7746">
              <w:rPr>
                <w:rFonts w:eastAsia="Arial"/>
                <w:color w:val="2D2D2D"/>
                <w:szCs w:val="20"/>
              </w:rPr>
              <w:t>). Blue icons represent the organizational responsibilities, policies, documentation, and tools that enable people in the organization to understand data assets. The green icons represent hybrid business, data and technical practices that drive sourcing and managing data.</w:t>
            </w:r>
          </w:p>
          <w:p w14:paraId="6C8826B0" w14:textId="77777777" w:rsidR="00696E1E" w:rsidRDefault="00BF5BE8" w:rsidP="00696E1E">
            <w:pPr>
              <w:keepNext/>
              <w:spacing w:before="60" w:after="80"/>
              <w:jc w:val="center"/>
            </w:pPr>
            <w:r w:rsidRPr="00EF521E">
              <w:rPr>
                <w:noProof/>
              </w:rPr>
              <w:drawing>
                <wp:inline distT="0" distB="0" distL="0" distR="0" wp14:anchorId="6197D11F" wp14:editId="6B52096B">
                  <wp:extent cx="5123843" cy="3062185"/>
                  <wp:effectExtent l="0" t="0" r="635" b="508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57"/>
                          <a:stretch/>
                        </pic:blipFill>
                        <pic:spPr bwMode="auto">
                          <a:xfrm>
                            <a:off x="0" y="0"/>
                            <a:ext cx="5135301" cy="3069032"/>
                          </a:xfrm>
                          <a:prstGeom prst="rect">
                            <a:avLst/>
                          </a:prstGeom>
                          <a:noFill/>
                          <a:ln>
                            <a:noFill/>
                          </a:ln>
                        </pic:spPr>
                      </pic:pic>
                    </a:graphicData>
                  </a:graphic>
                </wp:inline>
              </w:drawing>
            </w:r>
          </w:p>
          <w:p w14:paraId="65B3D48B" w14:textId="5662DA2B" w:rsidR="00BF5BE8" w:rsidRPr="00AB7746" w:rsidRDefault="00696E1E" w:rsidP="00AB7746">
            <w:pPr>
              <w:pStyle w:val="Caption"/>
              <w:jc w:val="center"/>
              <w:rPr>
                <w:rFonts w:eastAsia="Arial"/>
                <w:b w:val="0"/>
                <w:bCs w:val="0"/>
                <w:color w:val="2D2D2D"/>
                <w:sz w:val="22"/>
                <w:szCs w:val="22"/>
              </w:rPr>
            </w:pPr>
            <w:bookmarkStart w:id="29" w:name="_Toc227486387"/>
            <w:r w:rsidRPr="00696E1E">
              <w:rPr>
                <w:b w:val="0"/>
                <w:bCs w:val="0"/>
              </w:rPr>
              <w:t xml:space="preserve">Figure </w:t>
            </w:r>
            <w:r w:rsidRPr="00696E1E">
              <w:rPr>
                <w:b w:val="0"/>
                <w:bCs w:val="0"/>
              </w:rPr>
              <w:fldChar w:fldCharType="begin"/>
            </w:r>
            <w:r w:rsidRPr="00696E1E">
              <w:rPr>
                <w:b w:val="0"/>
                <w:bCs w:val="0"/>
              </w:rPr>
              <w:instrText xml:space="preserve"> SEQ Figure \* ARABIC </w:instrText>
            </w:r>
            <w:r w:rsidRPr="00696E1E">
              <w:rPr>
                <w:b w:val="0"/>
                <w:bCs w:val="0"/>
              </w:rPr>
              <w:fldChar w:fldCharType="separate"/>
            </w:r>
            <w:r w:rsidR="00D135B0">
              <w:rPr>
                <w:b w:val="0"/>
                <w:bCs w:val="0"/>
                <w:noProof/>
              </w:rPr>
              <w:t>9</w:t>
            </w:r>
            <w:r w:rsidRPr="00696E1E">
              <w:rPr>
                <w:b w:val="0"/>
                <w:bCs w:val="0"/>
              </w:rPr>
              <w:fldChar w:fldCharType="end"/>
            </w:r>
            <w:r w:rsidRPr="00696E1E">
              <w:rPr>
                <w:b w:val="0"/>
                <w:bCs w:val="0"/>
              </w:rPr>
              <w:t xml:space="preserve">. Parts of Data Governance (Image source: </w:t>
            </w:r>
            <w:proofErr w:type="spellStart"/>
            <w:r w:rsidRPr="00696E1E">
              <w:rPr>
                <w:b w:val="0"/>
                <w:bCs w:val="0"/>
              </w:rPr>
              <w:t>StarCIO</w:t>
            </w:r>
            <w:proofErr w:type="spellEnd"/>
            <w:r w:rsidRPr="00696E1E">
              <w:rPr>
                <w:b w:val="0"/>
                <w:bCs w:val="0"/>
              </w:rPr>
              <w:t>)</w:t>
            </w:r>
            <w:bookmarkEnd w:id="29"/>
            <w:r>
              <w:rPr>
                <w:rFonts w:eastAsia="Arial"/>
                <w:sz w:val="22"/>
                <w:szCs w:val="22"/>
              </w:rPr>
              <w:t xml:space="preserve"> </w:t>
            </w:r>
          </w:p>
          <w:p w14:paraId="3EEDBC73" w14:textId="09EEC841" w:rsidR="00BF5BE8" w:rsidRPr="00AB7746" w:rsidRDefault="00BF5BE8" w:rsidP="00DE6AC3">
            <w:pPr>
              <w:spacing w:before="60" w:after="80"/>
              <w:jc w:val="both"/>
              <w:rPr>
                <w:rFonts w:eastAsia="Arial"/>
                <w:i/>
                <w:color w:val="2D2D2D"/>
                <w:szCs w:val="20"/>
              </w:rPr>
            </w:pPr>
            <w:r w:rsidRPr="00AB7746">
              <w:rPr>
                <w:rFonts w:eastAsia="Arial"/>
                <w:i/>
                <w:color w:val="2D2D2D"/>
                <w:szCs w:val="20"/>
              </w:rPr>
              <w:lastRenderedPageBreak/>
              <w:t xml:space="preserve">Image description: Image shows one big red circle in the middle with text “Data Governance” and eight smaller circles around the middle circle with icons and texts: blue circle with text “Organization” and icon of three people; blue circle with text “Policies” and icon of a paper; blue circle with text “Data </w:t>
            </w:r>
            <w:r w:rsidR="00290AAA" w:rsidRPr="00AB7746">
              <w:rPr>
                <w:rFonts w:eastAsia="Arial"/>
                <w:i/>
                <w:color w:val="2D2D2D"/>
                <w:szCs w:val="20"/>
              </w:rPr>
              <w:t>catalogues</w:t>
            </w:r>
            <w:r w:rsidRPr="00AB7746">
              <w:rPr>
                <w:rFonts w:eastAsia="Arial"/>
                <w:i/>
                <w:color w:val="2D2D2D"/>
                <w:szCs w:val="20"/>
              </w:rPr>
              <w:t>” and icon of stacked books; blue circle with text “Data &amp; analytic definitions” and icon of a bar chart; green circle with text “Data sourcing” and an icon of cloud and down arrow; green circle with text “Data quality &amp; Master Data” and icon of a paper with checklist; green circle with text “Data operations” and an icon of two gear wheels; green circle with text “Data security” and an icon of a padlock.</w:t>
            </w:r>
          </w:p>
          <w:p w14:paraId="41636D75" w14:textId="77777777" w:rsidR="00BF5BE8" w:rsidRPr="00AB7746" w:rsidRDefault="00BF5BE8" w:rsidP="00DE6AC3">
            <w:pPr>
              <w:spacing w:before="60" w:after="80"/>
              <w:jc w:val="both"/>
              <w:rPr>
                <w:rFonts w:eastAsia="Arial"/>
                <w:color w:val="2D2D2D"/>
                <w:szCs w:val="20"/>
              </w:rPr>
            </w:pPr>
          </w:p>
          <w:p w14:paraId="1E6AE7A4"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Next, each part of data governance is explained in more detail:</w:t>
            </w:r>
          </w:p>
          <w:p w14:paraId="064532A8"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Organization</w:t>
            </w:r>
          </w:p>
          <w:p w14:paraId="27B513BA"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The organizational component of data governance refers to the people, roles, and structures responsible for overseeing and managing data across the organization. This includes establishing data governance councils, appointing data stewards, data owners and a Chief Data Officer who collectively define accountability for data assets.</w:t>
            </w:r>
          </w:p>
          <w:p w14:paraId="68C27EFD"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Policies</w:t>
            </w:r>
          </w:p>
          <w:p w14:paraId="088EA780"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Data governance policies are the formal rules, standards, and guidelines that dictate how data should be collected, stored, accessed, used, and disposed of within an organization. These policies serve as the backbone of governance, ensuring compliance with regulations, while also reflecting internal business requirements.</w:t>
            </w:r>
          </w:p>
          <w:p w14:paraId="63BC8914"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 xml:space="preserve">Data </w:t>
            </w:r>
            <w:proofErr w:type="spellStart"/>
            <w:r w:rsidRPr="00AB7746">
              <w:rPr>
                <w:rFonts w:eastAsia="Arial"/>
                <w:b/>
                <w:color w:val="2D2D2D"/>
                <w:szCs w:val="20"/>
              </w:rPr>
              <w:t>Catalogs</w:t>
            </w:r>
            <w:proofErr w:type="spellEnd"/>
          </w:p>
          <w:p w14:paraId="52E3AB37"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A data </w:t>
            </w:r>
            <w:proofErr w:type="spellStart"/>
            <w:r w:rsidRPr="00AB7746">
              <w:rPr>
                <w:rFonts w:eastAsia="Arial"/>
                <w:color w:val="2D2D2D"/>
                <w:szCs w:val="20"/>
              </w:rPr>
              <w:t>catalog</w:t>
            </w:r>
            <w:proofErr w:type="spellEnd"/>
            <w:r w:rsidRPr="00AB7746">
              <w:rPr>
                <w:rFonts w:eastAsia="Arial"/>
                <w:color w:val="2D2D2D"/>
                <w:szCs w:val="20"/>
              </w:rPr>
              <w:t xml:space="preserve"> is essentially a searchable inventory of an organization's data assets, providing metadata, lineage, and context that helps users understand what data exists, where it comes from, and how it can be used. Think of it as a library card system for your data — it enables data consumers across the business to discover relevant datasets quickly.</w:t>
            </w:r>
          </w:p>
          <w:p w14:paraId="032C4CDA"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Data &amp; Analytic Definitions</w:t>
            </w:r>
          </w:p>
          <w:p w14:paraId="558D01F0"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This component focuses on establishing a common business vocabulary and standardized definitions for key data elements and metrics used across the organization. When different departments define "revenue," "customer," or "active user" in different ways, it leads to conflicting reports and poor decision-making. Data and analytic definitions (captured in a business glossary) ensure that everyone is speaking the same language.</w:t>
            </w:r>
          </w:p>
          <w:p w14:paraId="1D903D9E"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Data Sourcing</w:t>
            </w:r>
          </w:p>
          <w:p w14:paraId="41989051"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Data sourcing encompasses the processes and standards by which data is acquired, ingested and integrated into an organization's systems, whether from internal systems, third-party vendors or external data providers. Governance of data sourcing ensures that the origin, reliability and licensing of data are well understood before it is used in business decisions or analytical models.</w:t>
            </w:r>
          </w:p>
          <w:p w14:paraId="14E55CEE"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Data Quality &amp; Master Data</w:t>
            </w:r>
          </w:p>
          <w:p w14:paraId="3E2AC059"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Data quality governance ensures that data is accurate, complete, consistent, timely and fit for its intended purpose. This involves defining quality standards, implementing monitoring and cleansing processes and resolving data issues at their root cause. Master Data Management </w:t>
            </w:r>
            <w:r w:rsidRPr="00AB7746">
              <w:rPr>
                <w:rFonts w:eastAsia="Arial"/>
                <w:color w:val="2D2D2D"/>
                <w:szCs w:val="20"/>
              </w:rPr>
              <w:lastRenderedPageBreak/>
              <w:t>(MDM) is closely related, focusing specifically on creating a single, authoritative "golden record" for key business entities such as customers, products, suppliers and employees.</w:t>
            </w:r>
          </w:p>
          <w:p w14:paraId="0921DE6B"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Data Operations</w:t>
            </w:r>
          </w:p>
          <w:p w14:paraId="735E584E"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Data operations cover the processes, workflows and technologies used to manage the day-to-day movement, transformation, storage, and monitoring of data throughout its lifecycle. This includes pipelines, scheduling, incident management and ensuring that data flows reliably from source systems to consumption points. A governance lens on data operations means applying standards and oversight to these processes so that they are auditable, repeatable and resilient.</w:t>
            </w:r>
          </w:p>
          <w:p w14:paraId="056E9356" w14:textId="77777777" w:rsidR="00BF5BE8" w:rsidRPr="00AB7746" w:rsidRDefault="00BF5BE8" w:rsidP="00DE6AC3">
            <w:pPr>
              <w:spacing w:before="60" w:after="80"/>
              <w:jc w:val="both"/>
              <w:rPr>
                <w:rFonts w:eastAsia="Arial"/>
                <w:b/>
                <w:color w:val="2D2D2D"/>
                <w:szCs w:val="20"/>
              </w:rPr>
            </w:pPr>
            <w:r w:rsidRPr="00AB7746">
              <w:rPr>
                <w:rFonts w:eastAsia="Arial"/>
                <w:b/>
                <w:color w:val="2D2D2D"/>
                <w:szCs w:val="20"/>
              </w:rPr>
              <w:t>Data Security</w:t>
            </w:r>
          </w:p>
          <w:p w14:paraId="7E170C67"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Data security within a governance framework involves defining and enforcing controls that protect data from unauthorized access, breaches and misuse. This includes role-based access controls, encryption, data masking, audit logging and policies around data sharing and retention.</w:t>
            </w:r>
          </w:p>
          <w:p w14:paraId="5543B42B" w14:textId="77777777" w:rsidR="00BF5BE8" w:rsidRPr="00AB7746" w:rsidRDefault="00BF5BE8" w:rsidP="00DE6AC3">
            <w:pPr>
              <w:spacing w:before="60" w:after="80"/>
              <w:jc w:val="both"/>
              <w:rPr>
                <w:rFonts w:eastAsia="Arial"/>
                <w:color w:val="2D2D2D"/>
                <w:szCs w:val="20"/>
              </w:rPr>
            </w:pPr>
          </w:p>
          <w:p w14:paraId="2163AD11" w14:textId="77777777" w:rsidR="00BF5BE8" w:rsidRPr="00AB7746" w:rsidRDefault="00BF5BE8" w:rsidP="00DE6AC3">
            <w:pPr>
              <w:spacing w:before="60" w:after="80"/>
              <w:jc w:val="both"/>
              <w:rPr>
                <w:rFonts w:eastAsia="Arial"/>
                <w:color w:val="2D2D2D"/>
                <w:szCs w:val="20"/>
              </w:rPr>
            </w:pPr>
            <w:r w:rsidRPr="00AB7746">
              <w:rPr>
                <w:rFonts w:eastAsia="Arial"/>
                <w:color w:val="2D2D2D"/>
                <w:szCs w:val="20"/>
              </w:rPr>
              <w:t xml:space="preserve">Find out more about Data Governance in this video by Adam Finer: </w:t>
            </w:r>
          </w:p>
          <w:p w14:paraId="15C25B47" w14:textId="77777777" w:rsidR="002074FD" w:rsidRDefault="002074FD" w:rsidP="002074FD">
            <w:pPr>
              <w:keepNext/>
              <w:spacing w:before="60" w:after="80"/>
              <w:jc w:val="center"/>
            </w:pPr>
            <w:r>
              <w:rPr>
                <w:rFonts w:eastAsia="Arial"/>
                <w:noProof/>
                <w:color w:val="2D2D2D"/>
                <w:sz w:val="22"/>
                <w:szCs w:val="22"/>
              </w:rPr>
              <w:drawing>
                <wp:inline distT="0" distB="0" distL="0" distR="0" wp14:anchorId="00565C1C" wp14:editId="63B5E493">
                  <wp:extent cx="5053940" cy="3790456"/>
                  <wp:effectExtent l="76200" t="76200" r="128270" b="133985"/>
                  <wp:docPr id="1106623175" name="Video 16" descr="What Is Data Governance? (And Why It Matter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23175" name="Video 16" descr="What Is Data Governance? (And Why It Matters)">
                            <a:hlinkClick r:id="rId58"/>
                          </pic:cNvPr>
                          <pic:cNvPicPr/>
                        </pic:nvPicPr>
                        <pic:blipFill>
                          <a:blip r:embed="rId5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kFByuEK1lc?feature=oembed&quot; frameborder=&quot;0&quot; allow=&quot;accelerometer; autoplay; clipboard-write; encrypted-media; gyroscope; picture-in-picture; web-share&quot; referrerpolicy=&quot;strict-origin-when-cross-origin&quot; allowfullscreen=&quot;&quot; title=&quot;What Is Data Governance? (And Why It Matters)&quot; sandbox=&quot;allow-scripts allow-same-origin allow-popups&quot;&gt;&lt;/iframe&gt;" h="113" w="200"/>
                              </a:ext>
                            </a:extLst>
                          </a:blip>
                          <a:stretch>
                            <a:fillRect/>
                          </a:stretch>
                        </pic:blipFill>
                        <pic:spPr>
                          <a:xfrm>
                            <a:off x="0" y="0"/>
                            <a:ext cx="5072302" cy="3804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F317AE" w14:textId="2436B2D3" w:rsidR="00BF5BE8" w:rsidRPr="002074FD" w:rsidRDefault="002074FD" w:rsidP="002074FD">
            <w:pPr>
              <w:pStyle w:val="Caption"/>
              <w:jc w:val="center"/>
              <w:rPr>
                <w:rFonts w:eastAsia="Arial"/>
                <w:b w:val="0"/>
                <w:bCs w:val="0"/>
                <w:color w:val="2D2D2D"/>
                <w:sz w:val="22"/>
                <w:szCs w:val="22"/>
              </w:rPr>
            </w:pPr>
            <w:bookmarkStart w:id="30" w:name="_Toc227738764"/>
            <w:r w:rsidRPr="002074FD">
              <w:rPr>
                <w:b w:val="0"/>
                <w:bCs w:val="0"/>
              </w:rPr>
              <w:t xml:space="preserve">Video </w:t>
            </w:r>
            <w:r w:rsidRPr="002074FD">
              <w:rPr>
                <w:b w:val="0"/>
                <w:bCs w:val="0"/>
              </w:rPr>
              <w:fldChar w:fldCharType="begin"/>
            </w:r>
            <w:r w:rsidRPr="002074FD">
              <w:rPr>
                <w:b w:val="0"/>
                <w:bCs w:val="0"/>
              </w:rPr>
              <w:instrText xml:space="preserve"> SEQ Video \* ARABIC </w:instrText>
            </w:r>
            <w:r w:rsidRPr="002074FD">
              <w:rPr>
                <w:b w:val="0"/>
                <w:bCs w:val="0"/>
              </w:rPr>
              <w:fldChar w:fldCharType="separate"/>
            </w:r>
            <w:r>
              <w:rPr>
                <w:b w:val="0"/>
                <w:bCs w:val="0"/>
                <w:noProof/>
              </w:rPr>
              <w:t>7</w:t>
            </w:r>
            <w:r w:rsidRPr="002074FD">
              <w:rPr>
                <w:b w:val="0"/>
                <w:bCs w:val="0"/>
              </w:rPr>
              <w:fldChar w:fldCharType="end"/>
            </w:r>
            <w:r w:rsidRPr="002074FD">
              <w:rPr>
                <w:b w:val="0"/>
                <w:bCs w:val="0"/>
              </w:rPr>
              <w:t>. Data Governance (https://www.youtube.com/watch?si=gByGFvZmpKm50Zsn&amp;v=6kFByuEK1lc&amp;feature=youtu.be)</w:t>
            </w:r>
            <w:bookmarkEnd w:id="30"/>
          </w:p>
          <w:p w14:paraId="13E03206" w14:textId="77777777" w:rsidR="00BF5BE8" w:rsidRPr="00AB7746" w:rsidRDefault="00BF5BE8" w:rsidP="00DE6AC3">
            <w:pPr>
              <w:pStyle w:val="NormalWeb"/>
              <w:spacing w:before="40" w:after="40"/>
              <w:jc w:val="both"/>
              <w:rPr>
                <w:rFonts w:asciiTheme="minorHAnsi" w:eastAsia="Arial" w:hAnsiTheme="minorHAnsi"/>
                <w:b/>
                <w:iCs/>
                <w:color w:val="00AC4E" w:themeColor="accent1"/>
                <w:sz w:val="20"/>
                <w:szCs w:val="20"/>
                <w:lang w:val="en-GB"/>
              </w:rPr>
            </w:pPr>
            <w:r w:rsidRPr="00AB7746">
              <w:rPr>
                <w:rFonts w:asciiTheme="minorHAnsi" w:eastAsia="Arial" w:hAnsiTheme="minorHAnsi"/>
                <w:b/>
                <w:iCs/>
                <w:color w:val="00AC4E" w:themeColor="accent1"/>
                <w:sz w:val="20"/>
                <w:szCs w:val="20"/>
                <w:lang w:val="en-GB"/>
              </w:rPr>
              <w:t>Micro-Activity about parts of data governance</w:t>
            </w:r>
          </w:p>
          <w:p w14:paraId="63F41C39" w14:textId="4DF1CCCE" w:rsidR="00BF5BE8" w:rsidRPr="00AB7746" w:rsidRDefault="00BF5BE8" w:rsidP="00AB7746">
            <w:pPr>
              <w:pStyle w:val="NormalWeb"/>
              <w:spacing w:before="4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 xml:space="preserve">A company notices that two departments define 'active customer' differently. Which component of data governance is missing and what would you recommend </w:t>
            </w:r>
            <w:r w:rsidR="001B29F2" w:rsidRPr="00AB7746">
              <w:rPr>
                <w:rFonts w:asciiTheme="minorHAnsi" w:eastAsia="Arial" w:hAnsiTheme="minorHAnsi"/>
                <w:sz w:val="20"/>
                <w:szCs w:val="20"/>
                <w:lang w:val="en-GB"/>
              </w:rPr>
              <w:t>fixing</w:t>
            </w:r>
            <w:r w:rsidRPr="00AB7746">
              <w:rPr>
                <w:rFonts w:asciiTheme="minorHAnsi" w:eastAsia="Arial" w:hAnsiTheme="minorHAnsi"/>
                <w:sz w:val="20"/>
                <w:szCs w:val="20"/>
                <w:lang w:val="en-GB"/>
              </w:rPr>
              <w:t xml:space="preserve"> this?</w:t>
            </w:r>
          </w:p>
          <w:p w14:paraId="26EBB03E" w14:textId="77777777" w:rsidR="00BF5BE8" w:rsidRPr="00AB7746" w:rsidRDefault="00BF5BE8" w:rsidP="00DE6AC3">
            <w:pPr>
              <w:spacing w:before="60" w:after="80"/>
              <w:jc w:val="both"/>
              <w:rPr>
                <w:rFonts w:eastAsia="Arial"/>
                <w:b/>
                <w:color w:val="009889" w:themeColor="accent2"/>
                <w:szCs w:val="20"/>
              </w:rPr>
            </w:pPr>
            <w:r w:rsidRPr="00AB7746">
              <w:rPr>
                <w:rFonts w:eastAsia="Arial"/>
                <w:b/>
                <w:color w:val="009889" w:themeColor="accent2"/>
                <w:szCs w:val="20"/>
              </w:rPr>
              <w:lastRenderedPageBreak/>
              <w:t>Data Lifecycle</w:t>
            </w:r>
          </w:p>
          <w:p w14:paraId="3AD505D4" w14:textId="0976FE71"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 xml:space="preserve">When it comes to data governance and data management, it is important to understand the data lifecycle (see Figure </w:t>
            </w:r>
            <w:r w:rsidR="00AB7746">
              <w:rPr>
                <w:rFonts w:asciiTheme="minorHAnsi" w:eastAsia="Arial" w:hAnsiTheme="minorHAnsi"/>
                <w:color w:val="2D2D2D"/>
                <w:sz w:val="20"/>
                <w:szCs w:val="20"/>
                <w:lang w:val="en-GB"/>
              </w:rPr>
              <w:t>10</w:t>
            </w:r>
            <w:r w:rsidRPr="00AB7746">
              <w:rPr>
                <w:rFonts w:asciiTheme="minorHAnsi" w:eastAsia="Arial" w:hAnsiTheme="minorHAnsi"/>
                <w:color w:val="2D2D2D"/>
                <w:sz w:val="20"/>
                <w:szCs w:val="20"/>
                <w:lang w:val="en-GB"/>
              </w:rPr>
              <w:t>).</w:t>
            </w:r>
          </w:p>
          <w:p w14:paraId="325736B0" w14:textId="77777777" w:rsidR="00696E1E" w:rsidRDefault="00696E1E" w:rsidP="00DE6AC3">
            <w:pPr>
              <w:pStyle w:val="NormalWeb"/>
              <w:spacing w:before="40" w:beforeAutospacing="0" w:after="40"/>
              <w:jc w:val="center"/>
              <w:rPr>
                <w:rFonts w:asciiTheme="minorHAnsi" w:eastAsia="Arial" w:hAnsiTheme="minorHAnsi"/>
                <w:color w:val="009889" w:themeColor="accent2"/>
                <w:sz w:val="20"/>
                <w:szCs w:val="20"/>
                <w:lang w:val="en-GB"/>
              </w:rPr>
            </w:pPr>
          </w:p>
          <w:p w14:paraId="7B2CC202" w14:textId="77777777" w:rsidR="00696E1E" w:rsidRDefault="00696E1E" w:rsidP="00DE6AC3">
            <w:pPr>
              <w:pStyle w:val="NormalWeb"/>
              <w:spacing w:before="40" w:beforeAutospacing="0" w:after="40"/>
              <w:jc w:val="center"/>
              <w:rPr>
                <w:rFonts w:asciiTheme="minorHAnsi" w:eastAsia="Arial" w:hAnsiTheme="minorHAnsi"/>
                <w:color w:val="009889" w:themeColor="accent2"/>
                <w:sz w:val="20"/>
                <w:szCs w:val="20"/>
                <w:lang w:val="en-GB"/>
              </w:rPr>
            </w:pPr>
          </w:p>
          <w:p w14:paraId="5D0F2CB5" w14:textId="77777777" w:rsidR="005755BD" w:rsidRDefault="005755BD" w:rsidP="005755BD">
            <w:pPr>
              <w:pStyle w:val="NormalWeb"/>
              <w:keepNext/>
              <w:spacing w:before="40" w:beforeAutospacing="0" w:after="40"/>
              <w:jc w:val="center"/>
            </w:pPr>
            <w:r>
              <w:rPr>
                <w:rFonts w:asciiTheme="minorHAnsi" w:eastAsia="Arial" w:hAnsiTheme="minorHAnsi"/>
                <w:color w:val="009889" w:themeColor="accent2"/>
                <w:sz w:val="20"/>
                <w:szCs w:val="20"/>
                <w:lang w:val="en-GB"/>
              </w:rPr>
              <w:t xml:space="preserve"> </w:t>
            </w:r>
            <w:r>
              <w:rPr>
                <w:rFonts w:asciiTheme="minorHAnsi" w:eastAsia="Arial" w:hAnsiTheme="minorHAnsi"/>
                <w:noProof/>
                <w:color w:val="009889" w:themeColor="accent2"/>
                <w:sz w:val="20"/>
                <w:szCs w:val="20"/>
                <w:lang w:val="en-GB"/>
              </w:rPr>
              <w:drawing>
                <wp:inline distT="0" distB="0" distL="0" distR="0" wp14:anchorId="0805FA6C" wp14:editId="3CEA38C8">
                  <wp:extent cx="5303520" cy="1424940"/>
                  <wp:effectExtent l="0" t="0" r="0" b="3810"/>
                  <wp:docPr id="1660599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99796" name="Picture 1660599796"/>
                          <pic:cNvPicPr/>
                        </pic:nvPicPr>
                        <pic:blipFill>
                          <a:blip r:embed="rId60">
                            <a:extLst>
                              <a:ext uri="{28A0092B-C50C-407E-A947-70E740481C1C}">
                                <a14:useLocalDpi xmlns:a14="http://schemas.microsoft.com/office/drawing/2010/main" val="0"/>
                              </a:ext>
                            </a:extLst>
                          </a:blip>
                          <a:stretch>
                            <a:fillRect/>
                          </a:stretch>
                        </pic:blipFill>
                        <pic:spPr>
                          <a:xfrm>
                            <a:off x="0" y="0"/>
                            <a:ext cx="5303520" cy="1424940"/>
                          </a:xfrm>
                          <a:prstGeom prst="rect">
                            <a:avLst/>
                          </a:prstGeom>
                        </pic:spPr>
                      </pic:pic>
                    </a:graphicData>
                  </a:graphic>
                </wp:inline>
              </w:drawing>
            </w:r>
          </w:p>
          <w:p w14:paraId="7E0030F7" w14:textId="540EBC49" w:rsidR="00696E1E" w:rsidRPr="002074FD" w:rsidRDefault="005755BD" w:rsidP="002074FD">
            <w:pPr>
              <w:pStyle w:val="Caption"/>
              <w:jc w:val="center"/>
              <w:rPr>
                <w:rFonts w:eastAsia="Arial"/>
                <w:b w:val="0"/>
                <w:bCs w:val="0"/>
                <w:sz w:val="20"/>
                <w:szCs w:val="20"/>
              </w:rPr>
            </w:pPr>
            <w:bookmarkStart w:id="31" w:name="_Toc227486388"/>
            <w:r w:rsidRPr="005755BD">
              <w:rPr>
                <w:b w:val="0"/>
                <w:bCs w:val="0"/>
              </w:rPr>
              <w:t xml:space="preserve">Figure </w:t>
            </w:r>
            <w:r w:rsidRPr="005755BD">
              <w:rPr>
                <w:b w:val="0"/>
                <w:bCs w:val="0"/>
              </w:rPr>
              <w:fldChar w:fldCharType="begin"/>
            </w:r>
            <w:r w:rsidRPr="005755BD">
              <w:rPr>
                <w:b w:val="0"/>
                <w:bCs w:val="0"/>
              </w:rPr>
              <w:instrText xml:space="preserve"> SEQ Figure \* ARABIC </w:instrText>
            </w:r>
            <w:r w:rsidRPr="005755BD">
              <w:rPr>
                <w:b w:val="0"/>
                <w:bCs w:val="0"/>
              </w:rPr>
              <w:fldChar w:fldCharType="separate"/>
            </w:r>
            <w:r w:rsidR="00D135B0">
              <w:rPr>
                <w:b w:val="0"/>
                <w:bCs w:val="0"/>
                <w:noProof/>
              </w:rPr>
              <w:t>10</w:t>
            </w:r>
            <w:r w:rsidRPr="005755BD">
              <w:rPr>
                <w:b w:val="0"/>
                <w:bCs w:val="0"/>
              </w:rPr>
              <w:fldChar w:fldCharType="end"/>
            </w:r>
            <w:r w:rsidRPr="005755BD">
              <w:rPr>
                <w:b w:val="0"/>
                <w:bCs w:val="0"/>
              </w:rPr>
              <w:t>.Data lifecycle (Image source: created by author)</w:t>
            </w:r>
            <w:bookmarkEnd w:id="31"/>
          </w:p>
          <w:p w14:paraId="4FB8240A" w14:textId="1061B1DB" w:rsidR="00BF5BE8" w:rsidRPr="00AB7746" w:rsidRDefault="00BF5BE8" w:rsidP="00DE6AC3">
            <w:pPr>
              <w:pStyle w:val="NormalWeb"/>
              <w:spacing w:before="40" w:beforeAutospacing="0" w:after="40"/>
              <w:jc w:val="both"/>
              <w:rPr>
                <w:rFonts w:asciiTheme="minorHAnsi" w:eastAsia="Arial" w:hAnsiTheme="minorHAnsi"/>
                <w:i/>
                <w:color w:val="2D2D2D"/>
                <w:sz w:val="20"/>
                <w:szCs w:val="20"/>
                <w:lang w:val="en-GB"/>
              </w:rPr>
            </w:pPr>
            <w:r w:rsidRPr="00AB7746">
              <w:rPr>
                <w:rFonts w:asciiTheme="minorHAnsi" w:eastAsia="Arial" w:hAnsiTheme="minorHAnsi"/>
                <w:i/>
                <w:color w:val="2D2D2D"/>
                <w:sz w:val="20"/>
                <w:szCs w:val="20"/>
                <w:lang w:val="en-GB"/>
              </w:rPr>
              <w:t xml:space="preserve">Image description: Image shows six green boxes with text and icons below the boxes and arrows between the boxes. First box has text “Plan” and an icon of paper with pencil below. Second box has text “Collect” and an icon of two people with a question mark in a thought bubble. Third box has text “Store” and an icon for a database. Fourth box has text “Use” and an icon of a magnifying class. Fifth box has text “Archive” and an icon of a cardboard box. Sixth box has text “Destroy” and an icon of a paper going through a shedder. </w:t>
            </w:r>
          </w:p>
          <w:p w14:paraId="664B6740"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Data lifecycle begins with a plan – what questions need answering, what data and from whom is needed to answer those questions, how can the data be collected, stored, used and when does it need to be archived and destroyed. The plan part gives the “why” and “how” for all the next steps.</w:t>
            </w:r>
          </w:p>
          <w:p w14:paraId="75C4F75C"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Second step is data collection. In this step, data is generated or collected. A more through explanation and examples of data collection are brought out in topic 2.2. For now, it is important to know that data can be collected in numerous ways, but data quality checks should be already part of data collection.</w:t>
            </w:r>
          </w:p>
          <w:p w14:paraId="205280F4"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In the store step, data is saved in a way that it is accessible to the right users. Data can be stored as files or in a database. It is important to document the access rights and log who, when and why has accessed data.</w:t>
            </w:r>
          </w:p>
          <w:p w14:paraId="1829E649" w14:textId="0022CF8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 xml:space="preserve">In the use step, data is </w:t>
            </w:r>
            <w:r w:rsidR="00DE6AC3" w:rsidRPr="00AB7746">
              <w:rPr>
                <w:rFonts w:asciiTheme="minorHAnsi" w:eastAsia="Arial" w:hAnsiTheme="minorHAnsi"/>
                <w:color w:val="2D2D2D"/>
                <w:sz w:val="20"/>
                <w:szCs w:val="20"/>
                <w:lang w:val="en-GB"/>
              </w:rPr>
              <w:t>analysed</w:t>
            </w:r>
            <w:r w:rsidRPr="00AB7746">
              <w:rPr>
                <w:rFonts w:asciiTheme="minorHAnsi" w:eastAsia="Arial" w:hAnsiTheme="minorHAnsi"/>
                <w:color w:val="2D2D2D"/>
                <w:sz w:val="20"/>
                <w:szCs w:val="20"/>
                <w:lang w:val="en-GB"/>
              </w:rPr>
              <w:t xml:space="preserve"> and decisions made based on the analysis. This is the key step to get value from the data.</w:t>
            </w:r>
          </w:p>
          <w:p w14:paraId="1A74499A"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t>In the archive step, data is moved to long-term storage. This step is important, so the non-current data is saved in a different part of the system, so users don’t end up using old data. However, the data is not yet destroyed as it might be useful in some longer analysis or data needs to be retained to compile with laws.</w:t>
            </w:r>
          </w:p>
          <w:p w14:paraId="7A384C91" w14:textId="77777777" w:rsidR="00BF5BE8" w:rsidRPr="00AB7746" w:rsidRDefault="00BF5BE8" w:rsidP="00DE6AC3">
            <w:pPr>
              <w:pStyle w:val="NormalWeb"/>
              <w:spacing w:before="40" w:beforeAutospacing="0" w:after="40"/>
              <w:jc w:val="both"/>
              <w:rPr>
                <w:rFonts w:asciiTheme="minorHAnsi" w:eastAsia="Arial" w:hAnsiTheme="minorHAnsi"/>
                <w:color w:val="2D2D2D"/>
                <w:sz w:val="20"/>
                <w:szCs w:val="20"/>
                <w:lang w:val="en-GB"/>
              </w:rPr>
            </w:pPr>
            <w:r w:rsidRPr="00AB7746">
              <w:rPr>
                <w:rFonts w:asciiTheme="minorHAnsi" w:eastAsia="Arial" w:hAnsiTheme="minorHAnsi"/>
                <w:color w:val="2D2D2D"/>
                <w:sz w:val="20"/>
                <w:szCs w:val="20"/>
                <w:lang w:val="en-GB"/>
              </w:rPr>
              <w:lastRenderedPageBreak/>
              <w:t>Final step is the destruction of data which means permanently removing data. This step is important to compile with laws and to ensure effective use of resources.</w:t>
            </w:r>
          </w:p>
          <w:p w14:paraId="5CDE5CA5" w14:textId="77777777" w:rsidR="00BF5BE8" w:rsidRPr="00AB7746" w:rsidRDefault="00BF5BE8" w:rsidP="00DE6AC3">
            <w:pPr>
              <w:pStyle w:val="NormalWeb"/>
              <w:spacing w:before="40" w:beforeAutospacing="0" w:after="40"/>
              <w:jc w:val="both"/>
              <w:rPr>
                <w:rFonts w:asciiTheme="minorHAnsi" w:eastAsia="Arial" w:hAnsiTheme="minorHAnsi"/>
                <w:b/>
                <w:color w:val="009889" w:themeColor="accent2"/>
                <w:sz w:val="20"/>
                <w:szCs w:val="20"/>
                <w:lang w:val="en-GB"/>
              </w:rPr>
            </w:pPr>
            <w:r w:rsidRPr="00AB7746">
              <w:rPr>
                <w:rFonts w:asciiTheme="minorHAnsi" w:eastAsia="Arial" w:hAnsiTheme="minorHAnsi"/>
                <w:b/>
                <w:color w:val="009889" w:themeColor="accent2"/>
                <w:sz w:val="20"/>
                <w:szCs w:val="20"/>
                <w:lang w:val="en-GB"/>
              </w:rPr>
              <w:t>Roles in Data Management</w:t>
            </w:r>
          </w:p>
          <w:p w14:paraId="59951D73" w14:textId="1BC1EB30"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 xml:space="preserve">Effective data management depends on people as much as on technology. For data management to work, employees need to know their role and tasks in the process. In Table </w:t>
            </w:r>
            <w:r w:rsidR="005755BD" w:rsidRPr="00AB7746">
              <w:rPr>
                <w:rFonts w:asciiTheme="minorHAnsi" w:eastAsia="Arial" w:hAnsiTheme="minorHAnsi"/>
                <w:sz w:val="20"/>
                <w:szCs w:val="20"/>
                <w:lang w:val="en-GB"/>
              </w:rPr>
              <w:t>2</w:t>
            </w:r>
            <w:r w:rsidRPr="00AB7746">
              <w:rPr>
                <w:rFonts w:asciiTheme="minorHAnsi" w:eastAsia="Arial" w:hAnsiTheme="minorHAnsi"/>
                <w:sz w:val="20"/>
                <w:szCs w:val="20"/>
                <w:lang w:val="en-GB"/>
              </w:rPr>
              <w:t>, key roles for data management are brought out.</w:t>
            </w:r>
          </w:p>
          <w:p w14:paraId="0ADC14AF" w14:textId="621ABD78" w:rsidR="00957ED1" w:rsidRPr="00957ED1" w:rsidRDefault="00957ED1" w:rsidP="00957ED1">
            <w:pPr>
              <w:pStyle w:val="Caption"/>
              <w:keepNext/>
              <w:rPr>
                <w:b w:val="0"/>
                <w:bCs w:val="0"/>
              </w:rPr>
            </w:pPr>
            <w:bookmarkStart w:id="32" w:name="_Toc227739596"/>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2</w:t>
            </w:r>
            <w:r w:rsidRPr="00957ED1">
              <w:rPr>
                <w:b w:val="0"/>
                <w:bCs w:val="0"/>
              </w:rPr>
              <w:fldChar w:fldCharType="end"/>
            </w:r>
            <w:r w:rsidRPr="00957ED1">
              <w:rPr>
                <w:b w:val="0"/>
                <w:bCs w:val="0"/>
              </w:rPr>
              <w:t>. Key roles in data management (source: Author)</w:t>
            </w:r>
            <w:bookmarkEnd w:id="32"/>
          </w:p>
          <w:tbl>
            <w:tblPr>
              <w:tblStyle w:val="Bordered"/>
              <w:tblW w:w="0" w:type="auto"/>
              <w:tblLayout w:type="fixed"/>
              <w:tblLook w:val="04A0" w:firstRow="1" w:lastRow="0" w:firstColumn="1" w:lastColumn="0" w:noHBand="0" w:noVBand="1"/>
            </w:tblPr>
            <w:tblGrid>
              <w:gridCol w:w="3134"/>
              <w:gridCol w:w="3134"/>
              <w:gridCol w:w="3134"/>
            </w:tblGrid>
            <w:tr w:rsidR="00BF5BE8" w:rsidRPr="00E661A9" w14:paraId="5843201C" w14:textId="77777777" w:rsidTr="00DE6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7FCBD59B" w14:textId="77777777" w:rsidR="00BF5BE8" w:rsidRPr="00E661A9" w:rsidRDefault="00BF5BE8" w:rsidP="00DE6AC3">
                  <w:pPr>
                    <w:jc w:val="both"/>
                    <w:rPr>
                      <w:rFonts w:eastAsia="Arial"/>
                      <w:b/>
                      <w:szCs w:val="20"/>
                    </w:rPr>
                  </w:pPr>
                  <w:r w:rsidRPr="00E661A9">
                    <w:rPr>
                      <w:rFonts w:asciiTheme="minorHAnsi" w:hAnsiTheme="minorHAnsi"/>
                      <w:b/>
                      <w:szCs w:val="20"/>
                    </w:rPr>
                    <w:t>Role</w:t>
                  </w:r>
                </w:p>
              </w:tc>
              <w:tc>
                <w:tcPr>
                  <w:tcW w:w="3134" w:type="dxa"/>
                </w:tcPr>
                <w:p w14:paraId="49CE8ACD" w14:textId="77777777" w:rsidR="00BF5BE8" w:rsidRPr="00E661A9" w:rsidRDefault="00BF5BE8" w:rsidP="00DE6AC3">
                  <w:pPr>
                    <w:jc w:val="both"/>
                    <w:cnfStyle w:val="100000000000" w:firstRow="1" w:lastRow="0" w:firstColumn="0" w:lastColumn="0" w:oddVBand="0" w:evenVBand="0" w:oddHBand="0" w:evenHBand="0" w:firstRowFirstColumn="0" w:firstRowLastColumn="0" w:lastRowFirstColumn="0" w:lastRowLastColumn="0"/>
                    <w:rPr>
                      <w:rFonts w:eastAsia="Arial"/>
                      <w:b/>
                      <w:szCs w:val="20"/>
                    </w:rPr>
                  </w:pPr>
                  <w:r w:rsidRPr="00E661A9">
                    <w:rPr>
                      <w:rFonts w:asciiTheme="minorHAnsi" w:hAnsiTheme="minorHAnsi"/>
                      <w:b/>
                      <w:szCs w:val="20"/>
                    </w:rPr>
                    <w:t>Primary Responsibilities</w:t>
                  </w:r>
                </w:p>
              </w:tc>
              <w:tc>
                <w:tcPr>
                  <w:tcW w:w="3134" w:type="dxa"/>
                </w:tcPr>
                <w:p w14:paraId="13AFBF1B" w14:textId="77777777" w:rsidR="00BF5BE8" w:rsidRPr="00E661A9" w:rsidRDefault="00BF5BE8" w:rsidP="00DE6AC3">
                  <w:pPr>
                    <w:jc w:val="both"/>
                    <w:cnfStyle w:val="100000000000" w:firstRow="1" w:lastRow="0" w:firstColumn="0" w:lastColumn="0" w:oddVBand="0" w:evenVBand="0" w:oddHBand="0" w:evenHBand="0" w:firstRowFirstColumn="0" w:firstRowLastColumn="0" w:lastRowFirstColumn="0" w:lastRowLastColumn="0"/>
                    <w:rPr>
                      <w:rFonts w:eastAsia="Arial"/>
                      <w:b/>
                      <w:szCs w:val="20"/>
                    </w:rPr>
                  </w:pPr>
                  <w:r w:rsidRPr="00E661A9">
                    <w:rPr>
                      <w:rFonts w:asciiTheme="minorHAnsi" w:hAnsiTheme="minorHAnsi"/>
                      <w:b/>
                      <w:szCs w:val="20"/>
                    </w:rPr>
                    <w:t>Level</w:t>
                  </w:r>
                </w:p>
              </w:tc>
            </w:tr>
            <w:tr w:rsidR="00BF5BE8" w:rsidRPr="00E661A9" w14:paraId="37564598" w14:textId="77777777" w:rsidTr="00DE6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2233BFF2" w14:textId="77777777" w:rsidR="00BF5BE8" w:rsidRPr="00E661A9" w:rsidRDefault="00BF5BE8" w:rsidP="00DE6AC3">
                  <w:pPr>
                    <w:jc w:val="both"/>
                    <w:rPr>
                      <w:rFonts w:eastAsia="Arial"/>
                      <w:szCs w:val="20"/>
                    </w:rPr>
                  </w:pPr>
                  <w:r w:rsidRPr="00E661A9">
                    <w:rPr>
                      <w:rFonts w:asciiTheme="minorHAnsi" w:hAnsiTheme="minorHAnsi"/>
                      <w:szCs w:val="20"/>
                    </w:rPr>
                    <w:t>Chief Data Officer</w:t>
                  </w:r>
                </w:p>
              </w:tc>
              <w:tc>
                <w:tcPr>
                  <w:tcW w:w="3134" w:type="dxa"/>
                </w:tcPr>
                <w:p w14:paraId="36575E5D"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rFonts w:eastAsia="Arial"/>
                      <w:szCs w:val="20"/>
                    </w:rPr>
                  </w:pPr>
                  <w:r w:rsidRPr="00E661A9">
                    <w:rPr>
                      <w:rFonts w:asciiTheme="minorHAnsi" w:hAnsiTheme="minorHAnsi"/>
                      <w:szCs w:val="20"/>
                    </w:rPr>
                    <w:t>Sets data strategy; leads governance programme.</w:t>
                  </w:r>
                </w:p>
              </w:tc>
              <w:tc>
                <w:tcPr>
                  <w:tcW w:w="3134" w:type="dxa"/>
                </w:tcPr>
                <w:p w14:paraId="50CBD925"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rFonts w:eastAsia="Arial"/>
                      <w:szCs w:val="20"/>
                    </w:rPr>
                  </w:pPr>
                  <w:r w:rsidRPr="00E661A9">
                    <w:rPr>
                      <w:rFonts w:asciiTheme="minorHAnsi" w:hAnsiTheme="minorHAnsi"/>
                      <w:szCs w:val="20"/>
                    </w:rPr>
                    <w:t>Executive</w:t>
                  </w:r>
                </w:p>
              </w:tc>
            </w:tr>
            <w:tr w:rsidR="00BF5BE8" w:rsidRPr="00E661A9" w14:paraId="150BE433" w14:textId="77777777" w:rsidTr="00DE6AC3">
              <w:tc>
                <w:tcPr>
                  <w:cnfStyle w:val="001000000000" w:firstRow="0" w:lastRow="0" w:firstColumn="1" w:lastColumn="0" w:oddVBand="0" w:evenVBand="0" w:oddHBand="0" w:evenHBand="0" w:firstRowFirstColumn="0" w:firstRowLastColumn="0" w:lastRowFirstColumn="0" w:lastRowLastColumn="0"/>
                  <w:tcW w:w="3134" w:type="dxa"/>
                </w:tcPr>
                <w:p w14:paraId="03B8BA4E" w14:textId="77777777" w:rsidR="00BF5BE8" w:rsidRPr="00E661A9" w:rsidRDefault="00BF5BE8" w:rsidP="00DE6AC3">
                  <w:pPr>
                    <w:jc w:val="both"/>
                    <w:rPr>
                      <w:rFonts w:eastAsia="Arial"/>
                      <w:szCs w:val="20"/>
                    </w:rPr>
                  </w:pPr>
                  <w:r w:rsidRPr="00E661A9">
                    <w:rPr>
                      <w:rFonts w:asciiTheme="minorHAnsi" w:hAnsiTheme="minorHAnsi"/>
                      <w:szCs w:val="20"/>
                    </w:rPr>
                    <w:t>Data Owner</w:t>
                  </w:r>
                </w:p>
              </w:tc>
              <w:tc>
                <w:tcPr>
                  <w:tcW w:w="3134" w:type="dxa"/>
                </w:tcPr>
                <w:p w14:paraId="60CFECE5" w14:textId="77777777" w:rsidR="00BF5BE8" w:rsidRPr="00E661A9" w:rsidRDefault="00BF5BE8" w:rsidP="00DE6AC3">
                  <w:pPr>
                    <w:jc w:val="both"/>
                    <w:cnfStyle w:val="000000000000" w:firstRow="0" w:lastRow="0" w:firstColumn="0" w:lastColumn="0" w:oddVBand="0" w:evenVBand="0" w:oddHBand="0" w:evenHBand="0" w:firstRowFirstColumn="0" w:firstRowLastColumn="0" w:lastRowFirstColumn="0" w:lastRowLastColumn="0"/>
                    <w:rPr>
                      <w:rFonts w:eastAsia="Arial"/>
                      <w:szCs w:val="20"/>
                    </w:rPr>
                  </w:pPr>
                  <w:r w:rsidRPr="00E661A9">
                    <w:rPr>
                      <w:szCs w:val="20"/>
                    </w:rPr>
                    <w:t>Accountable for quality, security, and lifecycle of a specific data domain.</w:t>
                  </w:r>
                </w:p>
              </w:tc>
              <w:tc>
                <w:tcPr>
                  <w:tcW w:w="3134" w:type="dxa"/>
                </w:tcPr>
                <w:p w14:paraId="23BFEDA0" w14:textId="77777777" w:rsidR="00BF5BE8" w:rsidRPr="00E661A9" w:rsidRDefault="00BF5BE8" w:rsidP="00DE6AC3">
                  <w:pPr>
                    <w:jc w:val="both"/>
                    <w:cnfStyle w:val="000000000000" w:firstRow="0" w:lastRow="0" w:firstColumn="0" w:lastColumn="0" w:oddVBand="0" w:evenVBand="0" w:oddHBand="0" w:evenHBand="0" w:firstRowFirstColumn="0" w:firstRowLastColumn="0" w:lastRowFirstColumn="0" w:lastRowLastColumn="0"/>
                    <w:rPr>
                      <w:rFonts w:eastAsia="Arial"/>
                      <w:szCs w:val="20"/>
                    </w:rPr>
                  </w:pPr>
                  <w:r w:rsidRPr="00E661A9">
                    <w:rPr>
                      <w:szCs w:val="20"/>
                    </w:rPr>
                    <w:t>Business Leader</w:t>
                  </w:r>
                </w:p>
              </w:tc>
            </w:tr>
            <w:tr w:rsidR="00BF5BE8" w:rsidRPr="00E661A9" w14:paraId="5645B72D" w14:textId="77777777" w:rsidTr="00DE6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043E408A" w14:textId="77777777" w:rsidR="00BF5BE8" w:rsidRPr="00E661A9" w:rsidRDefault="00BF5BE8" w:rsidP="00DE6AC3">
                  <w:pPr>
                    <w:jc w:val="both"/>
                    <w:rPr>
                      <w:rFonts w:eastAsia="Arial"/>
                      <w:szCs w:val="20"/>
                    </w:rPr>
                  </w:pPr>
                  <w:r w:rsidRPr="00E661A9">
                    <w:rPr>
                      <w:rFonts w:asciiTheme="minorHAnsi" w:hAnsiTheme="minorHAnsi"/>
                      <w:szCs w:val="20"/>
                    </w:rPr>
                    <w:t>Data Steward</w:t>
                  </w:r>
                </w:p>
              </w:tc>
              <w:tc>
                <w:tcPr>
                  <w:tcW w:w="3134" w:type="dxa"/>
                </w:tcPr>
                <w:p w14:paraId="633E9099"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rFonts w:eastAsia="Arial"/>
                      <w:szCs w:val="20"/>
                    </w:rPr>
                  </w:pPr>
                  <w:r w:rsidRPr="00E661A9">
                    <w:rPr>
                      <w:rFonts w:asciiTheme="minorHAnsi" w:hAnsiTheme="minorHAnsi"/>
                      <w:szCs w:val="20"/>
                    </w:rPr>
                    <w:t>Day-to-day management of data quality, glossary and lineage.</w:t>
                  </w:r>
                </w:p>
              </w:tc>
              <w:tc>
                <w:tcPr>
                  <w:tcW w:w="3134" w:type="dxa"/>
                </w:tcPr>
                <w:p w14:paraId="723E2CB3"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rFonts w:eastAsia="Arial"/>
                      <w:szCs w:val="20"/>
                    </w:rPr>
                  </w:pPr>
                  <w:r w:rsidRPr="00E661A9">
                    <w:rPr>
                      <w:rFonts w:asciiTheme="minorHAnsi" w:hAnsiTheme="minorHAnsi"/>
                      <w:szCs w:val="20"/>
                    </w:rPr>
                    <w:t>Mid-level</w:t>
                  </w:r>
                </w:p>
              </w:tc>
            </w:tr>
            <w:tr w:rsidR="00BF5BE8" w:rsidRPr="00E661A9" w14:paraId="697DCDD2" w14:textId="77777777" w:rsidTr="00DE6AC3">
              <w:tc>
                <w:tcPr>
                  <w:cnfStyle w:val="001000000000" w:firstRow="0" w:lastRow="0" w:firstColumn="1" w:lastColumn="0" w:oddVBand="0" w:evenVBand="0" w:oddHBand="0" w:evenHBand="0" w:firstRowFirstColumn="0" w:firstRowLastColumn="0" w:lastRowFirstColumn="0" w:lastRowLastColumn="0"/>
                  <w:tcW w:w="3134" w:type="dxa"/>
                </w:tcPr>
                <w:p w14:paraId="4B9125C5" w14:textId="77777777" w:rsidR="00BF5BE8" w:rsidRPr="00E661A9" w:rsidRDefault="00BF5BE8" w:rsidP="00DE6AC3">
                  <w:pPr>
                    <w:jc w:val="both"/>
                    <w:rPr>
                      <w:rFonts w:eastAsia="Arial"/>
                      <w:szCs w:val="20"/>
                    </w:rPr>
                  </w:pPr>
                  <w:r w:rsidRPr="00E661A9">
                    <w:rPr>
                      <w:rFonts w:asciiTheme="minorHAnsi" w:hAnsiTheme="minorHAnsi"/>
                      <w:szCs w:val="20"/>
                    </w:rPr>
                    <w:t>Data Consumer / User</w:t>
                  </w:r>
                </w:p>
              </w:tc>
              <w:tc>
                <w:tcPr>
                  <w:tcW w:w="3134" w:type="dxa"/>
                </w:tcPr>
                <w:p w14:paraId="1A62CA0A" w14:textId="77777777" w:rsidR="00BF5BE8" w:rsidRPr="00E661A9" w:rsidRDefault="00BF5BE8" w:rsidP="00DE6AC3">
                  <w:pPr>
                    <w:jc w:val="both"/>
                    <w:cnfStyle w:val="000000000000" w:firstRow="0" w:lastRow="0" w:firstColumn="0" w:lastColumn="0" w:oddVBand="0" w:evenVBand="0" w:oddHBand="0" w:evenHBand="0" w:firstRowFirstColumn="0" w:firstRowLastColumn="0" w:lastRowFirstColumn="0" w:lastRowLastColumn="0"/>
                    <w:rPr>
                      <w:rFonts w:eastAsia="Arial"/>
                      <w:szCs w:val="20"/>
                    </w:rPr>
                  </w:pPr>
                  <w:r w:rsidRPr="00E661A9">
                    <w:rPr>
                      <w:szCs w:val="20"/>
                    </w:rPr>
                    <w:t>Uses data for analysis, reporting, or operational tasks.</w:t>
                  </w:r>
                </w:p>
              </w:tc>
              <w:tc>
                <w:tcPr>
                  <w:tcW w:w="3134" w:type="dxa"/>
                </w:tcPr>
                <w:p w14:paraId="5AEDA272" w14:textId="77777777" w:rsidR="00BF5BE8" w:rsidRPr="00E661A9" w:rsidRDefault="00BF5BE8" w:rsidP="00DE6AC3">
                  <w:pPr>
                    <w:jc w:val="both"/>
                    <w:cnfStyle w:val="000000000000" w:firstRow="0" w:lastRow="0" w:firstColumn="0" w:lastColumn="0" w:oddVBand="0" w:evenVBand="0" w:oddHBand="0" w:evenHBand="0" w:firstRowFirstColumn="0" w:firstRowLastColumn="0" w:lastRowFirstColumn="0" w:lastRowLastColumn="0"/>
                    <w:rPr>
                      <w:rFonts w:eastAsia="Arial"/>
                      <w:szCs w:val="20"/>
                    </w:rPr>
                  </w:pPr>
                  <w:r w:rsidRPr="00E661A9">
                    <w:rPr>
                      <w:szCs w:val="20"/>
                    </w:rPr>
                    <w:t>All Levels</w:t>
                  </w:r>
                </w:p>
              </w:tc>
            </w:tr>
            <w:tr w:rsidR="00BF5BE8" w:rsidRPr="00E661A9" w14:paraId="50F21546" w14:textId="77777777" w:rsidTr="00DE6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1A4DEC66" w14:textId="77777777" w:rsidR="00BF5BE8" w:rsidRPr="00E661A9" w:rsidRDefault="00BF5BE8" w:rsidP="00DE6AC3">
                  <w:pPr>
                    <w:jc w:val="both"/>
                    <w:rPr>
                      <w:rFonts w:eastAsia="Arial"/>
                      <w:szCs w:val="20"/>
                    </w:rPr>
                  </w:pPr>
                  <w:r w:rsidRPr="00E661A9">
                    <w:rPr>
                      <w:rFonts w:asciiTheme="minorHAnsi" w:hAnsiTheme="minorHAnsi"/>
                      <w:szCs w:val="20"/>
                    </w:rPr>
                    <w:t>Data Privacy Officer</w:t>
                  </w:r>
                </w:p>
              </w:tc>
              <w:tc>
                <w:tcPr>
                  <w:tcW w:w="3134" w:type="dxa"/>
                </w:tcPr>
                <w:p w14:paraId="3A72C93D"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E661A9">
                    <w:rPr>
                      <w:rFonts w:asciiTheme="minorHAnsi" w:hAnsiTheme="minorHAnsi"/>
                      <w:szCs w:val="20"/>
                    </w:rPr>
                    <w:t>Ensures compliance with data protection regulations.</w:t>
                  </w:r>
                </w:p>
              </w:tc>
              <w:tc>
                <w:tcPr>
                  <w:tcW w:w="3134" w:type="dxa"/>
                </w:tcPr>
                <w:p w14:paraId="609F0E3D" w14:textId="77777777" w:rsidR="00BF5BE8" w:rsidRPr="00E661A9" w:rsidRDefault="00BF5BE8" w:rsidP="00DE6AC3">
                  <w:pPr>
                    <w:jc w:val="both"/>
                    <w:cnfStyle w:val="000000100000" w:firstRow="0" w:lastRow="0" w:firstColumn="0" w:lastColumn="0" w:oddVBand="0" w:evenVBand="0" w:oddHBand="1" w:evenHBand="0" w:firstRowFirstColumn="0" w:firstRowLastColumn="0" w:lastRowFirstColumn="0" w:lastRowLastColumn="0"/>
                    <w:rPr>
                      <w:rFonts w:eastAsia="Arial"/>
                      <w:szCs w:val="20"/>
                    </w:rPr>
                  </w:pPr>
                  <w:r w:rsidRPr="00E661A9">
                    <w:rPr>
                      <w:rFonts w:asciiTheme="minorHAnsi" w:hAnsiTheme="minorHAnsi"/>
                      <w:szCs w:val="20"/>
                    </w:rPr>
                    <w:t>Legal / Compliance</w:t>
                  </w:r>
                </w:p>
              </w:tc>
            </w:tr>
          </w:tbl>
          <w:p w14:paraId="7226F378" w14:textId="77777777" w:rsidR="00BF5BE8" w:rsidRPr="00EF521E" w:rsidRDefault="00BF5BE8" w:rsidP="00DE6AC3">
            <w:pPr>
              <w:pStyle w:val="NormalWeb"/>
              <w:spacing w:before="40" w:beforeAutospacing="0" w:after="40"/>
              <w:jc w:val="both"/>
              <w:rPr>
                <w:rFonts w:asciiTheme="minorHAnsi" w:eastAsia="Arial" w:hAnsiTheme="minorHAnsi"/>
                <w:sz w:val="22"/>
                <w:szCs w:val="22"/>
                <w:lang w:val="en-GB"/>
              </w:rPr>
            </w:pPr>
          </w:p>
          <w:p w14:paraId="5B574904"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The role doesn’t need to be the main role of the employee. For example, the human resources team lead might be the owner of human resources related data as one of their work tasks, not as their main role. It is also important to note that cooperation between the roles is key to have well-managed data.</w:t>
            </w:r>
          </w:p>
          <w:p w14:paraId="3E98F333" w14:textId="77777777" w:rsidR="00BF5BE8" w:rsidRPr="00AB7746" w:rsidRDefault="00BF5BE8" w:rsidP="00DE6AC3">
            <w:pPr>
              <w:pStyle w:val="NormalWeb"/>
              <w:spacing w:before="40" w:after="40"/>
              <w:jc w:val="both"/>
              <w:rPr>
                <w:rFonts w:asciiTheme="minorHAnsi" w:eastAsia="Arial" w:hAnsiTheme="minorHAnsi"/>
                <w:b/>
                <w:iCs/>
                <w:color w:val="00AC4E" w:themeColor="accent1"/>
                <w:sz w:val="20"/>
                <w:szCs w:val="20"/>
                <w:lang w:val="en-GB"/>
              </w:rPr>
            </w:pPr>
            <w:r w:rsidRPr="00AB7746">
              <w:rPr>
                <w:rFonts w:asciiTheme="minorHAnsi" w:eastAsia="Arial" w:hAnsiTheme="minorHAnsi"/>
                <w:b/>
                <w:iCs/>
                <w:color w:val="00AC4E" w:themeColor="accent1"/>
                <w:sz w:val="20"/>
                <w:szCs w:val="20"/>
                <w:lang w:val="en-GB"/>
              </w:rPr>
              <w:t>Micro-Activity about roles in data management</w:t>
            </w:r>
          </w:p>
          <w:p w14:paraId="0CB6AFB7" w14:textId="317AC8BD" w:rsidR="00BF5BE8" w:rsidRPr="00AB7746" w:rsidRDefault="00BF5BE8" w:rsidP="005755BD">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Review Table 2</w:t>
            </w:r>
            <w:r w:rsidR="005755BD" w:rsidRPr="00AB7746">
              <w:rPr>
                <w:rFonts w:asciiTheme="minorHAnsi" w:eastAsia="Arial" w:hAnsiTheme="minorHAnsi"/>
                <w:sz w:val="20"/>
                <w:szCs w:val="20"/>
                <w:lang w:val="en-GB"/>
              </w:rPr>
              <w:t xml:space="preserve"> </w:t>
            </w:r>
            <w:r w:rsidRPr="00AB7746">
              <w:rPr>
                <w:rFonts w:asciiTheme="minorHAnsi" w:eastAsia="Arial" w:hAnsiTheme="minorHAnsi"/>
                <w:sz w:val="20"/>
                <w:szCs w:val="20"/>
                <w:lang w:val="en-GB"/>
              </w:rPr>
              <w:t>and think of an organization you have worked in or are currently working in. Which role(s) did you fill? Who filled other roles? Were some roles missing?</w:t>
            </w:r>
          </w:p>
          <w:p w14:paraId="577FBE32" w14:textId="77777777" w:rsidR="00BF5BE8" w:rsidRPr="00AB7746" w:rsidRDefault="00BF5BE8" w:rsidP="00DE6AC3">
            <w:pPr>
              <w:pStyle w:val="NormalWeb"/>
              <w:spacing w:before="40" w:beforeAutospacing="0" w:after="40"/>
              <w:jc w:val="both"/>
              <w:rPr>
                <w:rFonts w:asciiTheme="minorHAnsi" w:eastAsia="Arial" w:hAnsiTheme="minorHAnsi"/>
                <w:b/>
                <w:color w:val="009889" w:themeColor="accent2"/>
                <w:sz w:val="20"/>
                <w:szCs w:val="20"/>
                <w:lang w:val="en-GB"/>
              </w:rPr>
            </w:pPr>
            <w:r w:rsidRPr="00AB7746">
              <w:rPr>
                <w:rFonts w:asciiTheme="minorHAnsi" w:eastAsia="Arial" w:hAnsiTheme="minorHAnsi"/>
                <w:b/>
                <w:color w:val="009889" w:themeColor="accent2"/>
                <w:sz w:val="20"/>
                <w:szCs w:val="20"/>
                <w:lang w:val="en-GB"/>
              </w:rPr>
              <w:t>Setting up Data Governance</w:t>
            </w:r>
          </w:p>
          <w:p w14:paraId="5AB05F47"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Data governance can sound scary until you realize, we are already doing it in one way or another. An organization has data, information about that data and rules on who and for which goal can access the data. Now we just need to formalize these rules. There are three main steps that support data governance (see Figure 4).</w:t>
            </w:r>
          </w:p>
          <w:p w14:paraId="3B43FBD6" w14:textId="548E38DF"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p>
          <w:p w14:paraId="5EA3F950" w14:textId="77777777" w:rsidR="005755BD" w:rsidRPr="00AB7746" w:rsidRDefault="005755BD" w:rsidP="005755BD">
            <w:pPr>
              <w:pStyle w:val="NormalWeb"/>
              <w:keepNext/>
              <w:spacing w:before="40" w:beforeAutospacing="0" w:after="40"/>
              <w:jc w:val="center"/>
              <w:rPr>
                <w:sz w:val="20"/>
                <w:szCs w:val="20"/>
              </w:rPr>
            </w:pPr>
            <w:r w:rsidRPr="00AB7746">
              <w:rPr>
                <w:rFonts w:asciiTheme="minorHAnsi" w:eastAsia="Arial" w:hAnsiTheme="minorHAnsi"/>
                <w:color w:val="009889" w:themeColor="accent2"/>
                <w:sz w:val="20"/>
                <w:szCs w:val="20"/>
                <w:lang w:val="en-GB"/>
              </w:rPr>
              <w:lastRenderedPageBreak/>
              <w:t xml:space="preserve"> </w:t>
            </w:r>
            <w:r w:rsidRPr="00AB7746">
              <w:rPr>
                <w:rFonts w:asciiTheme="minorHAnsi" w:eastAsia="Arial" w:hAnsiTheme="minorHAnsi"/>
                <w:noProof/>
                <w:color w:val="009889" w:themeColor="accent2"/>
                <w:sz w:val="20"/>
                <w:szCs w:val="20"/>
                <w:lang w:val="en-GB"/>
              </w:rPr>
              <w:drawing>
                <wp:inline distT="0" distB="0" distL="0" distR="0" wp14:anchorId="4D17DEA8" wp14:editId="1E99ED41">
                  <wp:extent cx="5402580" cy="2735580"/>
                  <wp:effectExtent l="0" t="0" r="7620" b="7620"/>
                  <wp:docPr id="182648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175" name="Picture 182648175"/>
                          <pic:cNvPicPr/>
                        </pic:nvPicPr>
                        <pic:blipFill>
                          <a:blip r:embed="rId61">
                            <a:extLst>
                              <a:ext uri="{28A0092B-C50C-407E-A947-70E740481C1C}">
                                <a14:useLocalDpi xmlns:a14="http://schemas.microsoft.com/office/drawing/2010/main" val="0"/>
                              </a:ext>
                            </a:extLst>
                          </a:blip>
                          <a:stretch>
                            <a:fillRect/>
                          </a:stretch>
                        </pic:blipFill>
                        <pic:spPr>
                          <a:xfrm>
                            <a:off x="0" y="0"/>
                            <a:ext cx="5402580" cy="2735580"/>
                          </a:xfrm>
                          <a:prstGeom prst="rect">
                            <a:avLst/>
                          </a:prstGeom>
                        </pic:spPr>
                      </pic:pic>
                    </a:graphicData>
                  </a:graphic>
                </wp:inline>
              </w:drawing>
            </w:r>
          </w:p>
          <w:p w14:paraId="3A2120CD" w14:textId="74EAFE64" w:rsidR="00BF5BE8" w:rsidRPr="00AB7746" w:rsidRDefault="005755BD" w:rsidP="005755BD">
            <w:pPr>
              <w:pStyle w:val="Caption"/>
              <w:jc w:val="center"/>
              <w:rPr>
                <w:b w:val="0"/>
                <w:bCs w:val="0"/>
                <w:sz w:val="20"/>
                <w:szCs w:val="20"/>
              </w:rPr>
            </w:pPr>
            <w:bookmarkStart w:id="33" w:name="_Toc227486389"/>
            <w:r w:rsidRPr="00AB7746">
              <w:rPr>
                <w:b w:val="0"/>
                <w:bCs w:val="0"/>
                <w:sz w:val="20"/>
                <w:szCs w:val="20"/>
              </w:rPr>
              <w:t xml:space="preserve">Figure </w:t>
            </w:r>
            <w:r w:rsidRPr="00AB7746">
              <w:rPr>
                <w:b w:val="0"/>
                <w:bCs w:val="0"/>
                <w:sz w:val="20"/>
                <w:szCs w:val="20"/>
              </w:rPr>
              <w:fldChar w:fldCharType="begin"/>
            </w:r>
            <w:r w:rsidRPr="00AB7746">
              <w:rPr>
                <w:b w:val="0"/>
                <w:bCs w:val="0"/>
                <w:sz w:val="20"/>
                <w:szCs w:val="20"/>
              </w:rPr>
              <w:instrText xml:space="preserve"> SEQ Figure \* ARABIC </w:instrText>
            </w:r>
            <w:r w:rsidRPr="00AB7746">
              <w:rPr>
                <w:b w:val="0"/>
                <w:bCs w:val="0"/>
                <w:sz w:val="20"/>
                <w:szCs w:val="20"/>
              </w:rPr>
              <w:fldChar w:fldCharType="separate"/>
            </w:r>
            <w:r w:rsidR="00D135B0" w:rsidRPr="00AB7746">
              <w:rPr>
                <w:b w:val="0"/>
                <w:bCs w:val="0"/>
                <w:noProof/>
                <w:sz w:val="20"/>
                <w:szCs w:val="20"/>
              </w:rPr>
              <w:t>11</w:t>
            </w:r>
            <w:r w:rsidRPr="00AB7746">
              <w:rPr>
                <w:b w:val="0"/>
                <w:bCs w:val="0"/>
                <w:sz w:val="20"/>
                <w:szCs w:val="20"/>
              </w:rPr>
              <w:fldChar w:fldCharType="end"/>
            </w:r>
            <w:r w:rsidRPr="00AB7746">
              <w:rPr>
                <w:b w:val="0"/>
                <w:bCs w:val="0"/>
                <w:sz w:val="20"/>
                <w:szCs w:val="20"/>
              </w:rPr>
              <w:t>. Steps to setting up data governance. (Image source: author)</w:t>
            </w:r>
            <w:bookmarkEnd w:id="33"/>
          </w:p>
          <w:p w14:paraId="6971C1C9" w14:textId="6D932BA5" w:rsidR="00BF5BE8" w:rsidRPr="00AB7746" w:rsidRDefault="00BF5BE8" w:rsidP="00DE6AC3">
            <w:pPr>
              <w:pStyle w:val="NormalWeb"/>
              <w:spacing w:before="40" w:beforeAutospacing="0" w:after="40"/>
              <w:jc w:val="both"/>
              <w:rPr>
                <w:rFonts w:asciiTheme="minorHAnsi" w:eastAsia="Arial" w:hAnsiTheme="minorHAnsi"/>
                <w:iCs/>
                <w:sz w:val="20"/>
                <w:szCs w:val="20"/>
                <w:lang w:val="en-GB"/>
              </w:rPr>
            </w:pPr>
            <w:r w:rsidRPr="00AB7746">
              <w:rPr>
                <w:rFonts w:asciiTheme="minorHAnsi" w:eastAsia="Arial" w:hAnsiTheme="minorHAnsi"/>
                <w:iCs/>
                <w:sz w:val="20"/>
                <w:szCs w:val="20"/>
                <w:lang w:val="en-GB"/>
              </w:rPr>
              <w:t>Image description: Image includes three green boxes with text inside them and arrows between the boxes. First box reads: “Identify data owners and other roles. Check for existing responsibilities and relationships with data”. Second box reads: “Use existing processes. Recognise the current procedures and methodologies. Third box reads: “Support, don’t control. Create a transparent, supportive and collaborative environment”.</w:t>
            </w:r>
          </w:p>
          <w:p w14:paraId="4C242957"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The important part of these three steps is to recognize how employees are currently working with data and build processes on top of that. To understand the current situation, employees need to be interviewed about their everyday work. As a next step, collaborative meetings need to be held to define formal processes. Finally, the policies need to be sent out for feedback and then formally introduced. After the policies have been created once, they need to be regularly overviewed and updated. Including employees from the beginning and in each step helps to create policies that will be followed. Employees are experts in their everyday work and data domain so including them in building data governance processes is crucial both for setting up high-quality processes and making sure these are followed.</w:t>
            </w:r>
          </w:p>
          <w:p w14:paraId="2252C8F9" w14:textId="77777777" w:rsidR="00BF5BE8" w:rsidRPr="00AB7746" w:rsidRDefault="00BF5BE8" w:rsidP="00DE6AC3">
            <w:pPr>
              <w:pStyle w:val="NormalWeb"/>
              <w:spacing w:before="40" w:beforeAutospacing="0" w:after="40"/>
              <w:jc w:val="both"/>
              <w:rPr>
                <w:rFonts w:asciiTheme="minorHAnsi" w:eastAsia="Arial" w:hAnsiTheme="minorHAnsi"/>
                <w:b/>
                <w:color w:val="283A97" w:themeColor="accent3"/>
                <w:sz w:val="20"/>
                <w:szCs w:val="20"/>
                <w:lang w:val="en-GB"/>
              </w:rPr>
            </w:pPr>
            <w:r w:rsidRPr="00AB7746">
              <w:rPr>
                <w:rFonts w:asciiTheme="minorHAnsi" w:eastAsia="Arial" w:hAnsiTheme="minorHAnsi"/>
                <w:b/>
                <w:color w:val="283A97" w:themeColor="accent3"/>
                <w:sz w:val="20"/>
                <w:szCs w:val="20"/>
                <w:lang w:val="en-GB"/>
              </w:rPr>
              <w:t>Metadata – the dictionary for data</w:t>
            </w:r>
          </w:p>
          <w:p w14:paraId="5CF4AE2E" w14:textId="6C2A03EB"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 xml:space="preserve">Data on its own doesn’t provide knowledge. Data points can be “5”, “yellow”, “Paris”, “20.12.2025”. Without knowing what the data points represent we can only guess what the data is about, </w:t>
            </w:r>
            <w:r w:rsidR="00E661A9" w:rsidRPr="00AB7746">
              <w:rPr>
                <w:rFonts w:asciiTheme="minorHAnsi" w:eastAsia="Arial" w:hAnsiTheme="minorHAnsi"/>
                <w:sz w:val="20"/>
                <w:szCs w:val="20"/>
                <w:lang w:val="en-GB"/>
              </w:rPr>
              <w:t>e.g.</w:t>
            </w:r>
            <w:r w:rsidRPr="00AB7746">
              <w:rPr>
                <w:rFonts w:asciiTheme="minorHAnsi" w:eastAsia="Arial" w:hAnsiTheme="minorHAnsi"/>
                <w:sz w:val="20"/>
                <w:szCs w:val="20"/>
                <w:lang w:val="en-GB"/>
              </w:rPr>
              <w:t xml:space="preserve"> 5 can be an age of a person, number of children, number of rooms in a house. But if we provide context to data, we can start making decisions, </w:t>
            </w:r>
            <w:r w:rsidR="005755BD" w:rsidRPr="00AB7746">
              <w:rPr>
                <w:rFonts w:asciiTheme="minorHAnsi" w:eastAsia="Arial" w:hAnsiTheme="minorHAnsi"/>
                <w:sz w:val="20"/>
                <w:szCs w:val="20"/>
                <w:lang w:val="en-GB"/>
              </w:rPr>
              <w:t>e.g.</w:t>
            </w:r>
            <w:r w:rsidRPr="00AB7746">
              <w:rPr>
                <w:rFonts w:asciiTheme="minorHAnsi" w:eastAsia="Arial" w:hAnsiTheme="minorHAnsi"/>
                <w:sz w:val="20"/>
                <w:szCs w:val="20"/>
                <w:lang w:val="en-GB"/>
              </w:rPr>
              <w:t xml:space="preserve"> “Today’s date is 20.12.2025, it is 5 degrees in Paris and the leaves on trees are yellow”. Therefore, I decide to wear a jacket to go outside.</w:t>
            </w:r>
          </w:p>
          <w:p w14:paraId="31CAFD9E"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This context is called metadata – data about data. In an organization, it is important that each data table and each data point have a description. The most common way to create metadata is in tables. First, we describe what is the content of table, how and when it is updated, what is the source of data. Secondly, we describe the name, content and format of each column. See Table 2 for example on energy consumption table.</w:t>
            </w:r>
          </w:p>
          <w:p w14:paraId="1A35B55B"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lastRenderedPageBreak/>
              <w:t xml:space="preserve">This table combines data on energy consumption. </w:t>
            </w:r>
          </w:p>
          <w:p w14:paraId="1EC5CA54" w14:textId="66B39C0D" w:rsidR="005755BD" w:rsidRDefault="00957ED1" w:rsidP="005755BD">
            <w:pPr>
              <w:pStyle w:val="Caption"/>
              <w:keepNext/>
            </w:pPr>
            <w:r>
              <w:t xml:space="preserve"> </w:t>
            </w:r>
          </w:p>
          <w:p w14:paraId="462DF62D" w14:textId="21E5B58E" w:rsidR="00957ED1" w:rsidRPr="00957ED1" w:rsidRDefault="00957ED1" w:rsidP="00957ED1">
            <w:pPr>
              <w:pStyle w:val="Caption"/>
              <w:keepNext/>
              <w:rPr>
                <w:b w:val="0"/>
                <w:bCs w:val="0"/>
              </w:rPr>
            </w:pPr>
            <w:bookmarkStart w:id="34" w:name="_Toc227739597"/>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3</w:t>
            </w:r>
            <w:r w:rsidRPr="00957ED1">
              <w:rPr>
                <w:b w:val="0"/>
                <w:bCs w:val="0"/>
              </w:rPr>
              <w:fldChar w:fldCharType="end"/>
            </w:r>
            <w:r w:rsidRPr="00957ED1">
              <w:rPr>
                <w:b w:val="0"/>
                <w:bCs w:val="0"/>
              </w:rPr>
              <w:t xml:space="preserve">. Example of metadata for energy </w:t>
            </w:r>
            <w:r w:rsidR="00E661A9" w:rsidRPr="00957ED1">
              <w:rPr>
                <w:b w:val="0"/>
                <w:bCs w:val="0"/>
              </w:rPr>
              <w:t>consumption</w:t>
            </w:r>
            <w:r w:rsidRPr="00957ED1">
              <w:rPr>
                <w:b w:val="0"/>
                <w:bCs w:val="0"/>
              </w:rPr>
              <w:t xml:space="preserve"> (source: Author)</w:t>
            </w:r>
            <w:bookmarkEnd w:id="34"/>
          </w:p>
          <w:tbl>
            <w:tblPr>
              <w:tblStyle w:val="Bordered"/>
              <w:tblW w:w="9373" w:type="dxa"/>
              <w:tblLayout w:type="fixed"/>
              <w:tblLook w:val="04A0" w:firstRow="1" w:lastRow="0" w:firstColumn="1" w:lastColumn="0" w:noHBand="0" w:noVBand="1"/>
            </w:tblPr>
            <w:tblGrid>
              <w:gridCol w:w="2624"/>
              <w:gridCol w:w="6749"/>
            </w:tblGrid>
            <w:tr w:rsidR="00BF5BE8" w:rsidRPr="00AB7746" w14:paraId="3F038738" w14:textId="77777777" w:rsidTr="00290AA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4" w:type="dxa"/>
                </w:tcPr>
                <w:p w14:paraId="197B12E4" w14:textId="77777777" w:rsidR="00BF5BE8" w:rsidRPr="00AB7746" w:rsidRDefault="00BF5BE8" w:rsidP="00DE6AC3">
                  <w:pPr>
                    <w:pStyle w:val="NormalWeb"/>
                    <w:spacing w:before="40" w:beforeAutospacing="0" w:after="40"/>
                    <w:jc w:val="both"/>
                    <w:rPr>
                      <w:rFonts w:asciiTheme="minorHAnsi" w:eastAsia="Arial" w:hAnsiTheme="minorHAnsi"/>
                      <w:b/>
                      <w:bCs/>
                      <w:sz w:val="20"/>
                      <w:szCs w:val="20"/>
                      <w:lang w:val="en-GB"/>
                    </w:rPr>
                  </w:pPr>
                  <w:r w:rsidRPr="00AB7746">
                    <w:rPr>
                      <w:rFonts w:asciiTheme="minorHAnsi" w:hAnsiTheme="minorHAnsi"/>
                      <w:b/>
                      <w:bCs/>
                      <w:sz w:val="20"/>
                      <w:szCs w:val="20"/>
                      <w:lang w:val="en-GB"/>
                    </w:rPr>
                    <w:t>Table name</w:t>
                  </w:r>
                </w:p>
              </w:tc>
              <w:tc>
                <w:tcPr>
                  <w:tcW w:w="6749" w:type="dxa"/>
                </w:tcPr>
                <w:p w14:paraId="21907C76" w14:textId="77777777" w:rsidR="00BF5BE8" w:rsidRPr="00AB7746" w:rsidRDefault="00BF5BE8" w:rsidP="00DE6AC3">
                  <w:pPr>
                    <w:pStyle w:val="NormalWeb"/>
                    <w:spacing w:before="40" w:beforeAutospacing="0" w:after="40"/>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b/>
                      <w:bCs/>
                      <w:sz w:val="20"/>
                      <w:szCs w:val="20"/>
                      <w:lang w:val="en-GB"/>
                    </w:rPr>
                  </w:pPr>
                  <w:r w:rsidRPr="00AB7746">
                    <w:rPr>
                      <w:rFonts w:asciiTheme="minorHAnsi" w:hAnsiTheme="minorHAnsi"/>
                      <w:b/>
                      <w:bCs/>
                      <w:sz w:val="20"/>
                      <w:szCs w:val="20"/>
                      <w:lang w:val="en-GB"/>
                    </w:rPr>
                    <w:t>Energy Consumption Data</w:t>
                  </w:r>
                </w:p>
              </w:tc>
            </w:tr>
            <w:tr w:rsidR="00BF5BE8" w:rsidRPr="00AB7746" w14:paraId="18F326A4" w14:textId="77777777" w:rsidTr="00290A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4" w:type="dxa"/>
                </w:tcPr>
                <w:p w14:paraId="05674CB5"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hAnsiTheme="minorHAnsi"/>
                      <w:sz w:val="20"/>
                      <w:szCs w:val="20"/>
                      <w:lang w:val="en-GB"/>
                    </w:rPr>
                    <w:t>Content</w:t>
                  </w:r>
                </w:p>
              </w:tc>
              <w:tc>
                <w:tcPr>
                  <w:tcW w:w="6749" w:type="dxa"/>
                </w:tcPr>
                <w:p w14:paraId="66F67BAA" w14:textId="77777777" w:rsidR="00BF5BE8" w:rsidRPr="00AB7746" w:rsidRDefault="00BF5BE8" w:rsidP="00DE6AC3">
                  <w:pPr>
                    <w:pStyle w:val="NormalWeb"/>
                    <w:spacing w:before="40" w:beforeAutospacing="0" w:after="40"/>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0"/>
                      <w:szCs w:val="20"/>
                      <w:lang w:val="en-GB"/>
                    </w:rPr>
                  </w:pPr>
                  <w:r w:rsidRPr="00AB7746">
                    <w:rPr>
                      <w:rFonts w:asciiTheme="minorHAnsi" w:hAnsiTheme="minorHAnsi"/>
                      <w:sz w:val="20"/>
                      <w:szCs w:val="20"/>
                      <w:lang w:val="en-GB"/>
                    </w:rPr>
                    <w:t>Monthly energy consumption by source and facility.</w:t>
                  </w:r>
                </w:p>
              </w:tc>
            </w:tr>
            <w:tr w:rsidR="00BF5BE8" w:rsidRPr="00AB7746" w14:paraId="2F71821F" w14:textId="77777777" w:rsidTr="00290AAA">
              <w:trPr>
                <w:trHeight w:val="450"/>
              </w:trPr>
              <w:tc>
                <w:tcPr>
                  <w:cnfStyle w:val="001000000000" w:firstRow="0" w:lastRow="0" w:firstColumn="1" w:lastColumn="0" w:oddVBand="0" w:evenVBand="0" w:oddHBand="0" w:evenHBand="0" w:firstRowFirstColumn="0" w:firstRowLastColumn="0" w:lastRowFirstColumn="0" w:lastRowLastColumn="0"/>
                  <w:tcW w:w="2624" w:type="dxa"/>
                </w:tcPr>
                <w:p w14:paraId="431E1B0C"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hAnsiTheme="minorHAnsi"/>
                      <w:sz w:val="20"/>
                      <w:szCs w:val="20"/>
                      <w:lang w:val="en-GB"/>
                    </w:rPr>
                    <w:t>Update frequency</w:t>
                  </w:r>
                </w:p>
              </w:tc>
              <w:tc>
                <w:tcPr>
                  <w:tcW w:w="6749" w:type="dxa"/>
                </w:tcPr>
                <w:p w14:paraId="75008169" w14:textId="77777777" w:rsidR="00BF5BE8" w:rsidRPr="00AB7746" w:rsidRDefault="00BF5BE8" w:rsidP="00DE6AC3">
                  <w:pPr>
                    <w:pStyle w:val="NormalWeb"/>
                    <w:spacing w:before="40" w:beforeAutospacing="0" w:after="4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sz w:val="20"/>
                      <w:szCs w:val="20"/>
                      <w:lang w:val="en-GB"/>
                    </w:rPr>
                  </w:pPr>
                  <w:r w:rsidRPr="00AB7746">
                    <w:rPr>
                      <w:rFonts w:asciiTheme="minorHAnsi" w:hAnsiTheme="minorHAnsi"/>
                      <w:sz w:val="20"/>
                      <w:szCs w:val="20"/>
                      <w:lang w:val="en-GB"/>
                    </w:rPr>
                    <w:t>Monthly</w:t>
                  </w:r>
                </w:p>
              </w:tc>
            </w:tr>
            <w:tr w:rsidR="00BF5BE8" w:rsidRPr="00AB7746" w14:paraId="036B0D60" w14:textId="77777777" w:rsidTr="00290A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4" w:type="dxa"/>
                </w:tcPr>
                <w:p w14:paraId="3099A52C"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hAnsiTheme="minorHAnsi"/>
                      <w:sz w:val="20"/>
                      <w:szCs w:val="20"/>
                      <w:lang w:val="en-GB"/>
                    </w:rPr>
                    <w:t>Last updated</w:t>
                  </w:r>
                </w:p>
              </w:tc>
              <w:tc>
                <w:tcPr>
                  <w:tcW w:w="6749" w:type="dxa"/>
                </w:tcPr>
                <w:p w14:paraId="11624E85" w14:textId="77777777" w:rsidR="00BF5BE8" w:rsidRPr="00AB7746" w:rsidRDefault="00BF5BE8" w:rsidP="00DE6AC3">
                  <w:pPr>
                    <w:pStyle w:val="NormalWeb"/>
                    <w:spacing w:before="40" w:beforeAutospacing="0" w:after="40"/>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0"/>
                      <w:szCs w:val="20"/>
                      <w:lang w:val="en-GB"/>
                    </w:rPr>
                  </w:pPr>
                  <w:r w:rsidRPr="00AB7746">
                    <w:rPr>
                      <w:rFonts w:asciiTheme="minorHAnsi" w:hAnsiTheme="minorHAnsi"/>
                      <w:sz w:val="20"/>
                      <w:szCs w:val="20"/>
                      <w:lang w:val="en-GB"/>
                    </w:rPr>
                    <w:t>2025-12-31</w:t>
                  </w:r>
                </w:p>
              </w:tc>
            </w:tr>
            <w:tr w:rsidR="00BF5BE8" w:rsidRPr="00AB7746" w14:paraId="6F05E4F6" w14:textId="77777777" w:rsidTr="00290AAA">
              <w:trPr>
                <w:trHeight w:val="430"/>
              </w:trPr>
              <w:tc>
                <w:tcPr>
                  <w:cnfStyle w:val="001000000000" w:firstRow="0" w:lastRow="0" w:firstColumn="1" w:lastColumn="0" w:oddVBand="0" w:evenVBand="0" w:oddHBand="0" w:evenHBand="0" w:firstRowFirstColumn="0" w:firstRowLastColumn="0" w:lastRowFirstColumn="0" w:lastRowLastColumn="0"/>
                  <w:tcW w:w="2624" w:type="dxa"/>
                </w:tcPr>
                <w:p w14:paraId="3CECD32C"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hAnsiTheme="minorHAnsi"/>
                      <w:sz w:val="20"/>
                      <w:szCs w:val="20"/>
                      <w:lang w:val="en-GB"/>
                    </w:rPr>
                    <w:t>Data owner</w:t>
                  </w:r>
                </w:p>
              </w:tc>
              <w:tc>
                <w:tcPr>
                  <w:tcW w:w="6749" w:type="dxa"/>
                </w:tcPr>
                <w:p w14:paraId="646E1AC5" w14:textId="77777777" w:rsidR="00BF5BE8" w:rsidRPr="00AB7746" w:rsidRDefault="00BF5BE8" w:rsidP="00DE6AC3">
                  <w:pPr>
                    <w:pStyle w:val="NormalWeb"/>
                    <w:spacing w:before="40" w:beforeAutospacing="0" w:after="4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sz w:val="20"/>
                      <w:szCs w:val="20"/>
                      <w:lang w:val="en-GB"/>
                    </w:rPr>
                  </w:pPr>
                  <w:r w:rsidRPr="00AB7746">
                    <w:rPr>
                      <w:rFonts w:asciiTheme="minorHAnsi" w:hAnsiTheme="minorHAnsi"/>
                      <w:sz w:val="20"/>
                      <w:szCs w:val="20"/>
                      <w:lang w:val="en-GB"/>
                    </w:rPr>
                    <w:t>Head of Sustainability, Environmental Department</w:t>
                  </w:r>
                </w:p>
              </w:tc>
            </w:tr>
            <w:tr w:rsidR="00BF5BE8" w:rsidRPr="00AB7746" w14:paraId="626C376C" w14:textId="77777777" w:rsidTr="00290A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4" w:type="dxa"/>
                </w:tcPr>
                <w:p w14:paraId="502D92B3" w14:textId="7777777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hAnsiTheme="minorHAnsi"/>
                      <w:sz w:val="20"/>
                      <w:szCs w:val="20"/>
                      <w:lang w:val="en-GB"/>
                    </w:rPr>
                    <w:t>Source</w:t>
                  </w:r>
                </w:p>
              </w:tc>
              <w:tc>
                <w:tcPr>
                  <w:tcW w:w="6749" w:type="dxa"/>
                </w:tcPr>
                <w:p w14:paraId="7F61B511" w14:textId="77777777" w:rsidR="00BF5BE8" w:rsidRPr="00AB7746" w:rsidRDefault="00BF5BE8" w:rsidP="00DE6AC3">
                  <w:pPr>
                    <w:pStyle w:val="NormalWeb"/>
                    <w:spacing w:before="40" w:beforeAutospacing="0" w:after="40"/>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0"/>
                      <w:szCs w:val="20"/>
                      <w:lang w:val="en-GB"/>
                    </w:rPr>
                  </w:pPr>
                  <w:r w:rsidRPr="00AB7746">
                    <w:rPr>
                      <w:rFonts w:asciiTheme="minorHAnsi" w:hAnsiTheme="minorHAnsi"/>
                      <w:sz w:val="20"/>
                      <w:szCs w:val="20"/>
                      <w:lang w:val="en-GB"/>
                    </w:rPr>
                    <w:t>Utility invoices</w:t>
                  </w:r>
                </w:p>
              </w:tc>
            </w:tr>
          </w:tbl>
          <w:tbl>
            <w:tblPr>
              <w:tblStyle w:val="GridTable1Light"/>
              <w:tblW w:w="9360" w:type="dxa"/>
              <w:tblLayout w:type="fixed"/>
              <w:tblLook w:val="04A0" w:firstRow="1" w:lastRow="0" w:firstColumn="1" w:lastColumn="0" w:noHBand="0" w:noVBand="1"/>
            </w:tblPr>
            <w:tblGrid>
              <w:gridCol w:w="2710"/>
              <w:gridCol w:w="2157"/>
              <w:gridCol w:w="1542"/>
              <w:gridCol w:w="1556"/>
              <w:gridCol w:w="1395"/>
            </w:tblGrid>
            <w:tr w:rsidR="00BF5BE8" w:rsidRPr="00AB7746" w14:paraId="2FFFC9E3" w14:textId="77777777" w:rsidTr="0055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7BCB78CF" w14:textId="77777777" w:rsidR="00BF5BE8" w:rsidRPr="00AB7746" w:rsidRDefault="00BF5BE8" w:rsidP="00DE6AC3">
                  <w:pPr>
                    <w:jc w:val="both"/>
                    <w:rPr>
                      <w:szCs w:val="20"/>
                    </w:rPr>
                  </w:pPr>
                  <w:r w:rsidRPr="00AB7746">
                    <w:rPr>
                      <w:szCs w:val="20"/>
                    </w:rPr>
                    <w:t>Column Name</w:t>
                  </w:r>
                </w:p>
              </w:tc>
              <w:tc>
                <w:tcPr>
                  <w:tcW w:w="2157" w:type="dxa"/>
                </w:tcPr>
                <w:p w14:paraId="47E68F04" w14:textId="77777777" w:rsidR="00BF5BE8" w:rsidRPr="00AB7746" w:rsidRDefault="00BF5BE8" w:rsidP="00DE6AC3">
                  <w:pPr>
                    <w:cnfStyle w:val="100000000000" w:firstRow="1" w:lastRow="0" w:firstColumn="0" w:lastColumn="0" w:oddVBand="0" w:evenVBand="0" w:oddHBand="0" w:evenHBand="0" w:firstRowFirstColumn="0" w:firstRowLastColumn="0" w:lastRowFirstColumn="0" w:lastRowLastColumn="0"/>
                    <w:rPr>
                      <w:szCs w:val="20"/>
                    </w:rPr>
                  </w:pPr>
                  <w:r w:rsidRPr="00AB7746">
                    <w:rPr>
                      <w:szCs w:val="20"/>
                    </w:rPr>
                    <w:t>Description</w:t>
                  </w:r>
                </w:p>
              </w:tc>
              <w:tc>
                <w:tcPr>
                  <w:tcW w:w="1542" w:type="dxa"/>
                </w:tcPr>
                <w:p w14:paraId="730962FE" w14:textId="77777777" w:rsidR="00BF5BE8" w:rsidRPr="00AB7746" w:rsidRDefault="00BF5BE8" w:rsidP="00DE6AC3">
                  <w:pPr>
                    <w:jc w:val="both"/>
                    <w:cnfStyle w:val="100000000000" w:firstRow="1" w:lastRow="0" w:firstColumn="0" w:lastColumn="0" w:oddVBand="0" w:evenVBand="0" w:oddHBand="0" w:evenHBand="0" w:firstRowFirstColumn="0" w:firstRowLastColumn="0" w:lastRowFirstColumn="0" w:lastRowLastColumn="0"/>
                    <w:rPr>
                      <w:szCs w:val="20"/>
                    </w:rPr>
                  </w:pPr>
                  <w:r w:rsidRPr="00AB7746">
                    <w:rPr>
                      <w:szCs w:val="20"/>
                    </w:rPr>
                    <w:t>Format</w:t>
                  </w:r>
                </w:p>
              </w:tc>
              <w:tc>
                <w:tcPr>
                  <w:tcW w:w="1556" w:type="dxa"/>
                </w:tcPr>
                <w:p w14:paraId="4A27A29C" w14:textId="77777777" w:rsidR="00BF5BE8" w:rsidRPr="00AB7746" w:rsidRDefault="00BF5BE8" w:rsidP="00DE6AC3">
                  <w:pPr>
                    <w:jc w:val="both"/>
                    <w:cnfStyle w:val="100000000000" w:firstRow="1" w:lastRow="0" w:firstColumn="0" w:lastColumn="0" w:oddVBand="0" w:evenVBand="0" w:oddHBand="0" w:evenHBand="0" w:firstRowFirstColumn="0" w:firstRowLastColumn="0" w:lastRowFirstColumn="0" w:lastRowLastColumn="0"/>
                    <w:rPr>
                      <w:szCs w:val="20"/>
                    </w:rPr>
                  </w:pPr>
                  <w:r w:rsidRPr="00AB7746">
                    <w:rPr>
                      <w:szCs w:val="20"/>
                    </w:rPr>
                    <w:t>Example</w:t>
                  </w:r>
                </w:p>
              </w:tc>
              <w:tc>
                <w:tcPr>
                  <w:tcW w:w="1395" w:type="dxa"/>
                </w:tcPr>
                <w:p w14:paraId="6D9609B8" w14:textId="77777777" w:rsidR="00BF5BE8" w:rsidRPr="00AB7746" w:rsidRDefault="00BF5BE8" w:rsidP="00DE6AC3">
                  <w:pPr>
                    <w:jc w:val="both"/>
                    <w:cnfStyle w:val="100000000000" w:firstRow="1" w:lastRow="0" w:firstColumn="0" w:lastColumn="0" w:oddVBand="0" w:evenVBand="0" w:oddHBand="0" w:evenHBand="0" w:firstRowFirstColumn="0" w:firstRowLastColumn="0" w:lastRowFirstColumn="0" w:lastRowLastColumn="0"/>
                    <w:rPr>
                      <w:szCs w:val="20"/>
                    </w:rPr>
                  </w:pPr>
                  <w:r w:rsidRPr="00AB7746">
                    <w:rPr>
                      <w:szCs w:val="20"/>
                    </w:rPr>
                    <w:t>Required</w:t>
                  </w:r>
                </w:p>
              </w:tc>
            </w:tr>
            <w:tr w:rsidR="00BF5BE8" w:rsidRPr="00AB7746" w14:paraId="7A808678"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02F0CEA1" w14:textId="77777777" w:rsidR="00BF5BE8" w:rsidRPr="00AB7746" w:rsidRDefault="00BF5BE8" w:rsidP="00DE6AC3">
                  <w:pPr>
                    <w:jc w:val="both"/>
                    <w:rPr>
                      <w:szCs w:val="20"/>
                    </w:rPr>
                  </w:pPr>
                  <w:proofErr w:type="spellStart"/>
                  <w:r w:rsidRPr="00AB7746">
                    <w:rPr>
                      <w:rFonts w:asciiTheme="minorHAnsi" w:hAnsiTheme="minorHAnsi"/>
                      <w:b w:val="0"/>
                      <w:szCs w:val="20"/>
                    </w:rPr>
                    <w:t>FacilityID</w:t>
                  </w:r>
                  <w:proofErr w:type="spellEnd"/>
                </w:p>
              </w:tc>
              <w:tc>
                <w:tcPr>
                  <w:tcW w:w="2157" w:type="dxa"/>
                </w:tcPr>
                <w:p w14:paraId="6B339CB3"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Unique identifier for each company facility</w:t>
                  </w:r>
                </w:p>
              </w:tc>
              <w:tc>
                <w:tcPr>
                  <w:tcW w:w="1542" w:type="dxa"/>
                </w:tcPr>
                <w:p w14:paraId="360F714C"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Text</w:t>
                  </w:r>
                </w:p>
              </w:tc>
              <w:tc>
                <w:tcPr>
                  <w:tcW w:w="1556" w:type="dxa"/>
                </w:tcPr>
                <w:p w14:paraId="097A3B2B"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FAC-001</w:t>
                  </w:r>
                </w:p>
              </w:tc>
              <w:tc>
                <w:tcPr>
                  <w:tcW w:w="1395" w:type="dxa"/>
                </w:tcPr>
                <w:p w14:paraId="313C89D5"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Yes</w:t>
                  </w:r>
                </w:p>
              </w:tc>
            </w:tr>
            <w:tr w:rsidR="00BF5BE8" w:rsidRPr="00AB7746" w14:paraId="77B87FFD"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2FB39E7C" w14:textId="77777777" w:rsidR="00BF5BE8" w:rsidRPr="00AB7746" w:rsidRDefault="00BF5BE8" w:rsidP="00DE6AC3">
                  <w:pPr>
                    <w:jc w:val="both"/>
                    <w:rPr>
                      <w:szCs w:val="20"/>
                    </w:rPr>
                  </w:pPr>
                  <w:proofErr w:type="spellStart"/>
                  <w:r w:rsidRPr="00AB7746">
                    <w:rPr>
                      <w:b w:val="0"/>
                      <w:szCs w:val="20"/>
                    </w:rPr>
                    <w:t>FacilityName</w:t>
                  </w:r>
                  <w:proofErr w:type="spellEnd"/>
                </w:p>
              </w:tc>
              <w:tc>
                <w:tcPr>
                  <w:tcW w:w="2157" w:type="dxa"/>
                </w:tcPr>
                <w:p w14:paraId="18D3BC50"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Full name of the facility</w:t>
                  </w:r>
                </w:p>
              </w:tc>
              <w:tc>
                <w:tcPr>
                  <w:tcW w:w="1542" w:type="dxa"/>
                </w:tcPr>
                <w:p w14:paraId="0DEC048F"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Text</w:t>
                  </w:r>
                </w:p>
              </w:tc>
              <w:tc>
                <w:tcPr>
                  <w:tcW w:w="1556" w:type="dxa"/>
                </w:tcPr>
                <w:p w14:paraId="32779DF8"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Helsinki HQ</w:t>
                  </w:r>
                </w:p>
              </w:tc>
              <w:tc>
                <w:tcPr>
                  <w:tcW w:w="1395" w:type="dxa"/>
                </w:tcPr>
                <w:p w14:paraId="31F3F987"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r>
            <w:tr w:rsidR="00BF5BE8" w:rsidRPr="00AB7746" w14:paraId="22DCD63C"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7C1305D7" w14:textId="77777777" w:rsidR="00BF5BE8" w:rsidRPr="00AB7746" w:rsidRDefault="00BF5BE8" w:rsidP="00DE6AC3">
                  <w:pPr>
                    <w:jc w:val="both"/>
                    <w:rPr>
                      <w:szCs w:val="20"/>
                    </w:rPr>
                  </w:pPr>
                  <w:proofErr w:type="spellStart"/>
                  <w:r w:rsidRPr="00AB7746">
                    <w:rPr>
                      <w:rFonts w:asciiTheme="minorHAnsi" w:hAnsiTheme="minorHAnsi"/>
                      <w:b w:val="0"/>
                      <w:szCs w:val="20"/>
                    </w:rPr>
                    <w:t>FacilityCity</w:t>
                  </w:r>
                  <w:proofErr w:type="spellEnd"/>
                </w:p>
              </w:tc>
              <w:tc>
                <w:tcPr>
                  <w:tcW w:w="2157" w:type="dxa"/>
                </w:tcPr>
                <w:p w14:paraId="00D40FE8"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City of the facility</w:t>
                  </w:r>
                </w:p>
              </w:tc>
              <w:tc>
                <w:tcPr>
                  <w:tcW w:w="1542" w:type="dxa"/>
                </w:tcPr>
                <w:p w14:paraId="6272E210"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Text</w:t>
                  </w:r>
                </w:p>
              </w:tc>
              <w:tc>
                <w:tcPr>
                  <w:tcW w:w="1556" w:type="dxa"/>
                </w:tcPr>
                <w:p w14:paraId="6C577526"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Helsinki</w:t>
                  </w:r>
                </w:p>
              </w:tc>
              <w:tc>
                <w:tcPr>
                  <w:tcW w:w="1395" w:type="dxa"/>
                </w:tcPr>
                <w:p w14:paraId="72362957"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Yes</w:t>
                  </w:r>
                </w:p>
              </w:tc>
            </w:tr>
            <w:tr w:rsidR="00BF5BE8" w:rsidRPr="00AB7746" w14:paraId="30C99AB5"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0D13775E" w14:textId="77777777" w:rsidR="00BF5BE8" w:rsidRPr="00AB7746" w:rsidRDefault="00BF5BE8" w:rsidP="00DE6AC3">
                  <w:pPr>
                    <w:jc w:val="both"/>
                    <w:rPr>
                      <w:szCs w:val="20"/>
                    </w:rPr>
                  </w:pPr>
                  <w:proofErr w:type="spellStart"/>
                  <w:r w:rsidRPr="00AB7746">
                    <w:rPr>
                      <w:b w:val="0"/>
                      <w:szCs w:val="20"/>
                    </w:rPr>
                    <w:t>FacilityCountry</w:t>
                  </w:r>
                  <w:proofErr w:type="spellEnd"/>
                </w:p>
              </w:tc>
              <w:tc>
                <w:tcPr>
                  <w:tcW w:w="2157" w:type="dxa"/>
                </w:tcPr>
                <w:p w14:paraId="3ED71422"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Country of the facility</w:t>
                  </w:r>
                </w:p>
              </w:tc>
              <w:tc>
                <w:tcPr>
                  <w:tcW w:w="1542" w:type="dxa"/>
                </w:tcPr>
                <w:p w14:paraId="5C2C4506"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Text</w:t>
                  </w:r>
                </w:p>
              </w:tc>
              <w:tc>
                <w:tcPr>
                  <w:tcW w:w="1556" w:type="dxa"/>
                </w:tcPr>
                <w:p w14:paraId="2960EDDE"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Finland</w:t>
                  </w:r>
                </w:p>
              </w:tc>
              <w:tc>
                <w:tcPr>
                  <w:tcW w:w="1395" w:type="dxa"/>
                </w:tcPr>
                <w:p w14:paraId="06922CB4"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r>
            <w:tr w:rsidR="00BF5BE8" w:rsidRPr="00AB7746" w14:paraId="7C06527E"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4140D6C3" w14:textId="77777777" w:rsidR="00BF5BE8" w:rsidRPr="00AB7746" w:rsidRDefault="00BF5BE8" w:rsidP="00DE6AC3">
                  <w:pPr>
                    <w:jc w:val="both"/>
                    <w:rPr>
                      <w:szCs w:val="20"/>
                    </w:rPr>
                  </w:pPr>
                  <w:proofErr w:type="spellStart"/>
                  <w:r w:rsidRPr="00AB7746">
                    <w:rPr>
                      <w:rFonts w:asciiTheme="minorHAnsi" w:hAnsiTheme="minorHAnsi"/>
                      <w:b w:val="0"/>
                      <w:szCs w:val="20"/>
                    </w:rPr>
                    <w:t>ConsumptionYear</w:t>
                  </w:r>
                  <w:proofErr w:type="spellEnd"/>
                </w:p>
              </w:tc>
              <w:tc>
                <w:tcPr>
                  <w:tcW w:w="2157" w:type="dxa"/>
                </w:tcPr>
                <w:p w14:paraId="6F7BDBD7"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The calendar year of consumption</w:t>
                  </w:r>
                </w:p>
              </w:tc>
              <w:tc>
                <w:tcPr>
                  <w:tcW w:w="1542" w:type="dxa"/>
                </w:tcPr>
                <w:p w14:paraId="7DADC19C"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Integer (YYYY)</w:t>
                  </w:r>
                </w:p>
              </w:tc>
              <w:tc>
                <w:tcPr>
                  <w:tcW w:w="1556" w:type="dxa"/>
                </w:tcPr>
                <w:p w14:paraId="0DE97D47"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2024</w:t>
                  </w:r>
                </w:p>
              </w:tc>
              <w:tc>
                <w:tcPr>
                  <w:tcW w:w="1395" w:type="dxa"/>
                </w:tcPr>
                <w:p w14:paraId="5177CD28"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Yes</w:t>
                  </w:r>
                </w:p>
              </w:tc>
            </w:tr>
            <w:tr w:rsidR="00BF5BE8" w:rsidRPr="00AB7746" w14:paraId="21C14436"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1997993F" w14:textId="77777777" w:rsidR="00BF5BE8" w:rsidRPr="00AB7746" w:rsidRDefault="00BF5BE8" w:rsidP="00DE6AC3">
                  <w:pPr>
                    <w:jc w:val="both"/>
                    <w:rPr>
                      <w:szCs w:val="20"/>
                    </w:rPr>
                  </w:pPr>
                  <w:proofErr w:type="spellStart"/>
                  <w:r w:rsidRPr="00AB7746">
                    <w:rPr>
                      <w:b w:val="0"/>
                      <w:szCs w:val="20"/>
                    </w:rPr>
                    <w:t>ConsumptionMonth</w:t>
                  </w:r>
                  <w:proofErr w:type="spellEnd"/>
                </w:p>
              </w:tc>
              <w:tc>
                <w:tcPr>
                  <w:tcW w:w="2157" w:type="dxa"/>
                </w:tcPr>
                <w:p w14:paraId="67DEC7E5"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The month of consumption</w:t>
                  </w:r>
                </w:p>
              </w:tc>
              <w:tc>
                <w:tcPr>
                  <w:tcW w:w="1542" w:type="dxa"/>
                </w:tcPr>
                <w:p w14:paraId="68A79D5E"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 xml:space="preserve">Integer </w:t>
                  </w:r>
                  <w:r w:rsidRPr="00AB7746">
                    <w:rPr>
                      <w:szCs w:val="20"/>
                    </w:rPr>
                    <w:br/>
                    <w:t>(MM)</w:t>
                  </w:r>
                </w:p>
              </w:tc>
              <w:tc>
                <w:tcPr>
                  <w:tcW w:w="1556" w:type="dxa"/>
                </w:tcPr>
                <w:p w14:paraId="014CFEB0"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09</w:t>
                  </w:r>
                </w:p>
              </w:tc>
              <w:tc>
                <w:tcPr>
                  <w:tcW w:w="1395" w:type="dxa"/>
                </w:tcPr>
                <w:p w14:paraId="01D349C2"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r>
            <w:tr w:rsidR="00BF5BE8" w:rsidRPr="00AB7746" w14:paraId="3BEA82DE"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0E629B74" w14:textId="77777777" w:rsidR="00BF5BE8" w:rsidRPr="00AB7746" w:rsidRDefault="00BF5BE8" w:rsidP="00DE6AC3">
                  <w:pPr>
                    <w:jc w:val="both"/>
                    <w:rPr>
                      <w:szCs w:val="20"/>
                    </w:rPr>
                  </w:pPr>
                  <w:proofErr w:type="spellStart"/>
                  <w:r w:rsidRPr="00AB7746">
                    <w:rPr>
                      <w:rFonts w:asciiTheme="minorHAnsi" w:hAnsiTheme="minorHAnsi"/>
                      <w:b w:val="0"/>
                      <w:szCs w:val="20"/>
                    </w:rPr>
                    <w:t>EnergySource</w:t>
                  </w:r>
                  <w:proofErr w:type="spellEnd"/>
                </w:p>
              </w:tc>
              <w:tc>
                <w:tcPr>
                  <w:tcW w:w="2157" w:type="dxa"/>
                </w:tcPr>
                <w:p w14:paraId="77F2756F"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Type of energy consumed (electricity, natural gas, district heat, etc.)</w:t>
                  </w:r>
                </w:p>
              </w:tc>
              <w:tc>
                <w:tcPr>
                  <w:tcW w:w="1542" w:type="dxa"/>
                </w:tcPr>
                <w:p w14:paraId="2B90260A"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Text</w:t>
                  </w:r>
                </w:p>
              </w:tc>
              <w:tc>
                <w:tcPr>
                  <w:tcW w:w="1556" w:type="dxa"/>
                </w:tcPr>
                <w:p w14:paraId="54100F7E"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Electricity</w:t>
                  </w:r>
                </w:p>
              </w:tc>
              <w:tc>
                <w:tcPr>
                  <w:tcW w:w="1395" w:type="dxa"/>
                </w:tcPr>
                <w:p w14:paraId="072F4804"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Yes</w:t>
                  </w:r>
                </w:p>
              </w:tc>
            </w:tr>
            <w:tr w:rsidR="00BF5BE8" w:rsidRPr="00AB7746" w14:paraId="36004400"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2EAB4814" w14:textId="77777777" w:rsidR="00BF5BE8" w:rsidRPr="00AB7746" w:rsidRDefault="00BF5BE8" w:rsidP="00DE6AC3">
                  <w:pPr>
                    <w:jc w:val="both"/>
                    <w:rPr>
                      <w:szCs w:val="20"/>
                    </w:rPr>
                  </w:pPr>
                  <w:proofErr w:type="spellStart"/>
                  <w:r w:rsidRPr="00AB7746">
                    <w:rPr>
                      <w:b w:val="0"/>
                      <w:szCs w:val="20"/>
                    </w:rPr>
                    <w:t>ConsumptionAmount</w:t>
                  </w:r>
                  <w:proofErr w:type="spellEnd"/>
                </w:p>
              </w:tc>
              <w:tc>
                <w:tcPr>
                  <w:tcW w:w="2157" w:type="dxa"/>
                </w:tcPr>
                <w:p w14:paraId="7BF90167"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Total energy consumed in the reporting period</w:t>
                  </w:r>
                </w:p>
              </w:tc>
              <w:tc>
                <w:tcPr>
                  <w:tcW w:w="1542" w:type="dxa"/>
                </w:tcPr>
                <w:p w14:paraId="1AB7B9F7"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Decimal number</w:t>
                  </w:r>
                </w:p>
              </w:tc>
              <w:tc>
                <w:tcPr>
                  <w:tcW w:w="1556" w:type="dxa"/>
                </w:tcPr>
                <w:p w14:paraId="156601CA"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15420.50</w:t>
                  </w:r>
                </w:p>
              </w:tc>
              <w:tc>
                <w:tcPr>
                  <w:tcW w:w="1395" w:type="dxa"/>
                </w:tcPr>
                <w:p w14:paraId="055F59AF"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r>
            <w:tr w:rsidR="00BF5BE8" w:rsidRPr="00AB7746" w14:paraId="54636F7A"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433D7B08" w14:textId="77777777" w:rsidR="00BF5BE8" w:rsidRPr="00AB7746" w:rsidRDefault="00BF5BE8" w:rsidP="00DE6AC3">
                  <w:pPr>
                    <w:jc w:val="both"/>
                    <w:rPr>
                      <w:szCs w:val="20"/>
                    </w:rPr>
                  </w:pPr>
                  <w:proofErr w:type="spellStart"/>
                  <w:r w:rsidRPr="00AB7746">
                    <w:rPr>
                      <w:rFonts w:asciiTheme="minorHAnsi" w:hAnsiTheme="minorHAnsi"/>
                      <w:b w:val="0"/>
                      <w:szCs w:val="20"/>
                    </w:rPr>
                    <w:t>ConsumptionUnit</w:t>
                  </w:r>
                  <w:proofErr w:type="spellEnd"/>
                </w:p>
              </w:tc>
              <w:tc>
                <w:tcPr>
                  <w:tcW w:w="2157" w:type="dxa"/>
                </w:tcPr>
                <w:p w14:paraId="28A5C33D"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Unit of measurement for energy consumption</w:t>
                  </w:r>
                </w:p>
              </w:tc>
              <w:tc>
                <w:tcPr>
                  <w:tcW w:w="1542" w:type="dxa"/>
                </w:tcPr>
                <w:p w14:paraId="7A3FD31F"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Text (MWh, GJ, kWh)</w:t>
                  </w:r>
                </w:p>
              </w:tc>
              <w:tc>
                <w:tcPr>
                  <w:tcW w:w="1556" w:type="dxa"/>
                </w:tcPr>
                <w:p w14:paraId="7D9355E7"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MWh</w:t>
                  </w:r>
                </w:p>
              </w:tc>
              <w:tc>
                <w:tcPr>
                  <w:tcW w:w="1395" w:type="dxa"/>
                </w:tcPr>
                <w:p w14:paraId="185372AF"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Yes</w:t>
                  </w:r>
                </w:p>
              </w:tc>
            </w:tr>
            <w:tr w:rsidR="00BF5BE8" w:rsidRPr="00AB7746" w14:paraId="726ECADE"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05B8753D" w14:textId="77777777" w:rsidR="00BF5BE8" w:rsidRPr="00AB7746" w:rsidRDefault="00BF5BE8" w:rsidP="00DE6AC3">
                  <w:pPr>
                    <w:jc w:val="both"/>
                    <w:rPr>
                      <w:szCs w:val="20"/>
                    </w:rPr>
                  </w:pPr>
                  <w:proofErr w:type="spellStart"/>
                  <w:r w:rsidRPr="00AB7746">
                    <w:rPr>
                      <w:b w:val="0"/>
                      <w:szCs w:val="20"/>
                    </w:rPr>
                    <w:t>RenewableFlag</w:t>
                  </w:r>
                  <w:proofErr w:type="spellEnd"/>
                </w:p>
              </w:tc>
              <w:tc>
                <w:tcPr>
                  <w:tcW w:w="2157" w:type="dxa"/>
                </w:tcPr>
                <w:p w14:paraId="10765771"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Indicates whether the energy source is renewable</w:t>
                  </w:r>
                </w:p>
              </w:tc>
              <w:tc>
                <w:tcPr>
                  <w:tcW w:w="1542" w:type="dxa"/>
                </w:tcPr>
                <w:p w14:paraId="270538F5"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Boolean (Yes/No)</w:t>
                  </w:r>
                </w:p>
              </w:tc>
              <w:tc>
                <w:tcPr>
                  <w:tcW w:w="1556" w:type="dxa"/>
                </w:tcPr>
                <w:p w14:paraId="0E66DD9B"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c>
                <w:tcPr>
                  <w:tcW w:w="1395" w:type="dxa"/>
                </w:tcPr>
                <w:p w14:paraId="1B504B8B"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Yes</w:t>
                  </w:r>
                </w:p>
              </w:tc>
            </w:tr>
            <w:tr w:rsidR="00BF5BE8" w:rsidRPr="00AB7746" w14:paraId="33275D34"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0" w:type="dxa"/>
                </w:tcPr>
                <w:p w14:paraId="1F698968" w14:textId="77777777" w:rsidR="00BF5BE8" w:rsidRPr="00AB7746" w:rsidRDefault="00BF5BE8" w:rsidP="00DE6AC3">
                  <w:pPr>
                    <w:jc w:val="both"/>
                    <w:rPr>
                      <w:szCs w:val="20"/>
                    </w:rPr>
                  </w:pPr>
                  <w:r w:rsidRPr="00AB7746">
                    <w:rPr>
                      <w:rFonts w:asciiTheme="minorHAnsi" w:hAnsiTheme="minorHAnsi"/>
                      <w:b w:val="0"/>
                      <w:szCs w:val="20"/>
                    </w:rPr>
                    <w:t>Supplier</w:t>
                  </w:r>
                </w:p>
              </w:tc>
              <w:tc>
                <w:tcPr>
                  <w:tcW w:w="2157" w:type="dxa"/>
                </w:tcPr>
                <w:p w14:paraId="2EC91DD8" w14:textId="77777777" w:rsidR="00BF5BE8" w:rsidRPr="00AB7746" w:rsidRDefault="00BF5BE8" w:rsidP="00DE6AC3">
                  <w:pPr>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Name of the energy supplier</w:t>
                  </w:r>
                </w:p>
              </w:tc>
              <w:tc>
                <w:tcPr>
                  <w:tcW w:w="1542" w:type="dxa"/>
                </w:tcPr>
                <w:p w14:paraId="748AB0BF"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Text</w:t>
                  </w:r>
                </w:p>
              </w:tc>
              <w:tc>
                <w:tcPr>
                  <w:tcW w:w="1556" w:type="dxa"/>
                </w:tcPr>
                <w:p w14:paraId="07AB81F5"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Fortum</w:t>
                  </w:r>
                </w:p>
              </w:tc>
              <w:tc>
                <w:tcPr>
                  <w:tcW w:w="1395" w:type="dxa"/>
                </w:tcPr>
                <w:p w14:paraId="59A53D23" w14:textId="77777777" w:rsidR="00BF5BE8" w:rsidRPr="00AB7746" w:rsidRDefault="00BF5BE8" w:rsidP="00DE6AC3">
                  <w:pPr>
                    <w:jc w:val="both"/>
                    <w:cnfStyle w:val="000000100000" w:firstRow="0" w:lastRow="0" w:firstColumn="0" w:lastColumn="0" w:oddVBand="0" w:evenVBand="0" w:oddHBand="1" w:evenHBand="0" w:firstRowFirstColumn="0" w:firstRowLastColumn="0" w:lastRowFirstColumn="0" w:lastRowLastColumn="0"/>
                    <w:rPr>
                      <w:szCs w:val="20"/>
                    </w:rPr>
                  </w:pPr>
                  <w:r w:rsidRPr="00AB7746">
                    <w:rPr>
                      <w:rFonts w:asciiTheme="minorHAnsi" w:hAnsiTheme="minorHAnsi"/>
                      <w:szCs w:val="20"/>
                    </w:rPr>
                    <w:t>No</w:t>
                  </w:r>
                </w:p>
              </w:tc>
            </w:tr>
            <w:tr w:rsidR="00BF5BE8" w:rsidRPr="00AB7746" w14:paraId="2F9AC81C" w14:textId="77777777" w:rsidTr="005507F0">
              <w:tc>
                <w:tcPr>
                  <w:cnfStyle w:val="001000000000" w:firstRow="0" w:lastRow="0" w:firstColumn="1" w:lastColumn="0" w:oddVBand="0" w:evenVBand="0" w:oddHBand="0" w:evenHBand="0" w:firstRowFirstColumn="0" w:firstRowLastColumn="0" w:lastRowFirstColumn="0" w:lastRowLastColumn="0"/>
                  <w:tcW w:w="2710" w:type="dxa"/>
                </w:tcPr>
                <w:p w14:paraId="082F668A" w14:textId="77777777" w:rsidR="00BF5BE8" w:rsidRPr="00AB7746" w:rsidRDefault="00BF5BE8" w:rsidP="00DE6AC3">
                  <w:pPr>
                    <w:jc w:val="both"/>
                    <w:rPr>
                      <w:szCs w:val="20"/>
                    </w:rPr>
                  </w:pPr>
                  <w:proofErr w:type="spellStart"/>
                  <w:r w:rsidRPr="00AB7746">
                    <w:rPr>
                      <w:b w:val="0"/>
                      <w:szCs w:val="20"/>
                    </w:rPr>
                    <w:t>InvoiceReference</w:t>
                  </w:r>
                  <w:proofErr w:type="spellEnd"/>
                </w:p>
              </w:tc>
              <w:tc>
                <w:tcPr>
                  <w:tcW w:w="2157" w:type="dxa"/>
                </w:tcPr>
                <w:p w14:paraId="1D7D7D06" w14:textId="77777777" w:rsidR="00BF5BE8" w:rsidRPr="00AB7746" w:rsidRDefault="00BF5BE8" w:rsidP="00DE6AC3">
                  <w:pPr>
                    <w:cnfStyle w:val="000000000000" w:firstRow="0" w:lastRow="0" w:firstColumn="0" w:lastColumn="0" w:oddVBand="0" w:evenVBand="0" w:oddHBand="0" w:evenHBand="0" w:firstRowFirstColumn="0" w:firstRowLastColumn="0" w:lastRowFirstColumn="0" w:lastRowLastColumn="0"/>
                    <w:rPr>
                      <w:szCs w:val="20"/>
                    </w:rPr>
                  </w:pPr>
                  <w:r w:rsidRPr="00AB7746">
                    <w:rPr>
                      <w:szCs w:val="20"/>
                    </w:rPr>
                    <w:t>Reference number of the source invoice or document</w:t>
                  </w:r>
                </w:p>
              </w:tc>
              <w:tc>
                <w:tcPr>
                  <w:tcW w:w="1542" w:type="dxa"/>
                </w:tcPr>
                <w:p w14:paraId="72320E31"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Text</w:t>
                  </w:r>
                </w:p>
              </w:tc>
              <w:tc>
                <w:tcPr>
                  <w:tcW w:w="1556" w:type="dxa"/>
                </w:tcPr>
                <w:p w14:paraId="055764CA"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INV-2024-0342</w:t>
                  </w:r>
                </w:p>
              </w:tc>
              <w:tc>
                <w:tcPr>
                  <w:tcW w:w="1395" w:type="dxa"/>
                </w:tcPr>
                <w:p w14:paraId="04C25DF2" w14:textId="77777777" w:rsidR="00BF5BE8" w:rsidRPr="00AB7746" w:rsidRDefault="00BF5BE8" w:rsidP="00DE6AC3">
                  <w:pPr>
                    <w:jc w:val="both"/>
                    <w:cnfStyle w:val="000000000000" w:firstRow="0" w:lastRow="0" w:firstColumn="0" w:lastColumn="0" w:oddVBand="0" w:evenVBand="0" w:oddHBand="0" w:evenHBand="0" w:firstRowFirstColumn="0" w:firstRowLastColumn="0" w:lastRowFirstColumn="0" w:lastRowLastColumn="0"/>
                    <w:rPr>
                      <w:szCs w:val="20"/>
                    </w:rPr>
                  </w:pPr>
                  <w:r w:rsidRPr="00AB7746">
                    <w:rPr>
                      <w:szCs w:val="20"/>
                    </w:rPr>
                    <w:t>No</w:t>
                  </w:r>
                </w:p>
              </w:tc>
            </w:tr>
          </w:tbl>
          <w:p w14:paraId="53500A20" w14:textId="65B83287" w:rsidR="00BF5BE8" w:rsidRPr="00AB7746" w:rsidRDefault="00BF5BE8" w:rsidP="00DE6AC3">
            <w:pPr>
              <w:pStyle w:val="NormalWeb"/>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lastRenderedPageBreak/>
              <w:t xml:space="preserve">Metadata needs to be accessible and up to date. It is also important that if something changes then both the old and new version are saved. Usually, a data steward is responsible for creating </w:t>
            </w:r>
            <w:r w:rsidR="005755BD" w:rsidRPr="00AB7746">
              <w:rPr>
                <w:rFonts w:asciiTheme="minorHAnsi" w:eastAsia="Arial" w:hAnsiTheme="minorHAnsi"/>
                <w:sz w:val="20"/>
                <w:szCs w:val="20"/>
                <w:lang w:val="en-GB"/>
              </w:rPr>
              <w:t>metadata,</w:t>
            </w:r>
            <w:r w:rsidRPr="00AB7746">
              <w:rPr>
                <w:rFonts w:asciiTheme="minorHAnsi" w:eastAsia="Arial" w:hAnsiTheme="minorHAnsi"/>
                <w:sz w:val="20"/>
                <w:szCs w:val="20"/>
                <w:lang w:val="en-GB"/>
              </w:rPr>
              <w:t xml:space="preserve"> but the task can be also assigned to another role that works closely with the data.</w:t>
            </w:r>
          </w:p>
          <w:p w14:paraId="40A16270" w14:textId="77777777" w:rsidR="00BF5BE8" w:rsidRPr="00AB7746" w:rsidRDefault="00BF5BE8" w:rsidP="00DE6AC3">
            <w:pPr>
              <w:pStyle w:val="NormalWeb"/>
              <w:spacing w:before="40" w:beforeAutospacing="0" w:after="40"/>
              <w:jc w:val="both"/>
              <w:rPr>
                <w:rFonts w:asciiTheme="minorHAnsi" w:eastAsia="Arial" w:hAnsiTheme="minorHAnsi"/>
                <w:b/>
                <w:color w:val="00AC4E" w:themeColor="accent1"/>
                <w:sz w:val="20"/>
                <w:szCs w:val="20"/>
                <w:lang w:val="en-GB"/>
              </w:rPr>
            </w:pPr>
            <w:r w:rsidRPr="00AB7746">
              <w:rPr>
                <w:rFonts w:asciiTheme="minorHAnsi" w:eastAsia="Arial" w:hAnsiTheme="minorHAnsi"/>
                <w:b/>
                <w:color w:val="00AC4E" w:themeColor="accent1"/>
                <w:sz w:val="20"/>
                <w:szCs w:val="20"/>
                <w:lang w:val="en-GB"/>
              </w:rPr>
              <w:t>Additional reading</w:t>
            </w:r>
          </w:p>
          <w:p w14:paraId="0A4A4359" w14:textId="7600FA4C" w:rsidR="00BF5BE8" w:rsidRPr="00AB7746" w:rsidRDefault="00BF5BE8" w:rsidP="00A76B1B">
            <w:pPr>
              <w:pStyle w:val="NormalWeb"/>
              <w:numPr>
                <w:ilvl w:val="0"/>
                <w:numId w:val="238"/>
              </w:numPr>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 xml:space="preserve">The Data Governance Institute website: </w:t>
            </w:r>
            <w:hyperlink r:id="rId62" w:tooltip="https://datagovernance.com/the-data-governance-basics/adg-data-governance-basics/" w:history="1">
              <w:r w:rsidRPr="00AB7746">
                <w:rPr>
                  <w:rStyle w:val="Hyperlink"/>
                  <w:rFonts w:asciiTheme="minorHAnsi" w:eastAsia="Arial" w:hAnsiTheme="minorHAnsi"/>
                  <w:color w:val="auto"/>
                  <w:sz w:val="20"/>
                  <w:szCs w:val="20"/>
                  <w:lang w:val="en-GB"/>
                </w:rPr>
                <w:t>https://datagovernance.com/the-data-governance-basics/adg-data-governance-basics/</w:t>
              </w:r>
            </w:hyperlink>
            <w:r w:rsidRPr="00AB7746">
              <w:rPr>
                <w:rFonts w:asciiTheme="minorHAnsi" w:eastAsia="Arial" w:hAnsiTheme="minorHAnsi"/>
                <w:sz w:val="20"/>
                <w:szCs w:val="20"/>
                <w:lang w:val="en-GB"/>
              </w:rPr>
              <w:t xml:space="preserve"> (Accessed February 2025).</w:t>
            </w:r>
          </w:p>
          <w:p w14:paraId="5E066CF2" w14:textId="1E8F36F0" w:rsidR="00BF5BE8" w:rsidRPr="00AB7746" w:rsidRDefault="00BF5BE8" w:rsidP="00A76B1B">
            <w:pPr>
              <w:pStyle w:val="NormalWeb"/>
              <w:numPr>
                <w:ilvl w:val="0"/>
                <w:numId w:val="238"/>
              </w:numPr>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Seiner, R. 2014. Non-Invasive Data Governance. Technics Publications.</w:t>
            </w:r>
          </w:p>
          <w:p w14:paraId="378E61EC" w14:textId="63C6253D" w:rsidR="00BF5BE8" w:rsidRPr="00AB7746" w:rsidRDefault="00BF5BE8" w:rsidP="00DE6AC3">
            <w:pPr>
              <w:pStyle w:val="NormalWeb"/>
              <w:spacing w:before="40" w:beforeAutospacing="0" w:after="40"/>
              <w:jc w:val="both"/>
              <w:rPr>
                <w:rFonts w:asciiTheme="minorHAnsi" w:eastAsia="Arial" w:hAnsiTheme="minorHAnsi"/>
                <w:b/>
                <w:color w:val="00AC4E" w:themeColor="accent1"/>
                <w:sz w:val="20"/>
                <w:szCs w:val="20"/>
                <w:lang w:val="en-GB"/>
              </w:rPr>
            </w:pPr>
            <w:r w:rsidRPr="00AB7746">
              <w:rPr>
                <w:rFonts w:asciiTheme="minorHAnsi" w:eastAsia="Arial" w:hAnsiTheme="minorHAnsi"/>
                <w:b/>
                <w:color w:val="00AC4E" w:themeColor="accent1"/>
                <w:sz w:val="20"/>
                <w:szCs w:val="20"/>
                <w:lang w:val="en-GB"/>
              </w:rPr>
              <w:t>Key takeaways</w:t>
            </w:r>
            <w:r w:rsidRPr="00AB7746">
              <w:rPr>
                <w:rFonts w:asciiTheme="minorHAnsi" w:hAnsiTheme="minorHAnsi"/>
                <w:sz w:val="20"/>
                <w:szCs w:val="20"/>
                <w:lang w:val="en-GB"/>
              </w:rPr>
              <w:t>:</w:t>
            </w:r>
          </w:p>
          <w:p w14:paraId="6C4F64B0" w14:textId="77777777" w:rsidR="00BF5BE8" w:rsidRPr="00AB7746" w:rsidRDefault="00BF5BE8" w:rsidP="00A76B1B">
            <w:pPr>
              <w:pStyle w:val="NormalWeb"/>
              <w:numPr>
                <w:ilvl w:val="0"/>
                <w:numId w:val="239"/>
              </w:numPr>
              <w:spacing w:before="40" w:beforeAutospacing="0" w:after="40"/>
              <w:jc w:val="both"/>
              <w:rPr>
                <w:rFonts w:asciiTheme="minorHAnsi" w:eastAsia="Arial" w:hAnsiTheme="minorHAnsi"/>
                <w:color w:val="00AC4E" w:themeColor="accent1"/>
                <w:sz w:val="20"/>
                <w:szCs w:val="20"/>
                <w:lang w:val="en-GB"/>
              </w:rPr>
            </w:pPr>
            <w:r w:rsidRPr="00AB7746">
              <w:rPr>
                <w:rFonts w:asciiTheme="minorHAnsi" w:eastAsia="Arial" w:hAnsiTheme="minorHAnsi"/>
                <w:sz w:val="20"/>
                <w:szCs w:val="20"/>
                <w:lang w:val="en-GB"/>
              </w:rPr>
              <w:t>Correct application of data governance and data management provide that organizations data is accessible, described and high-quality. This enables organization to make better data-driven decisions.</w:t>
            </w:r>
          </w:p>
          <w:p w14:paraId="3CD6987E" w14:textId="77777777" w:rsidR="00BF5BE8" w:rsidRPr="00AB7746" w:rsidRDefault="00BF5BE8" w:rsidP="00A76B1B">
            <w:pPr>
              <w:pStyle w:val="NormalWeb"/>
              <w:numPr>
                <w:ilvl w:val="0"/>
                <w:numId w:val="239"/>
              </w:numPr>
              <w:spacing w:before="40" w:beforeAutospacing="0" w:after="40"/>
              <w:jc w:val="both"/>
              <w:rPr>
                <w:rFonts w:asciiTheme="minorHAnsi" w:eastAsia="Arial" w:hAnsiTheme="minorHAnsi"/>
                <w:color w:val="00AC4E" w:themeColor="accent1"/>
                <w:sz w:val="20"/>
                <w:szCs w:val="20"/>
                <w:lang w:val="en-GB"/>
              </w:rPr>
            </w:pPr>
            <w:r w:rsidRPr="00AB7746">
              <w:rPr>
                <w:rFonts w:asciiTheme="minorHAnsi" w:eastAsia="Arial" w:hAnsiTheme="minorHAnsi"/>
                <w:sz w:val="20"/>
                <w:szCs w:val="20"/>
                <w:lang w:val="en-GB"/>
              </w:rPr>
              <w:t xml:space="preserve">Data governance and data management need to be part of each of the six steps of the data lifecycle. </w:t>
            </w:r>
          </w:p>
          <w:p w14:paraId="0FA4EAA0" w14:textId="77777777" w:rsidR="00BF5BE8" w:rsidRPr="00AB7746" w:rsidRDefault="00BF5BE8" w:rsidP="00A76B1B">
            <w:pPr>
              <w:pStyle w:val="NormalWeb"/>
              <w:numPr>
                <w:ilvl w:val="0"/>
                <w:numId w:val="239"/>
              </w:numPr>
              <w:spacing w:before="40" w:beforeAutospacing="0" w:after="40"/>
              <w:jc w:val="both"/>
              <w:rPr>
                <w:rFonts w:asciiTheme="minorHAnsi" w:eastAsia="Arial" w:hAnsiTheme="minorHAnsi"/>
                <w:color w:val="00AC4E" w:themeColor="accent1"/>
                <w:sz w:val="20"/>
                <w:szCs w:val="20"/>
                <w:lang w:val="en-GB"/>
              </w:rPr>
            </w:pPr>
            <w:r w:rsidRPr="00AB7746">
              <w:rPr>
                <w:rFonts w:asciiTheme="minorHAnsi" w:eastAsia="Arial" w:hAnsiTheme="minorHAnsi"/>
                <w:sz w:val="20"/>
                <w:szCs w:val="20"/>
                <w:lang w:val="en-GB"/>
              </w:rPr>
              <w:t>Roles and tasks of data governance and data management need to be clearly defined in an organization.</w:t>
            </w:r>
          </w:p>
          <w:p w14:paraId="44C9AF3A" w14:textId="77777777" w:rsidR="00BF5BE8" w:rsidRPr="00AB7746" w:rsidRDefault="00BF5BE8" w:rsidP="00A76B1B">
            <w:pPr>
              <w:pStyle w:val="NormalWeb"/>
              <w:numPr>
                <w:ilvl w:val="0"/>
                <w:numId w:val="239"/>
              </w:numPr>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Metadata is crucial to make sense of the data.</w:t>
            </w:r>
          </w:p>
          <w:p w14:paraId="08541944" w14:textId="77777777" w:rsidR="00BF5BE8" w:rsidRPr="00AB7746" w:rsidRDefault="00BF5BE8" w:rsidP="00DE6AC3">
            <w:pPr>
              <w:pStyle w:val="NormalWeb"/>
              <w:spacing w:before="40" w:beforeAutospacing="0" w:after="40"/>
              <w:jc w:val="both"/>
              <w:rPr>
                <w:rFonts w:asciiTheme="minorHAnsi" w:eastAsia="Arial" w:hAnsiTheme="minorHAnsi"/>
                <w:b/>
                <w:color w:val="00AC4E" w:themeColor="accent1"/>
                <w:sz w:val="20"/>
                <w:szCs w:val="20"/>
                <w:lang w:val="en-GB"/>
              </w:rPr>
            </w:pPr>
            <w:r w:rsidRPr="00AB7746">
              <w:rPr>
                <w:rFonts w:asciiTheme="minorHAnsi" w:eastAsia="Arial" w:hAnsiTheme="minorHAnsi"/>
                <w:b/>
                <w:color w:val="00AC4E" w:themeColor="accent1"/>
                <w:sz w:val="20"/>
                <w:szCs w:val="20"/>
                <w:lang w:val="en-GB"/>
              </w:rPr>
              <w:t>Quick check</w:t>
            </w:r>
          </w:p>
          <w:p w14:paraId="1D5A0D56" w14:textId="3D458934" w:rsidR="00BF5BE8" w:rsidRPr="00AB7746" w:rsidRDefault="00BF5BE8" w:rsidP="00B22513">
            <w:pPr>
              <w:pStyle w:val="NormalWeb"/>
              <w:numPr>
                <w:ilvl w:val="0"/>
                <w:numId w:val="240"/>
              </w:numPr>
              <w:spacing w:before="0" w:beforeAutospacing="0" w:after="0" w:afterAutospacing="0"/>
              <w:jc w:val="both"/>
              <w:rPr>
                <w:rFonts w:asciiTheme="minorHAnsi" w:eastAsia="Arial" w:hAnsiTheme="minorHAnsi"/>
                <w:color w:val="009889" w:themeColor="accent2"/>
                <w:sz w:val="20"/>
                <w:szCs w:val="20"/>
                <w:lang w:val="en-GB"/>
              </w:rPr>
            </w:pPr>
            <w:r w:rsidRPr="00AB7746">
              <w:rPr>
                <w:rFonts w:asciiTheme="minorHAnsi" w:eastAsia="Arial" w:hAnsiTheme="minorHAnsi"/>
                <w:color w:val="009889" w:themeColor="accent2"/>
                <w:sz w:val="20"/>
                <w:szCs w:val="20"/>
                <w:lang w:val="en-GB"/>
              </w:rPr>
              <w:t xml:space="preserve">Which role is primarily responsible for day-to-day data quality monitoring? </w:t>
            </w:r>
          </w:p>
          <w:p w14:paraId="22BE6899" w14:textId="77777777" w:rsidR="00BF5BE8" w:rsidRPr="00AB7746" w:rsidRDefault="00BF5BE8" w:rsidP="00B22513">
            <w:pPr>
              <w:pStyle w:val="NormalWeb"/>
              <w:numPr>
                <w:ilvl w:val="0"/>
                <w:numId w:val="226"/>
              </w:numPr>
              <w:spacing w:before="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 xml:space="preserve">Chief Data Officer </w:t>
            </w:r>
          </w:p>
          <w:p w14:paraId="7DBF6C93" w14:textId="77777777" w:rsidR="00BF5BE8" w:rsidRPr="00AB7746" w:rsidRDefault="00BF5BE8" w:rsidP="00DE6AC3">
            <w:pPr>
              <w:pStyle w:val="NormalWeb"/>
              <w:numPr>
                <w:ilvl w:val="0"/>
                <w:numId w:val="226"/>
              </w:numPr>
              <w:spacing w:before="4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Data Steward</w:t>
            </w:r>
          </w:p>
          <w:p w14:paraId="33B5500B" w14:textId="77777777" w:rsidR="00BF5BE8" w:rsidRPr="00AB7746" w:rsidRDefault="00BF5BE8" w:rsidP="00DE6AC3">
            <w:pPr>
              <w:pStyle w:val="NormalWeb"/>
              <w:numPr>
                <w:ilvl w:val="0"/>
                <w:numId w:val="226"/>
              </w:numPr>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Data Privacy Officer</w:t>
            </w:r>
          </w:p>
          <w:p w14:paraId="4DCC8D96" w14:textId="181C984B" w:rsidR="00BF5BE8" w:rsidRPr="00AB7746" w:rsidRDefault="00BF5BE8" w:rsidP="00B22513">
            <w:pPr>
              <w:pStyle w:val="NormalWeb"/>
              <w:numPr>
                <w:ilvl w:val="0"/>
                <w:numId w:val="240"/>
              </w:numPr>
              <w:spacing w:before="0" w:beforeAutospacing="0" w:after="0" w:afterAutospacing="0"/>
              <w:jc w:val="both"/>
              <w:rPr>
                <w:rFonts w:asciiTheme="minorHAnsi" w:eastAsia="Arial" w:hAnsiTheme="minorHAnsi"/>
                <w:color w:val="009889" w:themeColor="accent2"/>
                <w:sz w:val="20"/>
                <w:szCs w:val="20"/>
                <w:lang w:val="en-GB"/>
              </w:rPr>
            </w:pPr>
            <w:r w:rsidRPr="00AB7746">
              <w:rPr>
                <w:rFonts w:asciiTheme="minorHAnsi" w:eastAsia="Arial" w:hAnsiTheme="minorHAnsi"/>
                <w:color w:val="009889" w:themeColor="accent2"/>
                <w:sz w:val="20"/>
                <w:szCs w:val="20"/>
                <w:lang w:val="en-GB"/>
              </w:rPr>
              <w:t xml:space="preserve"> What is the first step of data lifecycle? </w:t>
            </w:r>
          </w:p>
          <w:p w14:paraId="3B609A4B" w14:textId="77777777" w:rsidR="00BF5BE8" w:rsidRPr="00AB7746" w:rsidRDefault="00BF5BE8" w:rsidP="00B22513">
            <w:pPr>
              <w:pStyle w:val="NormalWeb"/>
              <w:numPr>
                <w:ilvl w:val="0"/>
                <w:numId w:val="227"/>
              </w:numPr>
              <w:spacing w:before="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Archive</w:t>
            </w:r>
          </w:p>
          <w:p w14:paraId="040C112E" w14:textId="77777777" w:rsidR="00BF5BE8" w:rsidRPr="00AB7746" w:rsidRDefault="00BF5BE8" w:rsidP="00DE6AC3">
            <w:pPr>
              <w:pStyle w:val="NormalWeb"/>
              <w:numPr>
                <w:ilvl w:val="0"/>
                <w:numId w:val="227"/>
              </w:numPr>
              <w:spacing w:before="4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Use</w:t>
            </w:r>
          </w:p>
          <w:p w14:paraId="5DFBD4B2" w14:textId="77777777" w:rsidR="00BF5BE8" w:rsidRPr="00AB7746" w:rsidRDefault="00BF5BE8" w:rsidP="00DE6AC3">
            <w:pPr>
              <w:pStyle w:val="NormalWeb"/>
              <w:numPr>
                <w:ilvl w:val="0"/>
                <w:numId w:val="227"/>
              </w:numPr>
              <w:spacing w:before="40" w:beforeAutospacing="0" w:after="40"/>
              <w:jc w:val="both"/>
              <w:rPr>
                <w:rFonts w:asciiTheme="minorHAnsi" w:eastAsia="Arial" w:hAnsiTheme="minorHAnsi"/>
                <w:sz w:val="20"/>
                <w:szCs w:val="20"/>
                <w:lang w:val="en-GB"/>
              </w:rPr>
            </w:pPr>
            <w:r w:rsidRPr="00AB7746">
              <w:rPr>
                <w:rFonts w:asciiTheme="minorHAnsi" w:eastAsia="Arial" w:hAnsiTheme="minorHAnsi"/>
                <w:sz w:val="20"/>
                <w:szCs w:val="20"/>
                <w:lang w:val="en-GB"/>
              </w:rPr>
              <w:t>Plan</w:t>
            </w:r>
          </w:p>
          <w:p w14:paraId="211B9957" w14:textId="1C0C618B" w:rsidR="00BF5BE8" w:rsidRPr="00AB7746" w:rsidRDefault="00BF5BE8" w:rsidP="00B22513">
            <w:pPr>
              <w:pStyle w:val="ListParagraph"/>
              <w:numPr>
                <w:ilvl w:val="0"/>
                <w:numId w:val="240"/>
              </w:numPr>
              <w:spacing w:before="40" w:after="40"/>
              <w:jc w:val="both"/>
              <w:rPr>
                <w:color w:val="009889" w:themeColor="accent2"/>
                <w:szCs w:val="20"/>
              </w:rPr>
            </w:pPr>
            <w:r w:rsidRPr="00AB7746">
              <w:rPr>
                <w:rFonts w:eastAsia="Arial"/>
                <w:color w:val="009889" w:themeColor="accent2"/>
                <w:szCs w:val="20"/>
              </w:rPr>
              <w:t>True or False:</w:t>
            </w:r>
          </w:p>
          <w:p w14:paraId="3AD66EEE" w14:textId="77777777" w:rsidR="00BF5BE8" w:rsidRPr="00AB7746" w:rsidRDefault="00BF5BE8" w:rsidP="00DE6AC3">
            <w:pPr>
              <w:pStyle w:val="NormalWeb"/>
              <w:spacing w:before="40" w:beforeAutospacing="0" w:after="40"/>
              <w:jc w:val="both"/>
              <w:rPr>
                <w:rFonts w:asciiTheme="minorHAnsi" w:eastAsia="Arial" w:hAnsiTheme="minorHAnsi"/>
                <w:i/>
                <w:color w:val="2D2D2D"/>
                <w:sz w:val="20"/>
                <w:szCs w:val="20"/>
                <w:lang w:val="en-GB"/>
              </w:rPr>
            </w:pPr>
            <w:r w:rsidRPr="00AB7746">
              <w:rPr>
                <w:rFonts w:asciiTheme="minorHAnsi" w:eastAsia="Arial" w:hAnsiTheme="minorHAnsi"/>
                <w:i/>
                <w:color w:val="2D2D2D"/>
                <w:sz w:val="20"/>
                <w:szCs w:val="20"/>
                <w:lang w:val="en-GB"/>
              </w:rPr>
              <w:t xml:space="preserve">"Data Governance and Data Management are the same discipline and the words can be used interchangeably."  </w:t>
            </w:r>
          </w:p>
          <w:p w14:paraId="4F6A6F82" w14:textId="77777777" w:rsidR="00BF5BE8" w:rsidRPr="00EF521E" w:rsidRDefault="00BF5BE8" w:rsidP="00DE6AC3">
            <w:pPr>
              <w:pStyle w:val="NormalWeb"/>
              <w:spacing w:before="40" w:beforeAutospacing="0" w:after="40"/>
              <w:jc w:val="both"/>
              <w:rPr>
                <w:rFonts w:asciiTheme="minorHAnsi" w:hAnsiTheme="minorHAnsi"/>
                <w:b/>
                <w:color w:val="00AC4E" w:themeColor="accent1"/>
                <w:sz w:val="22"/>
                <w:szCs w:val="22"/>
                <w:lang w:val="en-GB"/>
              </w:rPr>
            </w:pPr>
            <w:r w:rsidRPr="00AB7746">
              <w:rPr>
                <w:rFonts w:asciiTheme="minorHAnsi" w:eastAsia="Arial" w:hAnsiTheme="minorHAnsi"/>
                <w:i/>
                <w:sz w:val="20"/>
                <w:szCs w:val="20"/>
                <w:lang w:val="en-GB"/>
              </w:rPr>
              <w:t>Answer key: 1) b; 2) c; 3) False</w:t>
            </w:r>
          </w:p>
        </w:tc>
      </w:tr>
    </w:tbl>
    <w:p w14:paraId="700B13C2" w14:textId="77777777" w:rsidR="00B22513" w:rsidRPr="00EF521E" w:rsidRDefault="00B22513">
      <w:r w:rsidRPr="00EF521E">
        <w:lastRenderedPageBreak/>
        <w:br w:type="page"/>
      </w:r>
    </w:p>
    <w:tbl>
      <w:tblPr>
        <w:tblStyle w:val="TableGrid"/>
        <w:tblW w:w="9634" w:type="dxa"/>
        <w:tblLook w:val="04A0" w:firstRow="1" w:lastRow="0" w:firstColumn="1" w:lastColumn="0" w:noHBand="0" w:noVBand="1"/>
      </w:tblPr>
      <w:tblGrid>
        <w:gridCol w:w="9854"/>
      </w:tblGrid>
      <w:tr w:rsidR="00B22513" w:rsidRPr="00EF521E" w14:paraId="29573A75" w14:textId="77777777" w:rsidTr="00290AAA">
        <w:trPr>
          <w:trHeight w:val="300"/>
        </w:trPr>
        <w:tc>
          <w:tcPr>
            <w:tcW w:w="9634" w:type="dxa"/>
          </w:tcPr>
          <w:p w14:paraId="49890A26" w14:textId="6C1D8129" w:rsidR="00B22513" w:rsidRPr="00EF521E" w:rsidRDefault="00B22513" w:rsidP="00B22513">
            <w:pPr>
              <w:pStyle w:val="Heading2"/>
              <w:numPr>
                <w:ilvl w:val="0"/>
                <w:numId w:val="0"/>
              </w:numPr>
            </w:pPr>
            <w:bookmarkStart w:id="35" w:name="_Toc227485168"/>
            <w:r w:rsidRPr="00EF521E">
              <w:lastRenderedPageBreak/>
              <w:t>Topic 2.1: Data Collection Workflows</w:t>
            </w:r>
            <w:bookmarkEnd w:id="35"/>
          </w:p>
        </w:tc>
      </w:tr>
      <w:tr w:rsidR="00B22513" w:rsidRPr="00EF521E" w14:paraId="2644FBC0" w14:textId="77777777" w:rsidTr="00290AAA">
        <w:trPr>
          <w:trHeight w:val="300"/>
        </w:trPr>
        <w:tc>
          <w:tcPr>
            <w:tcW w:w="9634" w:type="dxa"/>
            <w:shd w:val="clear" w:color="auto" w:fill="D9D9D9" w:themeFill="background1" w:themeFillShade="D9"/>
          </w:tcPr>
          <w:p w14:paraId="32775001" w14:textId="7D310AE8" w:rsidR="00B22513" w:rsidRPr="00AB7746" w:rsidRDefault="00B22513" w:rsidP="00B22513">
            <w:pPr>
              <w:pStyle w:val="Heading2"/>
              <w:numPr>
                <w:ilvl w:val="0"/>
                <w:numId w:val="0"/>
              </w:numPr>
              <w:rPr>
                <w:color w:val="auto"/>
                <w:sz w:val="20"/>
                <w:szCs w:val="20"/>
              </w:rPr>
            </w:pPr>
            <w:bookmarkStart w:id="36" w:name="_Toc227485169"/>
            <w:r w:rsidRPr="00AB7746">
              <w:rPr>
                <w:rFonts w:asciiTheme="minorHAnsi" w:hAnsiTheme="minorHAnsi"/>
                <w:b/>
                <w:color w:val="auto"/>
                <w:sz w:val="20"/>
                <w:szCs w:val="20"/>
              </w:rPr>
              <w:t>Short introduction:</w:t>
            </w:r>
            <w:bookmarkEnd w:id="36"/>
          </w:p>
        </w:tc>
      </w:tr>
      <w:tr w:rsidR="00B22513" w:rsidRPr="00EF521E" w14:paraId="06A33F43" w14:textId="77777777" w:rsidTr="00290AAA">
        <w:trPr>
          <w:trHeight w:val="300"/>
        </w:trPr>
        <w:tc>
          <w:tcPr>
            <w:tcW w:w="9634" w:type="dxa"/>
          </w:tcPr>
          <w:p w14:paraId="074F41FD" w14:textId="52C97AD3" w:rsidR="00B22513" w:rsidRPr="00AB7746" w:rsidRDefault="00B22513" w:rsidP="00290AAA">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Data collection is the second step of data lifecycle and a base stone for the next steps, including the decisions we can later make. In this chapter, an overview of data collection methods and workflows is given.</w:t>
            </w:r>
          </w:p>
        </w:tc>
      </w:tr>
      <w:tr w:rsidR="00B22513" w:rsidRPr="00EF521E" w14:paraId="62A15DDE" w14:textId="77777777" w:rsidTr="00290AAA">
        <w:trPr>
          <w:trHeight w:val="300"/>
        </w:trPr>
        <w:tc>
          <w:tcPr>
            <w:tcW w:w="9634" w:type="dxa"/>
            <w:shd w:val="clear" w:color="auto" w:fill="D9D9D9" w:themeFill="background1" w:themeFillShade="D9"/>
          </w:tcPr>
          <w:p w14:paraId="5346EA8F" w14:textId="296F190F" w:rsidR="00B22513" w:rsidRPr="00AB7746" w:rsidRDefault="00B22513" w:rsidP="00B22513">
            <w:pPr>
              <w:pStyle w:val="NormalWeb"/>
              <w:spacing w:before="40" w:beforeAutospacing="0" w:after="40" w:afterAutospacing="0"/>
              <w:rPr>
                <w:rFonts w:asciiTheme="minorHAnsi" w:hAnsiTheme="minorHAnsi"/>
                <w:sz w:val="20"/>
                <w:szCs w:val="20"/>
                <w:lang w:val="en-GB"/>
              </w:rPr>
            </w:pPr>
            <w:r w:rsidRPr="00AB7746">
              <w:rPr>
                <w:rFonts w:asciiTheme="minorHAnsi" w:hAnsiTheme="minorHAnsi"/>
                <w:b/>
                <w:sz w:val="20"/>
                <w:szCs w:val="20"/>
                <w:lang w:val="en-GB"/>
              </w:rPr>
              <w:t>Theory &amp; Knowledge:</w:t>
            </w:r>
          </w:p>
        </w:tc>
      </w:tr>
      <w:tr w:rsidR="00BF5BE8" w:rsidRPr="00EF521E" w14:paraId="5423F6B3" w14:textId="77777777" w:rsidTr="00290AAA">
        <w:trPr>
          <w:trHeight w:val="300"/>
        </w:trPr>
        <w:tc>
          <w:tcPr>
            <w:tcW w:w="9634" w:type="dxa"/>
          </w:tcPr>
          <w:p w14:paraId="7C18B3CB" w14:textId="77777777" w:rsidR="00BF5BE8" w:rsidRPr="00AB7746" w:rsidRDefault="00BF5BE8" w:rsidP="00CD130A">
            <w:pPr>
              <w:pStyle w:val="NormalWeb"/>
              <w:spacing w:before="40" w:beforeAutospacing="0" w:after="40" w:afterAutospacing="0"/>
              <w:rPr>
                <w:rFonts w:asciiTheme="minorHAnsi" w:hAnsiTheme="minorHAnsi"/>
                <w:b/>
                <w:color w:val="009889" w:themeColor="accent2"/>
                <w:sz w:val="20"/>
                <w:szCs w:val="20"/>
                <w:lang w:val="en-GB"/>
              </w:rPr>
            </w:pPr>
            <w:r w:rsidRPr="00AB7746">
              <w:rPr>
                <w:rFonts w:asciiTheme="minorHAnsi" w:hAnsiTheme="minorHAnsi"/>
                <w:b/>
                <w:color w:val="009889" w:themeColor="accent2"/>
                <w:sz w:val="20"/>
                <w:szCs w:val="20"/>
                <w:lang w:val="en-GB"/>
              </w:rPr>
              <w:t>Data Collection – from where and how?</w:t>
            </w:r>
          </w:p>
          <w:p w14:paraId="5AB663F6" w14:textId="275D25D0"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The first question about data collection is „where </w:t>
            </w:r>
            <w:r w:rsidR="00EF521E" w:rsidRPr="00AB7746">
              <w:rPr>
                <w:rFonts w:asciiTheme="minorHAnsi" w:hAnsiTheme="minorHAnsi"/>
                <w:sz w:val="20"/>
                <w:szCs w:val="20"/>
                <w:lang w:val="en-GB"/>
              </w:rPr>
              <w:t>from? “</w:t>
            </w:r>
            <w:r w:rsidRPr="00AB7746">
              <w:rPr>
                <w:rFonts w:asciiTheme="minorHAnsi" w:hAnsiTheme="minorHAnsi"/>
                <w:sz w:val="20"/>
                <w:szCs w:val="20"/>
                <w:lang w:val="en-GB"/>
              </w:rPr>
              <w:t xml:space="preserve">. The three places are: </w:t>
            </w:r>
          </w:p>
          <w:p w14:paraId="2225BFE4" w14:textId="06F6C60F" w:rsidR="00BF5BE8" w:rsidRPr="00AB7746" w:rsidRDefault="00BF5BE8" w:rsidP="00EF521E">
            <w:pPr>
              <w:pStyle w:val="NormalWeb"/>
              <w:numPr>
                <w:ilvl w:val="0"/>
                <w:numId w:val="243"/>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Data inside or collected by the organization itself, </w:t>
            </w:r>
            <w:r w:rsidR="00EF521E" w:rsidRPr="00AB7746">
              <w:rPr>
                <w:rFonts w:asciiTheme="minorHAnsi" w:hAnsiTheme="minorHAnsi"/>
                <w:sz w:val="20"/>
                <w:szCs w:val="20"/>
                <w:lang w:val="en-GB"/>
              </w:rPr>
              <w:t>e.g.</w:t>
            </w:r>
            <w:r w:rsidRPr="00AB7746">
              <w:rPr>
                <w:rFonts w:asciiTheme="minorHAnsi" w:hAnsiTheme="minorHAnsi"/>
                <w:sz w:val="20"/>
                <w:szCs w:val="20"/>
                <w:lang w:val="en-GB"/>
              </w:rPr>
              <w:t xml:space="preserve"> invoices sent</w:t>
            </w:r>
          </w:p>
          <w:p w14:paraId="1D3F5A68" w14:textId="4CFD94B6" w:rsidR="00BF5BE8" w:rsidRPr="00AB7746" w:rsidRDefault="00BF5BE8" w:rsidP="00EF521E">
            <w:pPr>
              <w:pStyle w:val="NormalWeb"/>
              <w:numPr>
                <w:ilvl w:val="0"/>
                <w:numId w:val="243"/>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Data from other organizations, </w:t>
            </w:r>
            <w:r w:rsidR="00EF521E" w:rsidRPr="00AB7746">
              <w:rPr>
                <w:rFonts w:asciiTheme="minorHAnsi" w:hAnsiTheme="minorHAnsi"/>
                <w:sz w:val="20"/>
                <w:szCs w:val="20"/>
                <w:lang w:val="en-GB"/>
              </w:rPr>
              <w:t>e.g.</w:t>
            </w:r>
            <w:r w:rsidRPr="00AB7746">
              <w:rPr>
                <w:rFonts w:asciiTheme="minorHAnsi" w:hAnsiTheme="minorHAnsi"/>
                <w:sz w:val="20"/>
                <w:szCs w:val="20"/>
                <w:lang w:val="en-GB"/>
              </w:rPr>
              <w:t xml:space="preserve"> invoices received, survey results</w:t>
            </w:r>
          </w:p>
          <w:p w14:paraId="227C13B0" w14:textId="328C4655" w:rsidR="00BF5BE8" w:rsidRPr="00AB7746" w:rsidRDefault="00BF5BE8" w:rsidP="00EF521E">
            <w:pPr>
              <w:pStyle w:val="NormalWeb"/>
              <w:numPr>
                <w:ilvl w:val="0"/>
                <w:numId w:val="243"/>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Open data, </w:t>
            </w:r>
            <w:r w:rsidR="00EF521E" w:rsidRPr="00AB7746">
              <w:rPr>
                <w:rFonts w:asciiTheme="minorHAnsi" w:hAnsiTheme="minorHAnsi"/>
                <w:sz w:val="20"/>
                <w:szCs w:val="20"/>
                <w:lang w:val="en-GB"/>
              </w:rPr>
              <w:t>e.g.</w:t>
            </w:r>
            <w:r w:rsidRPr="00AB7746">
              <w:rPr>
                <w:rFonts w:asciiTheme="minorHAnsi" w:hAnsiTheme="minorHAnsi"/>
                <w:sz w:val="20"/>
                <w:szCs w:val="20"/>
                <w:lang w:val="en-GB"/>
              </w:rPr>
              <w:t xml:space="preserve"> electricity price in the market</w:t>
            </w:r>
          </w:p>
          <w:p w14:paraId="0D0BFA7E"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p>
          <w:p w14:paraId="1F95660D" w14:textId="299EFB8F"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We have most control over the first type of data – we can decide in which format the data is generated. For the open data and data from other organizations, we must accept the format on how they provide the data to us. However, sometimes we can order the data to be in a certain format, </w:t>
            </w:r>
            <w:r w:rsidR="00290AAA" w:rsidRPr="00AB7746">
              <w:rPr>
                <w:rFonts w:asciiTheme="minorHAnsi" w:hAnsiTheme="minorHAnsi"/>
                <w:sz w:val="20"/>
                <w:szCs w:val="20"/>
                <w:lang w:val="en-GB"/>
              </w:rPr>
              <w:t>e.g.</w:t>
            </w:r>
            <w:r w:rsidRPr="00AB7746">
              <w:rPr>
                <w:rFonts w:asciiTheme="minorHAnsi" w:hAnsiTheme="minorHAnsi"/>
                <w:sz w:val="20"/>
                <w:szCs w:val="20"/>
                <w:lang w:val="en-GB"/>
              </w:rPr>
              <w:t xml:space="preserve"> if we ask a survey company to create a survey to understand our organization’s reputation then we can provide the questions into the survey.</w:t>
            </w:r>
          </w:p>
          <w:p w14:paraId="4178D5FE"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p>
          <w:p w14:paraId="53B63FDF"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The second question about data collection is „how?“. This question defines the method of data collection. The most common data collection methods are: </w:t>
            </w:r>
          </w:p>
          <w:p w14:paraId="11BD3C9C"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Survey</w:t>
            </w:r>
          </w:p>
          <w:p w14:paraId="23CAE40C"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Interview</w:t>
            </w:r>
          </w:p>
          <w:p w14:paraId="399B5CC1"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Observation</w:t>
            </w:r>
          </w:p>
          <w:p w14:paraId="18421B07"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Experiment</w:t>
            </w:r>
          </w:p>
          <w:p w14:paraId="3B1396E3"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Sensor data</w:t>
            </w:r>
          </w:p>
          <w:p w14:paraId="799056E8" w14:textId="77777777" w:rsidR="00BF5BE8" w:rsidRPr="00AB7746" w:rsidRDefault="00BF5BE8" w:rsidP="00EF521E">
            <w:pPr>
              <w:pStyle w:val="NormalWeb"/>
              <w:numPr>
                <w:ilvl w:val="0"/>
                <w:numId w:val="232"/>
              </w:numPr>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IT-system usage data</w:t>
            </w:r>
          </w:p>
          <w:p w14:paraId="3162F752"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p>
          <w:p w14:paraId="3CB6D423"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These are also called primary data collection methods. The secondary data collection method is analysis of already existing research.</w:t>
            </w:r>
          </w:p>
          <w:p w14:paraId="4CF52A44"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p>
          <w:p w14:paraId="74634D97" w14:textId="5077358F"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In table </w:t>
            </w:r>
            <w:r w:rsidR="005755BD" w:rsidRPr="00AB7746">
              <w:rPr>
                <w:rFonts w:asciiTheme="minorHAnsi" w:hAnsiTheme="minorHAnsi"/>
                <w:sz w:val="20"/>
                <w:szCs w:val="20"/>
                <w:lang w:val="en-GB"/>
              </w:rPr>
              <w:t>4</w:t>
            </w:r>
            <w:r w:rsidRPr="00AB7746">
              <w:rPr>
                <w:rFonts w:asciiTheme="minorHAnsi" w:hAnsiTheme="minorHAnsi"/>
                <w:sz w:val="20"/>
                <w:szCs w:val="20"/>
                <w:lang w:val="en-GB"/>
              </w:rPr>
              <w:t xml:space="preserve">, each of the six methods is explained and examples of how it can be used for sustainability reporting brought out. </w:t>
            </w:r>
          </w:p>
          <w:p w14:paraId="0389A469" w14:textId="7BDD1EAB" w:rsidR="005755BD" w:rsidRPr="00AB7746" w:rsidRDefault="005755BD" w:rsidP="005755BD">
            <w:pPr>
              <w:pStyle w:val="Caption"/>
              <w:keepNext/>
              <w:rPr>
                <w:sz w:val="20"/>
                <w:szCs w:val="20"/>
              </w:rPr>
            </w:pPr>
          </w:p>
          <w:p w14:paraId="79BCD312" w14:textId="7C580098" w:rsidR="00957ED1" w:rsidRPr="00957ED1" w:rsidRDefault="00957ED1" w:rsidP="00957ED1">
            <w:pPr>
              <w:pStyle w:val="Caption"/>
              <w:keepNext/>
              <w:rPr>
                <w:b w:val="0"/>
                <w:bCs w:val="0"/>
              </w:rPr>
            </w:pPr>
            <w:bookmarkStart w:id="37" w:name="_Toc227739598"/>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4</w:t>
            </w:r>
            <w:r w:rsidRPr="00957ED1">
              <w:rPr>
                <w:b w:val="0"/>
                <w:bCs w:val="0"/>
              </w:rPr>
              <w:fldChar w:fldCharType="end"/>
            </w:r>
            <w:r w:rsidRPr="00957ED1">
              <w:rPr>
                <w:b w:val="0"/>
                <w:bCs w:val="0"/>
              </w:rPr>
              <w:t>. Data collection methods – descriptions and examples (source: Author)</w:t>
            </w:r>
            <w:bookmarkEnd w:id="37"/>
          </w:p>
          <w:tbl>
            <w:tblPr>
              <w:tblStyle w:val="GridTable1Light"/>
              <w:tblW w:w="0" w:type="auto"/>
              <w:tblLook w:val="04A0" w:firstRow="1" w:lastRow="0" w:firstColumn="1" w:lastColumn="0" w:noHBand="0" w:noVBand="1"/>
            </w:tblPr>
            <w:tblGrid>
              <w:gridCol w:w="1540"/>
              <w:gridCol w:w="3944"/>
              <w:gridCol w:w="4144"/>
            </w:tblGrid>
            <w:tr w:rsidR="00BF5BE8" w:rsidRPr="00AB7746" w14:paraId="7B12D3D9" w14:textId="77777777" w:rsidTr="00E66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7B527"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color w:val="auto"/>
                      <w:sz w:val="20"/>
                      <w:szCs w:val="20"/>
                      <w:lang w:val="en-GB"/>
                    </w:rPr>
                    <w:t>Method</w:t>
                  </w:r>
                </w:p>
              </w:tc>
              <w:tc>
                <w:tcPr>
                  <w:tcW w:w="0" w:type="auto"/>
                </w:tcPr>
                <w:p w14:paraId="54DD8058" w14:textId="77777777" w:rsidR="00BF5BE8" w:rsidRPr="00AB7746" w:rsidRDefault="00BF5BE8" w:rsidP="00E661A9">
                  <w:pPr>
                    <w:pStyle w:val="NormalWeb"/>
                    <w:spacing w:before="40" w:beforeAutospacing="0" w:after="4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color w:val="auto"/>
                      <w:sz w:val="20"/>
                      <w:szCs w:val="20"/>
                      <w:lang w:val="en-GB"/>
                    </w:rPr>
                    <w:t>Description</w:t>
                  </w:r>
                </w:p>
              </w:tc>
              <w:tc>
                <w:tcPr>
                  <w:tcW w:w="0" w:type="auto"/>
                </w:tcPr>
                <w:p w14:paraId="50918E74" w14:textId="77777777" w:rsidR="00BF5BE8" w:rsidRPr="00AB7746" w:rsidRDefault="00BF5BE8" w:rsidP="00E661A9">
                  <w:pPr>
                    <w:pStyle w:val="NormalWeb"/>
                    <w:spacing w:before="40" w:beforeAutospacing="0" w:after="4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color w:val="auto"/>
                      <w:sz w:val="20"/>
                      <w:szCs w:val="20"/>
                      <w:lang w:val="en-GB"/>
                    </w:rPr>
                    <w:t>Examples in Sustainability Reporting</w:t>
                  </w:r>
                </w:p>
              </w:tc>
            </w:tr>
            <w:tr w:rsidR="00BF5BE8" w:rsidRPr="00AB7746" w14:paraId="06092BBC" w14:textId="77777777" w:rsidTr="00E66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638A0"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Survey</w:t>
                  </w:r>
                </w:p>
              </w:tc>
              <w:tc>
                <w:tcPr>
                  <w:tcW w:w="0" w:type="auto"/>
                </w:tcPr>
                <w:p w14:paraId="32C7114A" w14:textId="77777777"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 xml:space="preserve">A structured set of questions distributed to a defined group of respondents. Can be conducted online, on paper, or verbally. Allows collection of standardized </w:t>
                  </w:r>
                  <w:r w:rsidRPr="00AB7746">
                    <w:rPr>
                      <w:rFonts w:asciiTheme="minorHAnsi" w:eastAsia="Arial" w:hAnsiTheme="minorHAnsi"/>
                      <w:sz w:val="20"/>
                      <w:szCs w:val="20"/>
                      <w:lang w:val="en-GB"/>
                    </w:rPr>
                    <w:lastRenderedPageBreak/>
                    <w:t>quantitative and qualitative data from large samples.</w:t>
                  </w:r>
                </w:p>
              </w:tc>
              <w:tc>
                <w:tcPr>
                  <w:tcW w:w="0" w:type="auto"/>
                </w:tcPr>
                <w:p w14:paraId="19EF2272" w14:textId="421A9411"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lastRenderedPageBreak/>
                    <w:t xml:space="preserve">Employee surveys on workplace safety, well-being, or satisfaction with sustainability initiatives. Supplier questionnaires on environmental practices, </w:t>
                  </w:r>
                  <w:r w:rsidR="00290AAA" w:rsidRPr="00AB7746">
                    <w:rPr>
                      <w:rFonts w:asciiTheme="minorHAnsi" w:eastAsia="Arial" w:hAnsiTheme="minorHAnsi"/>
                      <w:sz w:val="20"/>
                      <w:szCs w:val="20"/>
                      <w:lang w:val="en-GB"/>
                    </w:rPr>
                    <w:t>labour</w:t>
                  </w:r>
                  <w:r w:rsidRPr="00AB7746">
                    <w:rPr>
                      <w:rFonts w:asciiTheme="minorHAnsi" w:eastAsia="Arial" w:hAnsiTheme="minorHAnsi"/>
                      <w:sz w:val="20"/>
                      <w:szCs w:val="20"/>
                      <w:lang w:val="en-GB"/>
                    </w:rPr>
                    <w:t xml:space="preserve"> conditions.</w:t>
                  </w:r>
                </w:p>
              </w:tc>
            </w:tr>
            <w:tr w:rsidR="00BF5BE8" w:rsidRPr="00AB7746" w14:paraId="7776CC60" w14:textId="77777777" w:rsidTr="00E661A9">
              <w:tc>
                <w:tcPr>
                  <w:cnfStyle w:val="001000000000" w:firstRow="0" w:lastRow="0" w:firstColumn="1" w:lastColumn="0" w:oddVBand="0" w:evenVBand="0" w:oddHBand="0" w:evenHBand="0" w:firstRowFirstColumn="0" w:firstRowLastColumn="0" w:lastRowFirstColumn="0" w:lastRowLastColumn="0"/>
                  <w:tcW w:w="0" w:type="auto"/>
                </w:tcPr>
                <w:p w14:paraId="28DF873E"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Interview</w:t>
                  </w:r>
                </w:p>
              </w:tc>
              <w:tc>
                <w:tcPr>
                  <w:tcW w:w="0" w:type="auto"/>
                </w:tcPr>
                <w:p w14:paraId="225414FD"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A directed conversation between a researcher and one or more respondents. Can be structured, semi-structured, or unstructured. Allows in-depth exploration of topics and follow-up questions.</w:t>
                  </w:r>
                </w:p>
              </w:tc>
              <w:tc>
                <w:tcPr>
                  <w:tcW w:w="0" w:type="auto"/>
                </w:tcPr>
                <w:p w14:paraId="0EB601FC"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Stakeholder interviews with community representatives, non-governmental organizations, or investors to understand material sustainability topics. Expert interviews with environmental managers to document sustainability strategies and challenges.</w:t>
                  </w:r>
                </w:p>
              </w:tc>
            </w:tr>
            <w:tr w:rsidR="00BF5BE8" w:rsidRPr="00AB7746" w14:paraId="675001F5" w14:textId="77777777" w:rsidTr="00E66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8B890B"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Observation</w:t>
                  </w:r>
                </w:p>
              </w:tc>
              <w:tc>
                <w:tcPr>
                  <w:tcW w:w="0" w:type="auto"/>
                </w:tcPr>
                <w:p w14:paraId="3B1542BD" w14:textId="00B66274"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 xml:space="preserve">Systematic watching and recording of </w:t>
                  </w:r>
                  <w:r w:rsidR="00E661A9" w:rsidRPr="00AB7746">
                    <w:rPr>
                      <w:rFonts w:asciiTheme="minorHAnsi" w:eastAsia="Arial" w:hAnsiTheme="minorHAnsi"/>
                      <w:sz w:val="20"/>
                      <w:szCs w:val="20"/>
                      <w:lang w:val="en-GB"/>
                    </w:rPr>
                    <w:t>behaviours</w:t>
                  </w:r>
                  <w:r w:rsidRPr="00AB7746">
                    <w:rPr>
                      <w:rFonts w:asciiTheme="minorHAnsi" w:eastAsia="Arial" w:hAnsiTheme="minorHAnsi"/>
                      <w:sz w:val="20"/>
                      <w:szCs w:val="20"/>
                      <w:lang w:val="en-GB"/>
                    </w:rPr>
                    <w:t>, processes, or conditions — either in person or via monitoring tools. Can be participatory or non-participatory.</w:t>
                  </w:r>
                </w:p>
              </w:tc>
              <w:tc>
                <w:tcPr>
                  <w:tcW w:w="0" w:type="auto"/>
                </w:tcPr>
                <w:p w14:paraId="39AE1B09" w14:textId="77777777"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On-site inspections of factories or warehouses to assess working conditions, waste handling, or health and safety compliance. Third-party auditors observing production processes for certifications.</w:t>
                  </w:r>
                </w:p>
              </w:tc>
            </w:tr>
            <w:tr w:rsidR="00BF5BE8" w:rsidRPr="00AB7746" w14:paraId="0DBD9CD3" w14:textId="77777777" w:rsidTr="00E661A9">
              <w:tc>
                <w:tcPr>
                  <w:cnfStyle w:val="001000000000" w:firstRow="0" w:lastRow="0" w:firstColumn="1" w:lastColumn="0" w:oddVBand="0" w:evenVBand="0" w:oddHBand="0" w:evenHBand="0" w:firstRowFirstColumn="0" w:firstRowLastColumn="0" w:lastRowFirstColumn="0" w:lastRowLastColumn="0"/>
                  <w:tcW w:w="0" w:type="auto"/>
                </w:tcPr>
                <w:p w14:paraId="0367FE1B"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Experiment</w:t>
                  </w:r>
                </w:p>
              </w:tc>
              <w:tc>
                <w:tcPr>
                  <w:tcW w:w="0" w:type="auto"/>
                </w:tcPr>
                <w:p w14:paraId="478C0D14"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A controlled investigation in which one or more variables are deliberately manipulated to measure the effect on outcomes. Allows for causal conclusions. Less common in business reporting, more common in research and development contexts.</w:t>
                  </w:r>
                </w:p>
              </w:tc>
              <w:tc>
                <w:tcPr>
                  <w:tcW w:w="0" w:type="auto"/>
                </w:tcPr>
                <w:p w14:paraId="62DE85BD"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Pilot programs testing the energy savings of a new LED lighting system before company-wide rollout. Controlled trials measuring the reduction in packaging waste when switching to a new material.</w:t>
                  </w:r>
                </w:p>
              </w:tc>
            </w:tr>
            <w:tr w:rsidR="00BF5BE8" w:rsidRPr="00AB7746" w14:paraId="5825EC70" w14:textId="77777777" w:rsidTr="00E66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5F31D"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Sensor data</w:t>
                  </w:r>
                </w:p>
              </w:tc>
              <w:tc>
                <w:tcPr>
                  <w:tcW w:w="0" w:type="auto"/>
                </w:tcPr>
                <w:p w14:paraId="36BC7CAC" w14:textId="77777777"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Automated, real-time or near-real-time data captured by physical measurement devices. Provides continuous, objective, and often highly granular data without human involvement in collection.</w:t>
                  </w:r>
                </w:p>
              </w:tc>
              <w:tc>
                <w:tcPr>
                  <w:tcW w:w="0" w:type="auto"/>
                </w:tcPr>
                <w:p w14:paraId="7807A3DA" w14:textId="77777777" w:rsidR="00BF5BE8" w:rsidRPr="00AB7746" w:rsidRDefault="00BF5BE8" w:rsidP="00E661A9">
                  <w:pPr>
                    <w:pStyle w:val="NormalWeb"/>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Smart meters measuring electricity, gas, or water consumption at facility level. GPS and telematics sensors tracking fleet vehicle mileage and fuel consumption.</w:t>
                  </w:r>
                </w:p>
              </w:tc>
            </w:tr>
            <w:tr w:rsidR="00BF5BE8" w:rsidRPr="00AB7746" w14:paraId="6096399E" w14:textId="77777777" w:rsidTr="00E661A9">
              <w:tc>
                <w:tcPr>
                  <w:cnfStyle w:val="001000000000" w:firstRow="0" w:lastRow="0" w:firstColumn="1" w:lastColumn="0" w:oddVBand="0" w:evenVBand="0" w:oddHBand="0" w:evenHBand="0" w:firstRowFirstColumn="0" w:firstRowLastColumn="0" w:lastRowFirstColumn="0" w:lastRowLastColumn="0"/>
                  <w:tcW w:w="0" w:type="auto"/>
                </w:tcPr>
                <w:p w14:paraId="41EC6379"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eastAsia="Arial" w:hAnsiTheme="minorHAnsi"/>
                      <w:b w:val="0"/>
                      <w:sz w:val="20"/>
                      <w:szCs w:val="20"/>
                      <w:lang w:val="en-GB"/>
                    </w:rPr>
                    <w:t xml:space="preserve"> IT-system usage data</w:t>
                  </w:r>
                </w:p>
              </w:tc>
              <w:tc>
                <w:tcPr>
                  <w:tcW w:w="0" w:type="auto"/>
                </w:tcPr>
                <w:p w14:paraId="24B0EA2E"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sz w:val="20"/>
                      <w:szCs w:val="20"/>
                      <w:lang w:val="en-GB"/>
                    </w:rPr>
                    <w:t>Data generated as a by-product of actions taken in software. Typically, structured and already digitized.</w:t>
                  </w:r>
                </w:p>
              </w:tc>
              <w:tc>
                <w:tcPr>
                  <w:tcW w:w="0" w:type="auto"/>
                </w:tcPr>
                <w:p w14:paraId="3214BCA8" w14:textId="77777777" w:rsidR="00BF5BE8" w:rsidRPr="00AB7746" w:rsidRDefault="00BF5BE8" w:rsidP="00E661A9">
                  <w:pPr>
                    <w:pStyle w:val="NormalWeb"/>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Tracking digital document workflows to measure the reduction in paper printing over time. Monitoring video conferencing usage rates as a proxy for avoided business travel.</w:t>
                  </w:r>
                </w:p>
              </w:tc>
            </w:tr>
          </w:tbl>
          <w:p w14:paraId="7E2D5243" w14:textId="77777777" w:rsidR="00BF5BE8" w:rsidRPr="00AB7746" w:rsidRDefault="00BF5BE8" w:rsidP="00CD130A">
            <w:pPr>
              <w:pStyle w:val="NormalWeb"/>
              <w:spacing w:before="40" w:beforeAutospacing="0" w:after="40" w:afterAutospacing="0"/>
              <w:jc w:val="center"/>
              <w:rPr>
                <w:rFonts w:asciiTheme="minorHAnsi" w:hAnsiTheme="minorHAnsi"/>
                <w:sz w:val="20"/>
                <w:szCs w:val="20"/>
                <w:lang w:val="en-GB"/>
              </w:rPr>
            </w:pPr>
          </w:p>
          <w:p w14:paraId="2BB9DBD0" w14:textId="77777777" w:rsidR="00BF5BE8" w:rsidRPr="00AB7746" w:rsidRDefault="00BF5BE8" w:rsidP="00CD130A">
            <w:pPr>
              <w:pStyle w:val="NormalWeb"/>
              <w:spacing w:before="40" w:after="40"/>
              <w:rPr>
                <w:rFonts w:asciiTheme="minorHAnsi" w:hAnsiTheme="minorHAnsi"/>
                <w:sz w:val="20"/>
                <w:szCs w:val="20"/>
                <w:lang w:val="en-GB"/>
              </w:rPr>
            </w:pPr>
            <w:r w:rsidRPr="00AB7746">
              <w:rPr>
                <w:rFonts w:asciiTheme="minorHAnsi" w:hAnsiTheme="minorHAnsi"/>
                <w:sz w:val="20"/>
                <w:szCs w:val="20"/>
                <w:lang w:val="en-GB"/>
              </w:rPr>
              <w:t>Secondary data collection refers to the use of already-existing data, research, and publications produced by third parties, rather than collecting new primary data. In sustainability reporting, this is not a shortcut but is a recognized and often necessary methodology, particularly for:</w:t>
            </w:r>
          </w:p>
          <w:p w14:paraId="14327DA0" w14:textId="20637D7F" w:rsidR="00BF5BE8" w:rsidRPr="00AB7746" w:rsidRDefault="00BF5BE8" w:rsidP="00BF5BE8">
            <w:pPr>
              <w:pStyle w:val="NormalWeb"/>
              <w:numPr>
                <w:ilvl w:val="0"/>
                <w:numId w:val="229"/>
              </w:numPr>
              <w:spacing w:before="40" w:after="40"/>
              <w:jc w:val="both"/>
              <w:rPr>
                <w:rFonts w:asciiTheme="minorHAnsi" w:hAnsiTheme="minorHAnsi"/>
                <w:sz w:val="20"/>
                <w:szCs w:val="20"/>
                <w:lang w:val="en-GB"/>
              </w:rPr>
            </w:pPr>
            <w:r w:rsidRPr="00AB7746">
              <w:rPr>
                <w:rFonts w:asciiTheme="minorHAnsi" w:hAnsiTheme="minorHAnsi"/>
                <w:sz w:val="20"/>
                <w:szCs w:val="20"/>
                <w:lang w:val="en-GB"/>
              </w:rPr>
              <w:t>Greenhouse gas emission factor databases: When an organization cannot directly measure emissions (</w:t>
            </w:r>
            <w:proofErr w:type="spellStart"/>
            <w:r w:rsidRPr="00AB7746">
              <w:rPr>
                <w:rFonts w:asciiTheme="minorHAnsi" w:hAnsiTheme="minorHAnsi"/>
                <w:sz w:val="20"/>
                <w:szCs w:val="20"/>
                <w:lang w:val="en-GB"/>
              </w:rPr>
              <w:t>eg</w:t>
            </w:r>
            <w:proofErr w:type="spellEnd"/>
            <w:r w:rsidRPr="00AB7746">
              <w:rPr>
                <w:rFonts w:asciiTheme="minorHAnsi" w:hAnsiTheme="minorHAnsi"/>
                <w:sz w:val="20"/>
                <w:szCs w:val="20"/>
                <w:lang w:val="en-GB"/>
              </w:rPr>
              <w:t>, from upstream supply chain activities), it applies activity data (</w:t>
            </w:r>
            <w:r w:rsidR="00E661A9" w:rsidRPr="00AB7746">
              <w:rPr>
                <w:rFonts w:asciiTheme="minorHAnsi" w:hAnsiTheme="minorHAnsi"/>
                <w:sz w:val="20"/>
                <w:szCs w:val="20"/>
                <w:lang w:val="en-GB"/>
              </w:rPr>
              <w:t>e.g.</w:t>
            </w:r>
            <w:r w:rsidRPr="00AB7746">
              <w:rPr>
                <w:rFonts w:asciiTheme="minorHAnsi" w:hAnsiTheme="minorHAnsi"/>
                <w:sz w:val="20"/>
                <w:szCs w:val="20"/>
                <w:lang w:val="en-GB"/>
              </w:rPr>
              <w:t xml:space="preserve">, kilograms of material purchased) multiplied by published emission factors. Authoritative sources for emission factors include the </w:t>
            </w:r>
            <w:hyperlink r:id="rId63" w:tooltip="https://ghgprotocol.org/" w:history="1">
              <w:r w:rsidRPr="00AB7746">
                <w:rPr>
                  <w:rStyle w:val="Hyperlink"/>
                  <w:rFonts w:asciiTheme="minorHAnsi" w:hAnsiTheme="minorHAnsi"/>
                  <w:color w:val="auto"/>
                  <w:sz w:val="20"/>
                  <w:szCs w:val="20"/>
                  <w:lang w:val="en-GB"/>
                </w:rPr>
                <w:t>Greenhouse Gas Protocol</w:t>
              </w:r>
            </w:hyperlink>
            <w:r w:rsidRPr="00AB7746">
              <w:rPr>
                <w:rFonts w:asciiTheme="minorHAnsi" w:hAnsiTheme="minorHAnsi"/>
                <w:sz w:val="20"/>
                <w:szCs w:val="20"/>
                <w:lang w:val="en-GB"/>
              </w:rPr>
              <w:t xml:space="preserve">, </w:t>
            </w:r>
            <w:hyperlink r:id="rId64" w:tooltip="https://www.gov.uk/government/publications/greenhouse-gas-reporting-conversion-factors-2025" w:history="1">
              <w:r w:rsidRPr="00AB7746">
                <w:rPr>
                  <w:rStyle w:val="Hyperlink"/>
                  <w:rFonts w:asciiTheme="minorHAnsi" w:hAnsiTheme="minorHAnsi"/>
                  <w:color w:val="auto"/>
                  <w:sz w:val="20"/>
                  <w:szCs w:val="20"/>
                  <w:lang w:val="en-GB"/>
                </w:rPr>
                <w:t>DEFRA Greenhouse Gas Conversion Factor Repository</w:t>
              </w:r>
            </w:hyperlink>
            <w:r w:rsidRPr="00AB7746">
              <w:rPr>
                <w:rFonts w:asciiTheme="minorHAnsi" w:hAnsiTheme="minorHAnsi"/>
                <w:sz w:val="20"/>
                <w:szCs w:val="20"/>
                <w:lang w:val="en-GB"/>
              </w:rPr>
              <w:t xml:space="preserve"> and the </w:t>
            </w:r>
            <w:hyperlink r:id="rId65" w:tooltip="https://www.ipcc-nggip.iges.or.jp/EFDB/main.php" w:history="1">
              <w:r w:rsidRPr="00AB7746">
                <w:rPr>
                  <w:rStyle w:val="Hyperlink"/>
                  <w:rFonts w:asciiTheme="minorHAnsi" w:hAnsiTheme="minorHAnsi"/>
                  <w:color w:val="auto"/>
                  <w:sz w:val="20"/>
                  <w:szCs w:val="20"/>
                  <w:lang w:val="en-GB"/>
                </w:rPr>
                <w:t>IPCC emission factor database</w:t>
              </w:r>
            </w:hyperlink>
            <w:r w:rsidRPr="00AB7746">
              <w:rPr>
                <w:rFonts w:asciiTheme="minorHAnsi" w:hAnsiTheme="minorHAnsi"/>
                <w:sz w:val="20"/>
                <w:szCs w:val="20"/>
                <w:lang w:val="en-GB"/>
              </w:rPr>
              <w:t>.</w:t>
            </w:r>
          </w:p>
          <w:p w14:paraId="700A2C67" w14:textId="77777777" w:rsidR="00BF5BE8" w:rsidRPr="00AB7746" w:rsidRDefault="00BF5BE8" w:rsidP="00E661A9">
            <w:pPr>
              <w:pStyle w:val="NormalWeb"/>
              <w:numPr>
                <w:ilvl w:val="0"/>
                <w:numId w:val="229"/>
              </w:numPr>
              <w:spacing w:before="40" w:after="40"/>
              <w:jc w:val="both"/>
              <w:rPr>
                <w:rFonts w:asciiTheme="minorHAnsi" w:hAnsiTheme="minorHAnsi"/>
                <w:sz w:val="20"/>
                <w:szCs w:val="20"/>
                <w:lang w:val="en-GB"/>
              </w:rPr>
            </w:pPr>
            <w:r w:rsidRPr="00AB7746">
              <w:rPr>
                <w:rFonts w:asciiTheme="minorHAnsi" w:hAnsiTheme="minorHAnsi"/>
                <w:sz w:val="20"/>
                <w:szCs w:val="20"/>
                <w:lang w:val="en-GB"/>
              </w:rPr>
              <w:lastRenderedPageBreak/>
              <w:t>Sector benchmarks: Industry associations and research organizations publish sustainability performance benchmarks (</w:t>
            </w:r>
            <w:proofErr w:type="spellStart"/>
            <w:r w:rsidRPr="00AB7746">
              <w:rPr>
                <w:rFonts w:asciiTheme="minorHAnsi" w:hAnsiTheme="minorHAnsi"/>
                <w:sz w:val="20"/>
                <w:szCs w:val="20"/>
                <w:lang w:val="en-GB"/>
              </w:rPr>
              <w:t>eg</w:t>
            </w:r>
            <w:proofErr w:type="spellEnd"/>
            <w:r w:rsidRPr="00AB7746">
              <w:rPr>
                <w:rFonts w:asciiTheme="minorHAnsi" w:hAnsiTheme="minorHAnsi"/>
                <w:sz w:val="20"/>
                <w:szCs w:val="20"/>
                <w:lang w:val="en-GB"/>
              </w:rPr>
              <w:t>, average energy intensity per unit of output by sector). These are used to contextualize an organization’s performance in the report.</w:t>
            </w:r>
          </w:p>
          <w:p w14:paraId="51565DFC" w14:textId="77777777" w:rsidR="00BF5BE8" w:rsidRPr="00AB7746" w:rsidRDefault="00BF5BE8" w:rsidP="00E661A9">
            <w:pPr>
              <w:pStyle w:val="NormalWeb"/>
              <w:numPr>
                <w:ilvl w:val="0"/>
                <w:numId w:val="229"/>
              </w:numPr>
              <w:spacing w:before="40" w:after="40"/>
              <w:jc w:val="both"/>
              <w:rPr>
                <w:rFonts w:asciiTheme="minorHAnsi" w:hAnsiTheme="minorHAnsi"/>
                <w:sz w:val="20"/>
                <w:szCs w:val="20"/>
                <w:lang w:val="en-GB"/>
              </w:rPr>
            </w:pPr>
            <w:r w:rsidRPr="00AB7746">
              <w:rPr>
                <w:rFonts w:asciiTheme="minorHAnsi" w:hAnsiTheme="minorHAnsi"/>
                <w:sz w:val="20"/>
                <w:szCs w:val="20"/>
                <w:lang w:val="en-GB"/>
              </w:rPr>
              <w:t>Regulatory and statistical databases: National statistics offices, Eurostat, and environmental agencies publish data on grid emission factors, waste treatment rates, and water stress indices that organizations incorporate into their sustainability calculations.</w:t>
            </w:r>
          </w:p>
          <w:p w14:paraId="79605C0B" w14:textId="77777777" w:rsidR="00BF5BE8" w:rsidRPr="00AB7746" w:rsidRDefault="00BF5BE8" w:rsidP="00E661A9">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When using secondary data, it is critical to document the source, publication date, version, and geographic scope of the data used. Emission factors in particular are updated regularly and using an outdated version can materially affect the accuracy of reported figures.</w:t>
            </w:r>
          </w:p>
          <w:p w14:paraId="00B8077D" w14:textId="77777777" w:rsidR="00BF5BE8" w:rsidRPr="00AB7746" w:rsidRDefault="00BF5BE8" w:rsidP="00E661A9">
            <w:pPr>
              <w:pStyle w:val="NormalWeb"/>
              <w:spacing w:before="40" w:beforeAutospacing="0" w:after="40" w:afterAutospacing="0"/>
              <w:jc w:val="both"/>
              <w:rPr>
                <w:rFonts w:asciiTheme="minorHAnsi" w:hAnsiTheme="minorHAnsi"/>
                <w:b/>
                <w:color w:val="00AC4E" w:themeColor="accent1"/>
                <w:sz w:val="20"/>
                <w:szCs w:val="20"/>
                <w:lang w:val="en-GB"/>
              </w:rPr>
            </w:pPr>
          </w:p>
          <w:p w14:paraId="2F03F2B2" w14:textId="77777777" w:rsidR="00BF5BE8" w:rsidRPr="00AB7746" w:rsidRDefault="00BF5BE8" w:rsidP="00E661A9">
            <w:pPr>
              <w:pStyle w:val="NormalWeb"/>
              <w:spacing w:before="40" w:beforeAutospacing="0" w:after="40" w:afterAutospacing="0"/>
              <w:jc w:val="both"/>
              <w:rPr>
                <w:rFonts w:asciiTheme="minorHAnsi" w:hAnsiTheme="minorHAnsi"/>
                <w:b/>
                <w:color w:val="009889" w:themeColor="accent2"/>
                <w:sz w:val="20"/>
                <w:szCs w:val="20"/>
                <w:lang w:val="en-GB"/>
              </w:rPr>
            </w:pPr>
            <w:r w:rsidRPr="00AB7746">
              <w:rPr>
                <w:rFonts w:asciiTheme="minorHAnsi" w:hAnsiTheme="minorHAnsi"/>
                <w:b/>
                <w:color w:val="009889" w:themeColor="accent2"/>
                <w:sz w:val="20"/>
                <w:szCs w:val="20"/>
                <w:lang w:val="en-GB"/>
              </w:rPr>
              <w:t>Data Entering Methods</w:t>
            </w:r>
          </w:p>
          <w:p w14:paraId="4582578E" w14:textId="460876AE" w:rsidR="00BF5BE8" w:rsidRPr="00AB7746" w:rsidRDefault="00BF5BE8" w:rsidP="00E661A9">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The next step is to decide the data entering workflow. In table </w:t>
            </w:r>
            <w:r w:rsidR="00290AAA" w:rsidRPr="00AB7746">
              <w:rPr>
                <w:rFonts w:asciiTheme="minorHAnsi" w:hAnsiTheme="minorHAnsi"/>
                <w:sz w:val="20"/>
                <w:szCs w:val="20"/>
                <w:lang w:val="en-GB"/>
              </w:rPr>
              <w:t>5</w:t>
            </w:r>
            <w:r w:rsidRPr="00AB7746">
              <w:rPr>
                <w:rFonts w:asciiTheme="minorHAnsi" w:hAnsiTheme="minorHAnsi"/>
                <w:sz w:val="20"/>
                <w:szCs w:val="20"/>
                <w:lang w:val="en-GB"/>
              </w:rPr>
              <w:t xml:space="preserve">, the methods of data entering are brought out with typical error level and use cases. </w:t>
            </w:r>
          </w:p>
          <w:p w14:paraId="3465AD1A" w14:textId="77777777" w:rsidR="00BF5BE8" w:rsidRPr="00AB7746" w:rsidRDefault="00BF5BE8" w:rsidP="00CD130A">
            <w:pPr>
              <w:pStyle w:val="NormalWeb"/>
              <w:spacing w:before="40" w:beforeAutospacing="0" w:after="40" w:afterAutospacing="0"/>
              <w:rPr>
                <w:rFonts w:asciiTheme="minorHAnsi" w:hAnsiTheme="minorHAnsi"/>
                <w:sz w:val="20"/>
                <w:szCs w:val="20"/>
                <w:lang w:val="en-GB"/>
              </w:rPr>
            </w:pPr>
          </w:p>
          <w:p w14:paraId="660FCD06" w14:textId="1019BBE9" w:rsidR="005755BD" w:rsidRPr="00AB7746" w:rsidRDefault="00957ED1" w:rsidP="005755BD">
            <w:pPr>
              <w:pStyle w:val="Caption"/>
              <w:keepNext/>
              <w:rPr>
                <w:sz w:val="18"/>
                <w:szCs w:val="18"/>
              </w:rPr>
            </w:pPr>
            <w:r>
              <w:rPr>
                <w:sz w:val="18"/>
                <w:szCs w:val="18"/>
              </w:rPr>
              <w:t xml:space="preserve"> </w:t>
            </w:r>
          </w:p>
          <w:p w14:paraId="2B2047FF" w14:textId="46BF4858" w:rsidR="00957ED1" w:rsidRPr="00957ED1" w:rsidRDefault="00957ED1" w:rsidP="00957ED1">
            <w:pPr>
              <w:pStyle w:val="Caption"/>
              <w:keepNext/>
              <w:rPr>
                <w:b w:val="0"/>
                <w:bCs w:val="0"/>
              </w:rPr>
            </w:pPr>
            <w:bookmarkStart w:id="38" w:name="_Toc227739599"/>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5</w:t>
            </w:r>
            <w:r w:rsidRPr="00957ED1">
              <w:rPr>
                <w:b w:val="0"/>
                <w:bCs w:val="0"/>
              </w:rPr>
              <w:fldChar w:fldCharType="end"/>
            </w:r>
            <w:r w:rsidRPr="00957ED1">
              <w:rPr>
                <w:b w:val="0"/>
                <w:bCs w:val="0"/>
              </w:rPr>
              <w:t>. Data entering methods (source: Author)</w:t>
            </w:r>
            <w:bookmarkEnd w:id="38"/>
          </w:p>
          <w:tbl>
            <w:tblPr>
              <w:tblStyle w:val="GridTable1Light"/>
              <w:tblW w:w="0" w:type="auto"/>
              <w:tblLook w:val="04A0" w:firstRow="1" w:lastRow="0" w:firstColumn="1" w:lastColumn="0" w:noHBand="0" w:noVBand="1"/>
            </w:tblPr>
            <w:tblGrid>
              <w:gridCol w:w="2168"/>
              <w:gridCol w:w="1406"/>
              <w:gridCol w:w="6054"/>
            </w:tblGrid>
            <w:tr w:rsidR="00BF5BE8" w:rsidRPr="00AB7746" w14:paraId="059BA0C3" w14:textId="77777777" w:rsidTr="0055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33536"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hAnsiTheme="minorHAnsi"/>
                      <w:color w:val="auto"/>
                      <w:sz w:val="20"/>
                      <w:szCs w:val="20"/>
                      <w:lang w:val="en-GB"/>
                    </w:rPr>
                    <w:t>Method</w:t>
                  </w:r>
                </w:p>
              </w:tc>
              <w:tc>
                <w:tcPr>
                  <w:tcW w:w="0" w:type="auto"/>
                </w:tcPr>
                <w:p w14:paraId="487D1BD4" w14:textId="77777777" w:rsidR="00BF5BE8" w:rsidRPr="00AB7746" w:rsidRDefault="00BF5BE8" w:rsidP="00290AAA">
                  <w:pPr>
                    <w:pStyle w:val="Normal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color w:val="auto"/>
                      <w:sz w:val="20"/>
                      <w:szCs w:val="20"/>
                      <w:lang w:val="en-GB"/>
                    </w:rPr>
                    <w:t>Typical Accuracy</w:t>
                  </w:r>
                </w:p>
              </w:tc>
              <w:tc>
                <w:tcPr>
                  <w:tcW w:w="0" w:type="auto"/>
                </w:tcPr>
                <w:p w14:paraId="02A16B3C" w14:textId="77777777" w:rsidR="00BF5BE8" w:rsidRPr="00AB7746" w:rsidRDefault="00BF5BE8" w:rsidP="00290AAA">
                  <w:pPr>
                    <w:pStyle w:val="Normal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eastAsia="Arial" w:hAnsiTheme="minorHAnsi"/>
                      <w:color w:val="auto"/>
                      <w:sz w:val="20"/>
                      <w:szCs w:val="20"/>
                      <w:lang w:val="en-GB"/>
                    </w:rPr>
                    <w:t>Use case</w:t>
                  </w:r>
                </w:p>
              </w:tc>
            </w:tr>
            <w:tr w:rsidR="00BF5BE8" w:rsidRPr="00AB7746" w14:paraId="6A017245"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302A7"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hAnsiTheme="minorHAnsi"/>
                      <w:b w:val="0"/>
                      <w:color w:val="auto"/>
                      <w:sz w:val="20"/>
                      <w:szCs w:val="20"/>
                      <w:lang w:val="en-GB"/>
                    </w:rPr>
                    <w:t>Automated meter</w:t>
                  </w:r>
                </w:p>
              </w:tc>
              <w:tc>
                <w:tcPr>
                  <w:tcW w:w="0" w:type="auto"/>
                </w:tcPr>
                <w:p w14:paraId="5D3998C6"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color w:val="auto"/>
                      <w:sz w:val="20"/>
                      <w:szCs w:val="20"/>
                      <w:lang w:val="en-GB"/>
                    </w:rPr>
                    <w:t>±1–3%</w:t>
                  </w:r>
                </w:p>
              </w:tc>
              <w:tc>
                <w:tcPr>
                  <w:tcW w:w="0" w:type="auto"/>
                </w:tcPr>
                <w:p w14:paraId="05A6C5DD"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color w:val="auto"/>
                      <w:sz w:val="20"/>
                      <w:szCs w:val="20"/>
                      <w:lang w:val="en-GB"/>
                    </w:rPr>
                    <w:t>Energy and water consumption measured by smart meters.</w:t>
                  </w:r>
                </w:p>
              </w:tc>
            </w:tr>
            <w:tr w:rsidR="00BF5BE8" w:rsidRPr="00AB7746" w14:paraId="18208A48" w14:textId="77777777" w:rsidTr="005507F0">
              <w:tc>
                <w:tcPr>
                  <w:cnfStyle w:val="001000000000" w:firstRow="0" w:lastRow="0" w:firstColumn="1" w:lastColumn="0" w:oddVBand="0" w:evenVBand="0" w:oddHBand="0" w:evenHBand="0" w:firstRowFirstColumn="0" w:firstRowLastColumn="0" w:lastRowFirstColumn="0" w:lastRowLastColumn="0"/>
                  <w:tcW w:w="0" w:type="auto"/>
                </w:tcPr>
                <w:p w14:paraId="5489A9BE"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hAnsiTheme="minorHAnsi"/>
                      <w:b w:val="0"/>
                      <w:color w:val="auto"/>
                      <w:sz w:val="20"/>
                      <w:szCs w:val="20"/>
                      <w:lang w:val="en-GB"/>
                    </w:rPr>
                    <w:t>Structured digital portal submission</w:t>
                  </w:r>
                </w:p>
              </w:tc>
              <w:tc>
                <w:tcPr>
                  <w:tcW w:w="0" w:type="auto"/>
                </w:tcPr>
                <w:p w14:paraId="4041AE59"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±3–8%</w:t>
                  </w:r>
                </w:p>
              </w:tc>
              <w:tc>
                <w:tcPr>
                  <w:tcW w:w="0" w:type="auto"/>
                </w:tcPr>
                <w:p w14:paraId="32CA5B62"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Data entered to a sustainability portal on last month energy consumption. The portal has structured and controlled data fields. Suitable for large-scale data entry.</w:t>
                  </w:r>
                </w:p>
              </w:tc>
            </w:tr>
            <w:tr w:rsidR="00BF5BE8" w:rsidRPr="00AB7746" w14:paraId="7DCAAC4C"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65B12B"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hAnsiTheme="minorHAnsi"/>
                      <w:b w:val="0"/>
                      <w:color w:val="auto"/>
                      <w:sz w:val="20"/>
                      <w:szCs w:val="20"/>
                      <w:lang w:val="en-GB"/>
                    </w:rPr>
                    <w:t>Validated spreadsheet template</w:t>
                  </w:r>
                </w:p>
              </w:tc>
              <w:tc>
                <w:tcPr>
                  <w:tcW w:w="0" w:type="auto"/>
                </w:tcPr>
                <w:p w14:paraId="5F4A7D42"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color w:val="auto"/>
                      <w:sz w:val="20"/>
                      <w:szCs w:val="20"/>
                      <w:lang w:val="en-GB"/>
                    </w:rPr>
                    <w:t>±5–15%</w:t>
                  </w:r>
                </w:p>
              </w:tc>
              <w:tc>
                <w:tcPr>
                  <w:tcW w:w="0" w:type="auto"/>
                </w:tcPr>
                <w:p w14:paraId="47B4477C"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Excel spreadsheet where annual energy consumption data is entered.</w:t>
                  </w:r>
                </w:p>
                <w:p w14:paraId="6A273936"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color w:val="auto"/>
                      <w:sz w:val="20"/>
                      <w:szCs w:val="20"/>
                      <w:lang w:val="en-GB"/>
                    </w:rPr>
                    <w:t>Suitable for low-volume data and infrequent metrics where creating a structured digital portal would be too much work.</w:t>
                  </w:r>
                </w:p>
              </w:tc>
            </w:tr>
            <w:tr w:rsidR="00BF5BE8" w:rsidRPr="00AB7746" w14:paraId="61E0E5FF" w14:textId="77777777" w:rsidTr="00E661A9">
              <w:trPr>
                <w:trHeight w:val="1422"/>
              </w:trPr>
              <w:tc>
                <w:tcPr>
                  <w:cnfStyle w:val="001000000000" w:firstRow="0" w:lastRow="0" w:firstColumn="1" w:lastColumn="0" w:oddVBand="0" w:evenVBand="0" w:oddHBand="0" w:evenHBand="0" w:firstRowFirstColumn="0" w:firstRowLastColumn="0" w:lastRowFirstColumn="0" w:lastRowLastColumn="0"/>
                  <w:tcW w:w="0" w:type="auto"/>
                </w:tcPr>
                <w:p w14:paraId="6340DE16" w14:textId="77777777" w:rsidR="00BF5BE8" w:rsidRPr="00AB7746" w:rsidRDefault="00BF5BE8" w:rsidP="00290AAA">
                  <w:pPr>
                    <w:pStyle w:val="NormalWeb"/>
                    <w:spacing w:before="40" w:beforeAutospacing="0" w:after="40" w:afterAutospacing="0"/>
                    <w:rPr>
                      <w:rFonts w:asciiTheme="minorHAnsi" w:hAnsiTheme="minorHAnsi"/>
                      <w:sz w:val="20"/>
                      <w:szCs w:val="20"/>
                      <w:lang w:val="en-GB"/>
                    </w:rPr>
                  </w:pPr>
                  <w:r w:rsidRPr="00AB7746">
                    <w:rPr>
                      <w:rFonts w:asciiTheme="minorHAnsi" w:hAnsiTheme="minorHAnsi"/>
                      <w:b w:val="0"/>
                      <w:color w:val="auto"/>
                      <w:sz w:val="20"/>
                      <w:szCs w:val="20"/>
                      <w:lang w:val="en-GB"/>
                    </w:rPr>
                    <w:t>Unstructured manual input (email, PDF)</w:t>
                  </w:r>
                </w:p>
              </w:tc>
              <w:tc>
                <w:tcPr>
                  <w:tcW w:w="0" w:type="auto"/>
                </w:tcPr>
                <w:p w14:paraId="4A94E335"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±10–25%</w:t>
                  </w:r>
                </w:p>
              </w:tc>
              <w:tc>
                <w:tcPr>
                  <w:tcW w:w="0" w:type="auto"/>
                </w:tcPr>
                <w:p w14:paraId="4CDD53B3"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B7746">
                    <w:rPr>
                      <w:rFonts w:asciiTheme="minorHAnsi" w:hAnsiTheme="minorHAnsi"/>
                      <w:sz w:val="20"/>
                      <w:szCs w:val="20"/>
                      <w:lang w:val="en-GB"/>
                    </w:rPr>
                    <w:t>Utility invoices received as scanned PDFs — data manually extracted and keyed into the consolidation system by the local coordinator, introducing transcription risk and inconsistent unit reporting.</w:t>
                  </w:r>
                </w:p>
              </w:tc>
            </w:tr>
          </w:tbl>
          <w:p w14:paraId="52F7E5B8" w14:textId="77777777" w:rsidR="00BF5BE8" w:rsidRPr="00AB7746" w:rsidRDefault="00BF5BE8" w:rsidP="00EF521E">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Deciding on which data-entry flow to build depends on how often the data is collected, in which quantities and how critical the data is. The more often, the more critical and bigger the dataset, the more time should be invested into building a data-entry workflow with higher accuracy and through data-quality checks.</w:t>
            </w:r>
          </w:p>
          <w:p w14:paraId="0B34A002" w14:textId="77777777" w:rsidR="00BF5BE8" w:rsidRPr="00AB7746" w:rsidRDefault="00BF5BE8" w:rsidP="00CD130A">
            <w:pPr>
              <w:pStyle w:val="NormalWeb"/>
              <w:spacing w:before="40" w:beforeAutospacing="0" w:after="40" w:afterAutospacing="0"/>
              <w:rPr>
                <w:rFonts w:asciiTheme="minorHAnsi" w:hAnsiTheme="minorHAnsi"/>
                <w:sz w:val="20"/>
                <w:szCs w:val="20"/>
                <w:lang w:val="en-GB"/>
              </w:rPr>
            </w:pPr>
          </w:p>
          <w:p w14:paraId="7CEB303C" w14:textId="77777777" w:rsidR="00BF5BE8" w:rsidRPr="00AB7746" w:rsidRDefault="00BF5BE8" w:rsidP="00CD130A">
            <w:pPr>
              <w:pStyle w:val="NormalWeb"/>
              <w:spacing w:before="40" w:beforeAutospacing="0" w:after="40" w:afterAutospacing="0"/>
              <w:rPr>
                <w:rFonts w:asciiTheme="minorHAnsi" w:hAnsiTheme="minorHAnsi"/>
                <w:b/>
                <w:color w:val="00AC4E" w:themeColor="accent1"/>
                <w:sz w:val="20"/>
                <w:szCs w:val="20"/>
                <w:lang w:val="en-GB"/>
              </w:rPr>
            </w:pPr>
            <w:r w:rsidRPr="00AB7746">
              <w:rPr>
                <w:rFonts w:asciiTheme="minorHAnsi" w:hAnsiTheme="minorHAnsi"/>
                <w:b/>
                <w:color w:val="00AC4E" w:themeColor="accent1"/>
                <w:sz w:val="20"/>
                <w:szCs w:val="20"/>
                <w:lang w:val="en-GB"/>
              </w:rPr>
              <w:t>Micro-activity on data entering methods</w:t>
            </w:r>
          </w:p>
          <w:p w14:paraId="65A660E2" w14:textId="77777777" w:rsidR="00BF5BE8" w:rsidRPr="00AB7746" w:rsidRDefault="00BF5BE8" w:rsidP="00EF521E">
            <w:pPr>
              <w:spacing w:before="60" w:after="60"/>
              <w:jc w:val="both"/>
              <w:rPr>
                <w:szCs w:val="20"/>
              </w:rPr>
            </w:pPr>
            <w:r w:rsidRPr="00AB7746">
              <w:rPr>
                <w:rFonts w:eastAsia="Arial"/>
                <w:szCs w:val="20"/>
              </w:rPr>
              <w:t>Your organization needs to collect monthly fuel consumption data from 50 company vehicles operating across 5 countries. Which data entry method would you recommend, and why?</w:t>
            </w:r>
          </w:p>
          <w:p w14:paraId="3ADFBE4E" w14:textId="77777777" w:rsidR="00BF5BE8" w:rsidRPr="00AB7746" w:rsidRDefault="00BF5BE8" w:rsidP="00CD130A">
            <w:pPr>
              <w:pStyle w:val="NormalWeb"/>
              <w:spacing w:before="40" w:beforeAutospacing="0" w:after="40" w:afterAutospacing="0"/>
              <w:rPr>
                <w:rFonts w:asciiTheme="minorHAnsi" w:hAnsiTheme="minorHAnsi"/>
                <w:sz w:val="20"/>
                <w:szCs w:val="20"/>
                <w:lang w:val="en-GB"/>
              </w:rPr>
            </w:pPr>
          </w:p>
          <w:p w14:paraId="34948802" w14:textId="77777777" w:rsidR="00BF5BE8" w:rsidRPr="00AB7746" w:rsidRDefault="00BF5BE8" w:rsidP="00CD130A">
            <w:pPr>
              <w:pStyle w:val="NormalWeb"/>
              <w:spacing w:before="40" w:after="40"/>
              <w:rPr>
                <w:rFonts w:asciiTheme="minorHAnsi" w:hAnsiTheme="minorHAnsi"/>
                <w:b/>
                <w:color w:val="009889" w:themeColor="accent2"/>
                <w:sz w:val="20"/>
                <w:szCs w:val="20"/>
                <w:lang w:val="en-GB"/>
              </w:rPr>
            </w:pPr>
            <w:r w:rsidRPr="00AB7746">
              <w:rPr>
                <w:rFonts w:asciiTheme="minorHAnsi" w:hAnsiTheme="minorHAnsi"/>
                <w:b/>
                <w:color w:val="009889" w:themeColor="accent2"/>
                <w:sz w:val="20"/>
                <w:szCs w:val="20"/>
                <w:lang w:val="en-GB"/>
              </w:rPr>
              <w:lastRenderedPageBreak/>
              <w:t>The Five-Step Data Collection Workflow</w:t>
            </w:r>
          </w:p>
          <w:p w14:paraId="41328E1E" w14:textId="1794A330" w:rsidR="00BF5BE8" w:rsidRPr="00AB7746" w:rsidRDefault="00BF5BE8" w:rsidP="00EF521E">
            <w:pPr>
              <w:pStyle w:val="NormalWeb"/>
              <w:spacing w:before="40" w:after="40"/>
              <w:jc w:val="both"/>
              <w:rPr>
                <w:sz w:val="20"/>
                <w:szCs w:val="20"/>
                <w:lang w:val="en-GB"/>
              </w:rPr>
            </w:pPr>
            <w:r w:rsidRPr="00AB7746">
              <w:rPr>
                <w:rFonts w:asciiTheme="minorHAnsi" w:hAnsiTheme="minorHAnsi"/>
                <w:sz w:val="20"/>
                <w:szCs w:val="20"/>
                <w:lang w:val="en-GB"/>
              </w:rPr>
              <w:t xml:space="preserve">A data collection workflow defines the sequence of steps from identifying a data need through to storing validated data ready for use. The following five-step process provides a practical framework for designing or reviewing a sustainability data collection workflow (see Figure </w:t>
            </w:r>
            <w:r w:rsidR="00290AAA" w:rsidRPr="00AB7746">
              <w:rPr>
                <w:rFonts w:asciiTheme="minorHAnsi" w:hAnsiTheme="minorHAnsi"/>
                <w:sz w:val="20"/>
                <w:szCs w:val="20"/>
                <w:lang w:val="en-GB"/>
              </w:rPr>
              <w:t>12</w:t>
            </w:r>
            <w:r w:rsidRPr="00AB7746">
              <w:rPr>
                <w:rFonts w:asciiTheme="minorHAnsi" w:hAnsiTheme="minorHAnsi"/>
                <w:sz w:val="20"/>
                <w:szCs w:val="20"/>
                <w:lang w:val="en-GB"/>
              </w:rPr>
              <w:t xml:space="preserve">). </w:t>
            </w:r>
          </w:p>
          <w:p w14:paraId="26302518" w14:textId="77777777" w:rsidR="005755BD" w:rsidRPr="00AB7746" w:rsidRDefault="00BF5BE8" w:rsidP="005755BD">
            <w:pPr>
              <w:pStyle w:val="NormalWeb"/>
              <w:keepNext/>
              <w:spacing w:before="40" w:after="40"/>
              <w:jc w:val="center"/>
              <w:rPr>
                <w:sz w:val="20"/>
                <w:szCs w:val="20"/>
              </w:rPr>
            </w:pPr>
            <w:r w:rsidRPr="00AB7746">
              <w:rPr>
                <w:rFonts w:asciiTheme="minorHAnsi" w:hAnsiTheme="minorHAnsi"/>
                <w:noProof/>
                <w:sz w:val="20"/>
                <w:szCs w:val="20"/>
                <w:lang w:val="en-GB"/>
              </w:rPr>
              <w:drawing>
                <wp:inline distT="0" distB="0" distL="0" distR="0" wp14:anchorId="0BE5A707" wp14:editId="04455F09">
                  <wp:extent cx="6120130" cy="335915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89107" name=""/>
                          <pic:cNvPicPr>
                            <a:picLocks noChangeAspect="1"/>
                          </pic:cNvPicPr>
                        </pic:nvPicPr>
                        <pic:blipFill>
                          <a:blip r:embed="rId66"/>
                          <a:stretch/>
                        </pic:blipFill>
                        <pic:spPr bwMode="auto">
                          <a:xfrm>
                            <a:off x="0" y="0"/>
                            <a:ext cx="6120130" cy="3359150"/>
                          </a:xfrm>
                          <a:prstGeom prst="rect">
                            <a:avLst/>
                          </a:prstGeom>
                        </pic:spPr>
                      </pic:pic>
                    </a:graphicData>
                  </a:graphic>
                </wp:inline>
              </w:drawing>
            </w:r>
          </w:p>
          <w:p w14:paraId="4B82E320" w14:textId="2CE9E12A" w:rsidR="00BF5BE8" w:rsidRPr="00AB7746" w:rsidRDefault="005755BD" w:rsidP="005755BD">
            <w:pPr>
              <w:pStyle w:val="Caption"/>
              <w:jc w:val="center"/>
              <w:rPr>
                <w:b w:val="0"/>
                <w:bCs w:val="0"/>
                <w:sz w:val="18"/>
                <w:szCs w:val="18"/>
              </w:rPr>
            </w:pPr>
            <w:bookmarkStart w:id="39" w:name="_Toc227486390"/>
            <w:r w:rsidRPr="00AB7746">
              <w:rPr>
                <w:b w:val="0"/>
                <w:bCs w:val="0"/>
                <w:sz w:val="18"/>
                <w:szCs w:val="18"/>
              </w:rPr>
              <w:t xml:space="preserve">Figure </w:t>
            </w:r>
            <w:r w:rsidRPr="00AB7746">
              <w:rPr>
                <w:b w:val="0"/>
                <w:bCs w:val="0"/>
                <w:sz w:val="18"/>
                <w:szCs w:val="18"/>
              </w:rPr>
              <w:fldChar w:fldCharType="begin"/>
            </w:r>
            <w:r w:rsidRPr="00AB7746">
              <w:rPr>
                <w:b w:val="0"/>
                <w:bCs w:val="0"/>
                <w:sz w:val="18"/>
                <w:szCs w:val="18"/>
              </w:rPr>
              <w:instrText xml:space="preserve"> SEQ Figure \* ARABIC </w:instrText>
            </w:r>
            <w:r w:rsidRPr="00AB7746">
              <w:rPr>
                <w:b w:val="0"/>
                <w:bCs w:val="0"/>
                <w:sz w:val="18"/>
                <w:szCs w:val="18"/>
              </w:rPr>
              <w:fldChar w:fldCharType="separate"/>
            </w:r>
            <w:r w:rsidR="00D135B0" w:rsidRPr="00AB7746">
              <w:rPr>
                <w:b w:val="0"/>
                <w:bCs w:val="0"/>
                <w:noProof/>
                <w:sz w:val="18"/>
                <w:szCs w:val="18"/>
              </w:rPr>
              <w:t>12</w:t>
            </w:r>
            <w:r w:rsidRPr="00AB7746">
              <w:rPr>
                <w:b w:val="0"/>
                <w:bCs w:val="0"/>
                <w:sz w:val="18"/>
                <w:szCs w:val="18"/>
              </w:rPr>
              <w:fldChar w:fldCharType="end"/>
            </w:r>
            <w:r w:rsidRPr="00AB7746">
              <w:rPr>
                <w:b w:val="0"/>
                <w:bCs w:val="0"/>
                <w:sz w:val="18"/>
                <w:szCs w:val="18"/>
              </w:rPr>
              <w:t>. The five-step data collection workflow (AI generated)</w:t>
            </w:r>
            <w:bookmarkEnd w:id="39"/>
          </w:p>
          <w:p w14:paraId="55446B37" w14:textId="0286EB6B"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Image description:</w:t>
            </w:r>
            <w:r w:rsidRPr="00AB7746">
              <w:rPr>
                <w:sz w:val="20"/>
                <w:szCs w:val="20"/>
                <w:lang w:val="en-GB"/>
              </w:rPr>
              <w:t xml:space="preserve"> </w:t>
            </w:r>
            <w:r w:rsidRPr="00AB7746">
              <w:rPr>
                <w:rFonts w:asciiTheme="minorHAnsi" w:hAnsiTheme="minorHAnsi"/>
                <w:sz w:val="20"/>
                <w:szCs w:val="20"/>
                <w:lang w:val="en-GB"/>
              </w:rPr>
              <w:t xml:space="preserve">This infographic illustrates the five-step data collection workflow. The process is depicted as a continuous, flowing path with steps descriptions for each of the five </w:t>
            </w:r>
            <w:r w:rsidR="00290AAA" w:rsidRPr="00AB7746">
              <w:rPr>
                <w:rFonts w:asciiTheme="minorHAnsi" w:hAnsiTheme="minorHAnsi"/>
                <w:sz w:val="20"/>
                <w:szCs w:val="20"/>
                <w:lang w:val="en-GB"/>
              </w:rPr>
              <w:t>steps</w:t>
            </w:r>
            <w:r w:rsidRPr="00AB7746">
              <w:rPr>
                <w:rFonts w:asciiTheme="minorHAnsi" w:hAnsiTheme="minorHAnsi"/>
                <w:sz w:val="20"/>
                <w:szCs w:val="20"/>
                <w:lang w:val="en-GB"/>
              </w:rPr>
              <w:t>.</w:t>
            </w:r>
          </w:p>
          <w:p w14:paraId="3CD1FE03" w14:textId="77777777" w:rsidR="00BF5BE8" w:rsidRPr="00AB7746" w:rsidRDefault="00BF5BE8" w:rsidP="00CD130A">
            <w:pPr>
              <w:pStyle w:val="NormalWeb"/>
              <w:spacing w:before="40" w:after="40"/>
              <w:rPr>
                <w:rFonts w:asciiTheme="minorHAnsi" w:hAnsiTheme="minorHAnsi"/>
                <w:sz w:val="20"/>
                <w:szCs w:val="20"/>
                <w:lang w:val="en-GB"/>
              </w:rPr>
            </w:pPr>
            <w:r w:rsidRPr="00AB7746">
              <w:rPr>
                <w:rFonts w:asciiTheme="minorHAnsi" w:hAnsiTheme="minorHAnsi"/>
                <w:sz w:val="20"/>
                <w:szCs w:val="20"/>
                <w:lang w:val="en-GB"/>
              </w:rPr>
              <w:t>Next, the steps are described:</w:t>
            </w:r>
          </w:p>
          <w:p w14:paraId="5F0A9B8B" w14:textId="77777777" w:rsidR="00BF5BE8" w:rsidRPr="00AB7746" w:rsidRDefault="00BF5BE8" w:rsidP="00CD130A">
            <w:pPr>
              <w:pStyle w:val="NormalWeb"/>
              <w:spacing w:before="40" w:after="40"/>
              <w:rPr>
                <w:rFonts w:asciiTheme="minorHAnsi" w:hAnsiTheme="minorHAnsi"/>
                <w:sz w:val="20"/>
                <w:szCs w:val="20"/>
                <w:lang w:val="en-GB"/>
              </w:rPr>
            </w:pPr>
            <w:r w:rsidRPr="00AB7746">
              <w:rPr>
                <w:rFonts w:asciiTheme="minorHAnsi" w:hAnsiTheme="minorHAnsi"/>
                <w:sz w:val="20"/>
                <w:szCs w:val="20"/>
                <w:lang w:val="en-GB"/>
              </w:rPr>
              <w:t>Step 1 — Identify the data need</w:t>
            </w:r>
          </w:p>
          <w:p w14:paraId="34FE1743"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Define what question needs to be answered or what disclosure requirement needs to be met. Specify the required unit of measurement, granularity (</w:t>
            </w:r>
            <w:proofErr w:type="spellStart"/>
            <w:r w:rsidRPr="00AB7746">
              <w:rPr>
                <w:rFonts w:asciiTheme="minorHAnsi" w:hAnsiTheme="minorHAnsi"/>
                <w:sz w:val="20"/>
                <w:szCs w:val="20"/>
                <w:lang w:val="en-GB"/>
              </w:rPr>
              <w:t>eg</w:t>
            </w:r>
            <w:proofErr w:type="spellEnd"/>
            <w:r w:rsidRPr="00AB7746">
              <w:rPr>
                <w:rFonts w:asciiTheme="minorHAnsi" w:hAnsiTheme="minorHAnsi"/>
                <w:sz w:val="20"/>
                <w:szCs w:val="20"/>
                <w:lang w:val="en-GB"/>
              </w:rPr>
              <w:t>, facility-level vs. company-level), and frequency.</w:t>
            </w:r>
          </w:p>
          <w:p w14:paraId="12CF312C"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Step 2 — Select the collection method and source</w:t>
            </w:r>
          </w:p>
          <w:p w14:paraId="319E1191"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Choose from the primary and secondary methods described above. Determine whether the data will come from internal systems, external providers or open databases.</w:t>
            </w:r>
          </w:p>
          <w:p w14:paraId="1814C471"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Step 3 — Design the entry mechanism</w:t>
            </w:r>
          </w:p>
          <w:p w14:paraId="6FC0D194"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lastRenderedPageBreak/>
              <w:t>Select the data entry method (automated meter, portal, spreadsheet, or manual). Define validation rules: permitted value ranges, mandatory fields, unit standards, and decimal precision.</w:t>
            </w:r>
          </w:p>
          <w:p w14:paraId="53351340"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Step 4 — Assign roles and responsibilities</w:t>
            </w:r>
          </w:p>
          <w:p w14:paraId="36305B16"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Identify who is responsible for data collection (Data Steward or designated collector), who reviews it (Data Owner) and who is notified if data is late or fails validation.</w:t>
            </w:r>
          </w:p>
          <w:p w14:paraId="782336DA" w14:textId="77777777" w:rsidR="00BF5BE8" w:rsidRPr="00AB7746" w:rsidRDefault="00BF5BE8" w:rsidP="00290AAA">
            <w:pPr>
              <w:pStyle w:val="NormalWeb"/>
              <w:spacing w:before="40" w:after="40"/>
              <w:jc w:val="both"/>
              <w:rPr>
                <w:rFonts w:asciiTheme="minorHAnsi" w:hAnsiTheme="minorHAnsi"/>
                <w:sz w:val="20"/>
                <w:szCs w:val="20"/>
                <w:lang w:val="en-GB"/>
              </w:rPr>
            </w:pPr>
            <w:r w:rsidRPr="00AB7746">
              <w:rPr>
                <w:rFonts w:asciiTheme="minorHAnsi" w:hAnsiTheme="minorHAnsi"/>
                <w:sz w:val="20"/>
                <w:szCs w:val="20"/>
                <w:lang w:val="en-GB"/>
              </w:rPr>
              <w:t>Step 5 — Validate and store</w:t>
            </w:r>
          </w:p>
          <w:p w14:paraId="79FC3D8E" w14:textId="77777777" w:rsidR="00BF5BE8" w:rsidRPr="00AB7746" w:rsidRDefault="00BF5BE8" w:rsidP="00290AAA">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Run automated or manual quality checks (completeness, range, unit consistency). Store the validated data with appropriate metadata and access controls.</w:t>
            </w:r>
          </w:p>
          <w:p w14:paraId="5CD2743C" w14:textId="77777777" w:rsidR="00BF5BE8" w:rsidRPr="00AB7746" w:rsidRDefault="00BF5BE8" w:rsidP="00290AAA">
            <w:pPr>
              <w:pStyle w:val="NormalWeb"/>
              <w:spacing w:before="40" w:beforeAutospacing="0" w:after="40" w:afterAutospacing="0"/>
              <w:jc w:val="both"/>
              <w:rPr>
                <w:rFonts w:asciiTheme="minorHAnsi" w:hAnsiTheme="minorHAnsi"/>
                <w:b/>
                <w:color w:val="00AC4E" w:themeColor="accent1"/>
                <w:sz w:val="20"/>
                <w:szCs w:val="20"/>
                <w:lang w:val="en-GB"/>
              </w:rPr>
            </w:pPr>
          </w:p>
          <w:p w14:paraId="10C2012F" w14:textId="77777777" w:rsidR="00BF5BE8" w:rsidRPr="00AB7746" w:rsidRDefault="00BF5BE8" w:rsidP="00290AAA">
            <w:pPr>
              <w:pStyle w:val="NormalWeb"/>
              <w:spacing w:before="40" w:beforeAutospacing="0" w:after="40" w:afterAutospacing="0"/>
              <w:jc w:val="both"/>
              <w:rPr>
                <w:rFonts w:asciiTheme="minorHAnsi" w:hAnsiTheme="minorHAnsi"/>
                <w:b/>
                <w:color w:val="009889" w:themeColor="accent2"/>
                <w:sz w:val="20"/>
                <w:szCs w:val="20"/>
                <w:lang w:val="en-GB"/>
              </w:rPr>
            </w:pPr>
            <w:r w:rsidRPr="00AB7746">
              <w:rPr>
                <w:rFonts w:asciiTheme="minorHAnsi" w:hAnsiTheme="minorHAnsi"/>
                <w:b/>
                <w:color w:val="009889" w:themeColor="accent2"/>
                <w:sz w:val="20"/>
                <w:szCs w:val="20"/>
                <w:lang w:val="en-GB"/>
              </w:rPr>
              <w:t>Common data collection challenges</w:t>
            </w:r>
          </w:p>
          <w:p w14:paraId="7DB42450" w14:textId="57F8368F" w:rsidR="00BF5BE8" w:rsidRPr="00AB7746" w:rsidRDefault="00BF5BE8" w:rsidP="00290AAA">
            <w:pPr>
              <w:pStyle w:val="NormalWeb"/>
              <w:spacing w:before="40" w:beforeAutospacing="0" w:after="40" w:afterAutospacing="0"/>
              <w:jc w:val="both"/>
              <w:rPr>
                <w:rFonts w:asciiTheme="minorHAnsi" w:hAnsiTheme="minorHAnsi"/>
                <w:sz w:val="20"/>
                <w:szCs w:val="20"/>
                <w:lang w:val="en-GB"/>
              </w:rPr>
            </w:pPr>
            <w:r w:rsidRPr="00AB7746">
              <w:rPr>
                <w:rFonts w:asciiTheme="minorHAnsi" w:hAnsiTheme="minorHAnsi"/>
                <w:sz w:val="20"/>
                <w:szCs w:val="20"/>
                <w:lang w:val="en-GB"/>
              </w:rPr>
              <w:t xml:space="preserve">When collecting data, there are common challenges which affect the data precision and quality. Some common challenges and recommended mitigations are brought out in Table </w:t>
            </w:r>
            <w:r w:rsidR="005755BD" w:rsidRPr="00AB7746">
              <w:rPr>
                <w:rFonts w:asciiTheme="minorHAnsi" w:hAnsiTheme="minorHAnsi"/>
                <w:sz w:val="20"/>
                <w:szCs w:val="20"/>
                <w:lang w:val="en-GB"/>
              </w:rPr>
              <w:t>6</w:t>
            </w:r>
            <w:r w:rsidRPr="00AB7746">
              <w:rPr>
                <w:rFonts w:asciiTheme="minorHAnsi" w:hAnsiTheme="minorHAnsi"/>
                <w:sz w:val="20"/>
                <w:szCs w:val="20"/>
                <w:lang w:val="en-GB"/>
              </w:rPr>
              <w:t>.</w:t>
            </w:r>
          </w:p>
          <w:p w14:paraId="02E212C4" w14:textId="77777777" w:rsidR="00BF5BE8" w:rsidRPr="00AB7746" w:rsidRDefault="00BF5BE8" w:rsidP="00CD130A">
            <w:pPr>
              <w:pStyle w:val="NormalWeb"/>
              <w:spacing w:before="40" w:beforeAutospacing="0" w:after="40" w:afterAutospacing="0"/>
              <w:rPr>
                <w:rFonts w:asciiTheme="minorHAnsi" w:hAnsiTheme="minorHAnsi"/>
                <w:b/>
                <w:color w:val="00AC4E" w:themeColor="accent1"/>
                <w:sz w:val="20"/>
                <w:szCs w:val="20"/>
                <w:lang w:val="en-GB"/>
              </w:rPr>
            </w:pPr>
          </w:p>
          <w:p w14:paraId="18D7F30C" w14:textId="66402626" w:rsidR="005755BD" w:rsidRPr="00AB7746" w:rsidRDefault="00957ED1" w:rsidP="005755BD">
            <w:pPr>
              <w:pStyle w:val="Caption"/>
              <w:keepNext/>
              <w:rPr>
                <w:sz w:val="18"/>
                <w:szCs w:val="18"/>
              </w:rPr>
            </w:pPr>
            <w:r>
              <w:rPr>
                <w:sz w:val="18"/>
                <w:szCs w:val="18"/>
              </w:rPr>
              <w:t xml:space="preserve"> </w:t>
            </w:r>
          </w:p>
          <w:p w14:paraId="37266752" w14:textId="1C15331E" w:rsidR="00957ED1" w:rsidRPr="00957ED1" w:rsidRDefault="00957ED1" w:rsidP="00957ED1">
            <w:pPr>
              <w:pStyle w:val="Caption"/>
              <w:keepNext/>
              <w:rPr>
                <w:b w:val="0"/>
                <w:bCs w:val="0"/>
              </w:rPr>
            </w:pPr>
            <w:bookmarkStart w:id="40" w:name="_Toc227739600"/>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6</w:t>
            </w:r>
            <w:r w:rsidRPr="00957ED1">
              <w:rPr>
                <w:b w:val="0"/>
                <w:bCs w:val="0"/>
              </w:rPr>
              <w:fldChar w:fldCharType="end"/>
            </w:r>
            <w:r w:rsidRPr="00957ED1">
              <w:rPr>
                <w:b w:val="0"/>
                <w:bCs w:val="0"/>
              </w:rPr>
              <w:t>. Common data collection challenges (source: Author)</w:t>
            </w:r>
            <w:bookmarkEnd w:id="40"/>
          </w:p>
          <w:tbl>
            <w:tblPr>
              <w:tblStyle w:val="GridTable1Light"/>
              <w:tblW w:w="0" w:type="auto"/>
              <w:tblLook w:val="04A0" w:firstRow="1" w:lastRow="0" w:firstColumn="1" w:lastColumn="0" w:noHBand="0" w:noVBand="1"/>
            </w:tblPr>
            <w:tblGrid>
              <w:gridCol w:w="1785"/>
              <w:gridCol w:w="2274"/>
              <w:gridCol w:w="2138"/>
              <w:gridCol w:w="3431"/>
            </w:tblGrid>
            <w:tr w:rsidR="00BF5BE8" w:rsidRPr="00AB7746" w14:paraId="2B001CF5" w14:textId="77777777" w:rsidTr="0055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5D76E1" w14:textId="77777777" w:rsidR="00BF5BE8" w:rsidRPr="00AB7746" w:rsidRDefault="00BF5BE8" w:rsidP="00290AAA">
                  <w:pPr>
                    <w:pStyle w:val="NormalWeb"/>
                    <w:spacing w:before="40" w:beforeAutospacing="0" w:after="40" w:afterAutospacing="0"/>
                    <w:rPr>
                      <w:rFonts w:asciiTheme="minorHAnsi" w:hAnsiTheme="minorHAnsi"/>
                      <w:color w:val="00AC4E" w:themeColor="accent1"/>
                      <w:sz w:val="20"/>
                      <w:szCs w:val="20"/>
                      <w:lang w:val="en-GB"/>
                    </w:rPr>
                  </w:pPr>
                  <w:r w:rsidRPr="00AB7746">
                    <w:rPr>
                      <w:rFonts w:asciiTheme="minorHAnsi" w:hAnsiTheme="minorHAnsi"/>
                      <w:sz w:val="20"/>
                      <w:szCs w:val="20"/>
                      <w:lang w:val="en-GB"/>
                    </w:rPr>
                    <w:t>Challenge</w:t>
                  </w:r>
                </w:p>
              </w:tc>
              <w:tc>
                <w:tcPr>
                  <w:tcW w:w="0" w:type="auto"/>
                </w:tcPr>
                <w:p w14:paraId="25A65F18" w14:textId="77777777" w:rsidR="00BF5BE8" w:rsidRPr="00AB7746" w:rsidRDefault="00BF5BE8" w:rsidP="00290AAA">
                  <w:pPr>
                    <w:pStyle w:val="Normal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00AC4E" w:themeColor="accent1"/>
                      <w:sz w:val="20"/>
                      <w:szCs w:val="20"/>
                      <w:lang w:val="en-GB"/>
                    </w:rPr>
                  </w:pPr>
                  <w:r w:rsidRPr="00AB7746">
                    <w:rPr>
                      <w:rFonts w:asciiTheme="minorHAnsi" w:hAnsiTheme="minorHAnsi"/>
                      <w:sz w:val="20"/>
                      <w:szCs w:val="20"/>
                      <w:lang w:val="en-GB"/>
                    </w:rPr>
                    <w:t>Example</w:t>
                  </w:r>
                </w:p>
              </w:tc>
              <w:tc>
                <w:tcPr>
                  <w:tcW w:w="0" w:type="auto"/>
                </w:tcPr>
                <w:p w14:paraId="7A9AEEE3" w14:textId="77777777" w:rsidR="00BF5BE8" w:rsidRPr="00AB7746" w:rsidRDefault="00BF5BE8" w:rsidP="00290AAA">
                  <w:pPr>
                    <w:pStyle w:val="Normal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00AC4E" w:themeColor="accent1"/>
                      <w:sz w:val="20"/>
                      <w:szCs w:val="20"/>
                      <w:lang w:val="en-GB"/>
                    </w:rPr>
                  </w:pPr>
                  <w:r w:rsidRPr="00AB7746">
                    <w:rPr>
                      <w:rFonts w:asciiTheme="minorHAnsi" w:hAnsiTheme="minorHAnsi"/>
                      <w:sz w:val="20"/>
                      <w:szCs w:val="20"/>
                      <w:lang w:val="en-GB"/>
                    </w:rPr>
                    <w:t>Impact</w:t>
                  </w:r>
                </w:p>
              </w:tc>
              <w:tc>
                <w:tcPr>
                  <w:tcW w:w="0" w:type="auto"/>
                </w:tcPr>
                <w:p w14:paraId="24CB6C22" w14:textId="77777777" w:rsidR="00BF5BE8" w:rsidRPr="00AB7746" w:rsidRDefault="00BF5BE8" w:rsidP="00290AAA">
                  <w:pPr>
                    <w:pStyle w:val="Normal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00AC4E" w:themeColor="accent1"/>
                      <w:sz w:val="20"/>
                      <w:szCs w:val="20"/>
                      <w:lang w:val="en-GB"/>
                    </w:rPr>
                  </w:pPr>
                  <w:r w:rsidRPr="00AB7746">
                    <w:rPr>
                      <w:rFonts w:asciiTheme="minorHAnsi" w:hAnsiTheme="minorHAnsi"/>
                      <w:sz w:val="20"/>
                      <w:szCs w:val="20"/>
                      <w:lang w:val="en-GB"/>
                    </w:rPr>
                    <w:t>Recommended Mitigation</w:t>
                  </w:r>
                </w:p>
              </w:tc>
            </w:tr>
            <w:tr w:rsidR="00BF5BE8" w:rsidRPr="00AB7746" w14:paraId="18E097E4"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3BD38" w14:textId="77777777" w:rsidR="00BF5BE8" w:rsidRPr="00AB7746" w:rsidRDefault="00BF5BE8" w:rsidP="00290AAA">
                  <w:pPr>
                    <w:pStyle w:val="NormalWeb"/>
                    <w:spacing w:before="40" w:beforeAutospacing="0" w:after="40" w:afterAutospacing="0"/>
                    <w:rPr>
                      <w:rFonts w:asciiTheme="minorHAnsi" w:hAnsiTheme="minorHAnsi"/>
                      <w:color w:val="00AC4E" w:themeColor="accent1"/>
                      <w:sz w:val="20"/>
                      <w:szCs w:val="20"/>
                      <w:lang w:val="en-GB"/>
                    </w:rPr>
                  </w:pPr>
                  <w:r w:rsidRPr="00AB7746">
                    <w:rPr>
                      <w:rFonts w:asciiTheme="minorHAnsi" w:hAnsiTheme="minorHAnsi"/>
                      <w:sz w:val="20"/>
                      <w:szCs w:val="20"/>
                      <w:lang w:val="en-GB"/>
                    </w:rPr>
                    <w:t>Late data</w:t>
                  </w:r>
                </w:p>
              </w:tc>
              <w:tc>
                <w:tcPr>
                  <w:tcW w:w="0" w:type="auto"/>
                </w:tcPr>
                <w:p w14:paraId="135EDB7F"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Utility invoices in some markets arrive 60–90 days after the period end.</w:t>
                  </w:r>
                </w:p>
              </w:tc>
              <w:tc>
                <w:tcPr>
                  <w:tcW w:w="0" w:type="auto"/>
                </w:tcPr>
                <w:p w14:paraId="39175BEC"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Impossible to calculate real-time consumption figures.</w:t>
                  </w:r>
                </w:p>
              </w:tc>
              <w:tc>
                <w:tcPr>
                  <w:tcW w:w="0" w:type="auto"/>
                </w:tcPr>
                <w:p w14:paraId="502E3CD5"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Establish data-receipt service-level agreements with suppliers. Use smart meter data as a provisional estimate and reconcile with invoices when received.</w:t>
                  </w:r>
                </w:p>
              </w:tc>
            </w:tr>
            <w:tr w:rsidR="00BF5BE8" w:rsidRPr="00AB7746" w14:paraId="44147C2C" w14:textId="77777777" w:rsidTr="005507F0">
              <w:tc>
                <w:tcPr>
                  <w:cnfStyle w:val="001000000000" w:firstRow="0" w:lastRow="0" w:firstColumn="1" w:lastColumn="0" w:oddVBand="0" w:evenVBand="0" w:oddHBand="0" w:evenHBand="0" w:firstRowFirstColumn="0" w:firstRowLastColumn="0" w:lastRowFirstColumn="0" w:lastRowLastColumn="0"/>
                  <w:tcW w:w="0" w:type="auto"/>
                </w:tcPr>
                <w:p w14:paraId="7B2FB781" w14:textId="77777777" w:rsidR="00BF5BE8" w:rsidRPr="00AB7746" w:rsidRDefault="00BF5BE8" w:rsidP="00290AAA">
                  <w:pPr>
                    <w:pStyle w:val="NormalWeb"/>
                    <w:spacing w:before="40" w:beforeAutospacing="0" w:after="40" w:afterAutospacing="0"/>
                    <w:rPr>
                      <w:rFonts w:asciiTheme="minorHAnsi" w:hAnsiTheme="minorHAnsi"/>
                      <w:color w:val="00AC4E" w:themeColor="accent1"/>
                      <w:sz w:val="20"/>
                      <w:szCs w:val="20"/>
                      <w:lang w:val="en-GB"/>
                    </w:rPr>
                  </w:pPr>
                  <w:r w:rsidRPr="00AB7746">
                    <w:rPr>
                      <w:rFonts w:asciiTheme="minorHAnsi" w:hAnsiTheme="minorHAnsi"/>
                      <w:sz w:val="20"/>
                      <w:szCs w:val="20"/>
                      <w:lang w:val="en-GB"/>
                    </w:rPr>
                    <w:t>Unit inconsistency</w:t>
                  </w:r>
                </w:p>
              </w:tc>
              <w:tc>
                <w:tcPr>
                  <w:tcW w:w="0" w:type="auto"/>
                </w:tcPr>
                <w:p w14:paraId="709FBA1C"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Energy reported in kWh, MWh, or GJ by different suppliers.</w:t>
                  </w:r>
                </w:p>
              </w:tc>
              <w:tc>
                <w:tcPr>
                  <w:tcW w:w="0" w:type="auto"/>
                </w:tcPr>
                <w:p w14:paraId="3AB3B3E4"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Decisions can be off by thousands without normalization.</w:t>
                  </w:r>
                </w:p>
              </w:tc>
              <w:tc>
                <w:tcPr>
                  <w:tcW w:w="0" w:type="auto"/>
                </w:tcPr>
                <w:p w14:paraId="1B090513"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Define a single unit standard in the data governance policy. Implement automated unit conversion at the point of entry.</w:t>
                  </w:r>
                </w:p>
              </w:tc>
            </w:tr>
            <w:tr w:rsidR="00BF5BE8" w:rsidRPr="00AB7746" w14:paraId="2DE7EE3A" w14:textId="77777777" w:rsidTr="0055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C8EC1" w14:textId="77777777" w:rsidR="00BF5BE8" w:rsidRPr="00AB7746" w:rsidRDefault="00BF5BE8" w:rsidP="00290AAA">
                  <w:pPr>
                    <w:pStyle w:val="NormalWeb"/>
                    <w:spacing w:before="40" w:beforeAutospacing="0" w:after="40" w:afterAutospacing="0"/>
                    <w:rPr>
                      <w:rFonts w:asciiTheme="minorHAnsi" w:hAnsiTheme="minorHAnsi"/>
                      <w:color w:val="00AC4E" w:themeColor="accent1"/>
                      <w:sz w:val="20"/>
                      <w:szCs w:val="20"/>
                      <w:lang w:val="en-GB"/>
                    </w:rPr>
                  </w:pPr>
                  <w:r w:rsidRPr="00AB7746">
                    <w:rPr>
                      <w:rFonts w:asciiTheme="minorHAnsi" w:hAnsiTheme="minorHAnsi"/>
                      <w:sz w:val="20"/>
                      <w:szCs w:val="20"/>
                      <w:lang w:val="en-GB"/>
                    </w:rPr>
                    <w:t>Definitional drift</w:t>
                  </w:r>
                </w:p>
              </w:tc>
              <w:tc>
                <w:tcPr>
                  <w:tcW w:w="0" w:type="auto"/>
                </w:tcPr>
                <w:p w14:paraId="6E2D7C18"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'Active customer' is defined differently across departments.</w:t>
                  </w:r>
                </w:p>
              </w:tc>
              <w:tc>
                <w:tcPr>
                  <w:tcW w:w="0" w:type="auto"/>
                </w:tcPr>
                <w:p w14:paraId="61FE99D4"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Different numbers reported for the same metric.</w:t>
                  </w:r>
                </w:p>
              </w:tc>
              <w:tc>
                <w:tcPr>
                  <w:tcW w:w="0" w:type="auto"/>
                </w:tcPr>
                <w:p w14:paraId="7F60569E" w14:textId="77777777" w:rsidR="00BF5BE8" w:rsidRPr="00AB7746" w:rsidRDefault="00BF5BE8" w:rsidP="00290AAA">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Create and enforce a business glossary. Lock definitions before the reporting period begins.</w:t>
                  </w:r>
                </w:p>
              </w:tc>
            </w:tr>
            <w:tr w:rsidR="00BF5BE8" w:rsidRPr="00AB7746" w14:paraId="5E01DEE8" w14:textId="77777777" w:rsidTr="005507F0">
              <w:tc>
                <w:tcPr>
                  <w:cnfStyle w:val="001000000000" w:firstRow="0" w:lastRow="0" w:firstColumn="1" w:lastColumn="0" w:oddVBand="0" w:evenVBand="0" w:oddHBand="0" w:evenHBand="0" w:firstRowFirstColumn="0" w:firstRowLastColumn="0" w:lastRowFirstColumn="0" w:lastRowLastColumn="0"/>
                  <w:tcW w:w="0" w:type="auto"/>
                </w:tcPr>
                <w:p w14:paraId="35AAE03E" w14:textId="77777777" w:rsidR="00BF5BE8" w:rsidRPr="00AB7746" w:rsidRDefault="00BF5BE8" w:rsidP="00290AAA">
                  <w:pPr>
                    <w:pStyle w:val="NormalWeb"/>
                    <w:spacing w:before="40" w:beforeAutospacing="0" w:after="40" w:afterAutospacing="0"/>
                    <w:rPr>
                      <w:rFonts w:asciiTheme="minorHAnsi" w:hAnsiTheme="minorHAnsi"/>
                      <w:color w:val="00AC4E" w:themeColor="accent1"/>
                      <w:sz w:val="20"/>
                      <w:szCs w:val="20"/>
                      <w:lang w:val="en-GB"/>
                    </w:rPr>
                  </w:pPr>
                  <w:r w:rsidRPr="00AB7746">
                    <w:rPr>
                      <w:rFonts w:asciiTheme="minorHAnsi" w:hAnsiTheme="minorHAnsi"/>
                      <w:sz w:val="20"/>
                      <w:szCs w:val="20"/>
                      <w:lang w:val="en-GB"/>
                    </w:rPr>
                    <w:t>Accuracy inconsistency</w:t>
                  </w:r>
                </w:p>
              </w:tc>
              <w:tc>
                <w:tcPr>
                  <w:tcW w:w="0" w:type="auto"/>
                </w:tcPr>
                <w:p w14:paraId="776974B3"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One clerk rounds energy to full kWh; another enters three decimal places.</w:t>
                  </w:r>
                </w:p>
              </w:tc>
              <w:tc>
                <w:tcPr>
                  <w:tcW w:w="0" w:type="auto"/>
                </w:tcPr>
                <w:p w14:paraId="23AEF07D"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Data aggregation errors and unreliable comparisons.</w:t>
                  </w:r>
                </w:p>
              </w:tc>
              <w:tc>
                <w:tcPr>
                  <w:tcW w:w="0" w:type="auto"/>
                </w:tcPr>
                <w:p w14:paraId="094CAFD3" w14:textId="77777777" w:rsidR="00BF5BE8" w:rsidRPr="00AB7746" w:rsidRDefault="00BF5BE8" w:rsidP="00290AAA">
                  <w:pPr>
                    <w:pStyle w:val="NormalWeb"/>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00AC4E" w:themeColor="accent1"/>
                      <w:sz w:val="20"/>
                      <w:szCs w:val="20"/>
                      <w:lang w:val="en-GB"/>
                    </w:rPr>
                  </w:pPr>
                  <w:r w:rsidRPr="00AB7746">
                    <w:rPr>
                      <w:rFonts w:asciiTheme="minorHAnsi" w:hAnsiTheme="minorHAnsi"/>
                      <w:sz w:val="20"/>
                      <w:szCs w:val="20"/>
                      <w:lang w:val="en-GB"/>
                    </w:rPr>
                    <w:t>Specify precision rules in the data entry template or portal. Validate on submission with automated checks.</w:t>
                  </w:r>
                </w:p>
              </w:tc>
            </w:tr>
          </w:tbl>
          <w:p w14:paraId="08D15F66" w14:textId="77777777" w:rsidR="00BF5BE8" w:rsidRPr="00AB7746" w:rsidRDefault="00BF5BE8" w:rsidP="00CD130A">
            <w:pPr>
              <w:pStyle w:val="NormalWeb"/>
              <w:spacing w:before="40" w:beforeAutospacing="0" w:after="40" w:afterAutospacing="0"/>
              <w:rPr>
                <w:rFonts w:asciiTheme="minorHAnsi" w:hAnsiTheme="minorHAnsi"/>
                <w:b/>
                <w:color w:val="00AC4E" w:themeColor="accent1"/>
                <w:sz w:val="20"/>
                <w:szCs w:val="20"/>
                <w:lang w:val="en-GB"/>
              </w:rPr>
            </w:pPr>
          </w:p>
          <w:p w14:paraId="63457BDB" w14:textId="77777777" w:rsidR="00BF5BE8" w:rsidRPr="00AB7746" w:rsidRDefault="00BF5BE8" w:rsidP="00CD130A">
            <w:pPr>
              <w:pStyle w:val="NormalWeb"/>
              <w:spacing w:before="40" w:beforeAutospacing="0" w:after="40" w:afterAutospacing="0"/>
              <w:rPr>
                <w:rFonts w:asciiTheme="minorHAnsi" w:hAnsiTheme="minorHAnsi"/>
                <w:color w:val="00AC4E" w:themeColor="accent1"/>
                <w:sz w:val="20"/>
                <w:szCs w:val="20"/>
                <w:lang w:val="en-GB"/>
              </w:rPr>
            </w:pPr>
          </w:p>
          <w:p w14:paraId="7BAD7C69" w14:textId="6820B34F" w:rsidR="00BF5BE8" w:rsidRPr="00AB7746" w:rsidRDefault="00BF5BE8" w:rsidP="00CD130A">
            <w:pPr>
              <w:pStyle w:val="NormalWeb"/>
              <w:spacing w:before="40" w:beforeAutospacing="0" w:after="40" w:afterAutospacing="0"/>
              <w:rPr>
                <w:rFonts w:asciiTheme="minorHAnsi" w:hAnsiTheme="minorHAnsi"/>
                <w:b/>
                <w:color w:val="00AC4E" w:themeColor="accent1"/>
                <w:sz w:val="20"/>
                <w:szCs w:val="20"/>
                <w:lang w:val="en-GB"/>
              </w:rPr>
            </w:pPr>
            <w:r w:rsidRPr="00AB7746">
              <w:rPr>
                <w:rFonts w:asciiTheme="minorHAnsi" w:hAnsiTheme="minorHAnsi"/>
                <w:b/>
                <w:color w:val="00AC4E" w:themeColor="accent1"/>
                <w:sz w:val="20"/>
                <w:szCs w:val="20"/>
                <w:lang w:val="en-GB"/>
              </w:rPr>
              <w:t>Key Takeaways</w:t>
            </w:r>
            <w:r w:rsidRPr="00AB7746">
              <w:rPr>
                <w:rFonts w:asciiTheme="minorHAnsi" w:hAnsiTheme="minorHAnsi"/>
                <w:sz w:val="20"/>
                <w:szCs w:val="20"/>
                <w:lang w:val="en-GB"/>
              </w:rPr>
              <w:t>:</w:t>
            </w:r>
          </w:p>
          <w:p w14:paraId="498AD203" w14:textId="77777777" w:rsidR="00BF5BE8" w:rsidRPr="00AB7746" w:rsidRDefault="00BF5BE8" w:rsidP="00BF5BE8">
            <w:pPr>
              <w:pStyle w:val="NormalWeb"/>
              <w:numPr>
                <w:ilvl w:val="0"/>
                <w:numId w:val="230"/>
              </w:numPr>
              <w:spacing w:before="40" w:after="40"/>
              <w:jc w:val="both"/>
              <w:rPr>
                <w:rFonts w:asciiTheme="minorHAnsi" w:hAnsiTheme="minorHAnsi"/>
                <w:sz w:val="20"/>
                <w:szCs w:val="20"/>
                <w:lang w:val="en-GB"/>
              </w:rPr>
            </w:pPr>
            <w:r w:rsidRPr="00AB7746">
              <w:rPr>
                <w:rFonts w:asciiTheme="minorHAnsi" w:hAnsiTheme="minorHAnsi"/>
                <w:sz w:val="20"/>
                <w:szCs w:val="20"/>
                <w:lang w:val="en-GB"/>
              </w:rPr>
              <w:t>Data can come from three sources: internal organizational data, data from other organizations, and open/publicly available data. Each has different levels of quality control available.</w:t>
            </w:r>
          </w:p>
          <w:p w14:paraId="6DA79F52" w14:textId="77777777" w:rsidR="00BF5BE8" w:rsidRPr="00AB7746" w:rsidRDefault="00BF5BE8" w:rsidP="00BF5BE8">
            <w:pPr>
              <w:pStyle w:val="NormalWeb"/>
              <w:numPr>
                <w:ilvl w:val="0"/>
                <w:numId w:val="230"/>
              </w:numPr>
              <w:spacing w:before="40" w:after="40"/>
              <w:jc w:val="both"/>
              <w:rPr>
                <w:rFonts w:asciiTheme="minorHAnsi" w:hAnsiTheme="minorHAnsi"/>
                <w:sz w:val="20"/>
                <w:szCs w:val="20"/>
                <w:lang w:val="en-GB"/>
              </w:rPr>
            </w:pPr>
            <w:r w:rsidRPr="00AB7746">
              <w:rPr>
                <w:rFonts w:asciiTheme="minorHAnsi" w:hAnsiTheme="minorHAnsi"/>
                <w:sz w:val="20"/>
                <w:szCs w:val="20"/>
                <w:lang w:val="en-GB"/>
              </w:rPr>
              <w:lastRenderedPageBreak/>
              <w:t>Primary data collection methods include surveys, interviews, observations, experiments, sensor data, and IT-system usage data. Secondary data (using previous research and statistics) is equally important, particularly for greenhouse gas emission calculations.</w:t>
            </w:r>
          </w:p>
          <w:p w14:paraId="5297EBA6" w14:textId="77777777" w:rsidR="00BF5BE8" w:rsidRPr="00AB7746" w:rsidRDefault="00BF5BE8" w:rsidP="00BF5BE8">
            <w:pPr>
              <w:pStyle w:val="NormalWeb"/>
              <w:numPr>
                <w:ilvl w:val="0"/>
                <w:numId w:val="230"/>
              </w:numPr>
              <w:spacing w:before="40" w:after="40"/>
              <w:jc w:val="both"/>
              <w:rPr>
                <w:rFonts w:asciiTheme="minorHAnsi" w:hAnsiTheme="minorHAnsi"/>
                <w:sz w:val="20"/>
                <w:szCs w:val="20"/>
                <w:lang w:val="en-GB"/>
              </w:rPr>
            </w:pPr>
            <w:r w:rsidRPr="00AB7746">
              <w:rPr>
                <w:rFonts w:asciiTheme="minorHAnsi" w:hAnsiTheme="minorHAnsi"/>
                <w:sz w:val="20"/>
                <w:szCs w:val="20"/>
                <w:lang w:val="en-GB"/>
              </w:rPr>
              <w:t>The choice of data entry method (from automated metering (±1–3% error) to unstructured manual input (±10–25% error)) directly impacts data quality. The decision about data entry methos should be proportionate to data criticality, frequency, and volume.</w:t>
            </w:r>
          </w:p>
          <w:p w14:paraId="293817A6" w14:textId="77777777" w:rsidR="00BF5BE8" w:rsidRPr="00AB7746" w:rsidRDefault="00BF5BE8" w:rsidP="00CD130A">
            <w:pPr>
              <w:pStyle w:val="NormalWeb"/>
              <w:spacing w:before="40" w:after="40"/>
              <w:rPr>
                <w:rFonts w:asciiTheme="minorHAnsi" w:hAnsiTheme="minorHAnsi"/>
                <w:b/>
                <w:color w:val="00AC4E" w:themeColor="accent1"/>
                <w:sz w:val="20"/>
                <w:szCs w:val="20"/>
                <w:lang w:val="en-GB"/>
              </w:rPr>
            </w:pPr>
            <w:r w:rsidRPr="00AB7746">
              <w:rPr>
                <w:rFonts w:asciiTheme="minorHAnsi" w:hAnsiTheme="minorHAnsi"/>
                <w:b/>
                <w:color w:val="00AC4E" w:themeColor="accent1"/>
                <w:sz w:val="20"/>
                <w:szCs w:val="20"/>
                <w:lang w:val="en-GB"/>
              </w:rPr>
              <w:t>Quick Check</w:t>
            </w:r>
          </w:p>
          <w:p w14:paraId="67EFF4B3" w14:textId="77777777" w:rsidR="00BF5BE8" w:rsidRPr="00AB7746" w:rsidRDefault="00BF5BE8" w:rsidP="00EF521E">
            <w:pPr>
              <w:pStyle w:val="NormalWeb"/>
              <w:numPr>
                <w:ilvl w:val="0"/>
                <w:numId w:val="244"/>
              </w:numPr>
              <w:spacing w:before="0" w:beforeAutospacing="0" w:after="0" w:afterAutospacing="0"/>
              <w:jc w:val="both"/>
              <w:rPr>
                <w:rFonts w:asciiTheme="minorHAnsi" w:hAnsiTheme="minorHAnsi"/>
                <w:color w:val="009889" w:themeColor="accent2"/>
                <w:sz w:val="20"/>
                <w:szCs w:val="20"/>
                <w:lang w:val="en-GB"/>
              </w:rPr>
            </w:pPr>
            <w:r w:rsidRPr="00AB7746">
              <w:rPr>
                <w:rFonts w:asciiTheme="minorHAnsi" w:hAnsiTheme="minorHAnsi"/>
                <w:color w:val="009889" w:themeColor="accent2"/>
                <w:sz w:val="20"/>
                <w:szCs w:val="20"/>
                <w:lang w:val="en-GB"/>
              </w:rPr>
              <w:t>Which data entry method has the lowest typical error rate?</w:t>
            </w:r>
          </w:p>
          <w:p w14:paraId="7B8B561C" w14:textId="77777777" w:rsidR="00BF5BE8" w:rsidRPr="00AB7746" w:rsidRDefault="00BF5BE8" w:rsidP="00EF521E">
            <w:pPr>
              <w:pStyle w:val="NormalWeb"/>
              <w:numPr>
                <w:ilvl w:val="1"/>
                <w:numId w:val="247"/>
              </w:numPr>
              <w:spacing w:before="0" w:beforeAutospacing="0" w:after="40"/>
              <w:jc w:val="both"/>
              <w:rPr>
                <w:rFonts w:asciiTheme="minorHAnsi" w:hAnsiTheme="minorHAnsi"/>
                <w:sz w:val="20"/>
                <w:szCs w:val="20"/>
                <w:lang w:val="en-GB"/>
              </w:rPr>
            </w:pPr>
            <w:r w:rsidRPr="00AB7746">
              <w:rPr>
                <w:rFonts w:asciiTheme="minorHAnsi" w:hAnsiTheme="minorHAnsi"/>
                <w:sz w:val="20"/>
                <w:szCs w:val="20"/>
                <w:lang w:val="en-GB"/>
              </w:rPr>
              <w:t>Validated spreadsheet template</w:t>
            </w:r>
          </w:p>
          <w:p w14:paraId="2B735D45" w14:textId="77777777" w:rsidR="00BF5BE8" w:rsidRPr="00AB7746" w:rsidRDefault="00BF5BE8" w:rsidP="00EF521E">
            <w:pPr>
              <w:pStyle w:val="NormalWeb"/>
              <w:numPr>
                <w:ilvl w:val="1"/>
                <w:numId w:val="247"/>
              </w:numPr>
              <w:spacing w:before="40" w:after="40"/>
              <w:jc w:val="both"/>
              <w:rPr>
                <w:rFonts w:asciiTheme="minorHAnsi" w:hAnsiTheme="minorHAnsi"/>
                <w:sz w:val="20"/>
                <w:szCs w:val="20"/>
                <w:lang w:val="en-GB"/>
              </w:rPr>
            </w:pPr>
            <w:r w:rsidRPr="00AB7746">
              <w:rPr>
                <w:rFonts w:asciiTheme="minorHAnsi" w:hAnsiTheme="minorHAnsi"/>
                <w:sz w:val="20"/>
                <w:szCs w:val="20"/>
                <w:lang w:val="en-GB"/>
              </w:rPr>
              <w:t>Automated meter / sensor</w:t>
            </w:r>
          </w:p>
          <w:p w14:paraId="03CDE587" w14:textId="77777777" w:rsidR="00BF5BE8" w:rsidRPr="00AB7746" w:rsidRDefault="00BF5BE8" w:rsidP="00EF521E">
            <w:pPr>
              <w:pStyle w:val="NormalWeb"/>
              <w:numPr>
                <w:ilvl w:val="1"/>
                <w:numId w:val="247"/>
              </w:numPr>
              <w:spacing w:before="40" w:after="40"/>
              <w:jc w:val="both"/>
              <w:rPr>
                <w:rFonts w:asciiTheme="minorHAnsi" w:hAnsiTheme="minorHAnsi"/>
                <w:sz w:val="20"/>
                <w:szCs w:val="20"/>
                <w:lang w:val="en-GB"/>
              </w:rPr>
            </w:pPr>
            <w:r w:rsidRPr="00AB7746">
              <w:rPr>
                <w:rFonts w:asciiTheme="minorHAnsi" w:hAnsiTheme="minorHAnsi"/>
                <w:sz w:val="20"/>
                <w:szCs w:val="20"/>
                <w:lang w:val="en-GB"/>
              </w:rPr>
              <w:t>Unstructured manual input (email, PDF)</w:t>
            </w:r>
          </w:p>
          <w:p w14:paraId="0CEB2E22" w14:textId="412AE955" w:rsidR="00BF5BE8" w:rsidRPr="00AB7746" w:rsidRDefault="00BF5BE8" w:rsidP="00EF521E">
            <w:pPr>
              <w:pStyle w:val="NormalWeb"/>
              <w:numPr>
                <w:ilvl w:val="1"/>
                <w:numId w:val="247"/>
              </w:numPr>
              <w:spacing w:before="40" w:after="40"/>
              <w:rPr>
                <w:rFonts w:asciiTheme="minorHAnsi" w:hAnsiTheme="minorHAnsi"/>
                <w:sz w:val="20"/>
                <w:szCs w:val="20"/>
                <w:lang w:val="en-GB"/>
              </w:rPr>
            </w:pPr>
            <w:r w:rsidRPr="00AB7746">
              <w:rPr>
                <w:rFonts w:asciiTheme="minorHAnsi" w:hAnsiTheme="minorHAnsi"/>
                <w:sz w:val="20"/>
                <w:szCs w:val="20"/>
                <w:lang w:val="en-GB"/>
              </w:rPr>
              <w:t>Structured digital portal submission</w:t>
            </w:r>
          </w:p>
          <w:p w14:paraId="355589C5" w14:textId="4D03CFBD" w:rsidR="00BF5BE8" w:rsidRPr="00AB7746" w:rsidRDefault="00BF5BE8" w:rsidP="00EF521E">
            <w:pPr>
              <w:pStyle w:val="NormalWeb"/>
              <w:numPr>
                <w:ilvl w:val="0"/>
                <w:numId w:val="244"/>
              </w:numPr>
              <w:spacing w:before="40" w:after="40"/>
              <w:rPr>
                <w:rFonts w:asciiTheme="minorHAnsi" w:hAnsiTheme="minorHAnsi"/>
                <w:color w:val="009889" w:themeColor="accent2"/>
                <w:sz w:val="20"/>
                <w:szCs w:val="20"/>
                <w:lang w:val="en-GB"/>
              </w:rPr>
            </w:pPr>
            <w:r w:rsidRPr="00AB7746">
              <w:rPr>
                <w:rFonts w:asciiTheme="minorHAnsi" w:hAnsiTheme="minorHAnsi"/>
                <w:color w:val="009889" w:themeColor="accent2"/>
                <w:sz w:val="20"/>
                <w:szCs w:val="20"/>
                <w:lang w:val="en-GB"/>
              </w:rPr>
              <w:t xml:space="preserve">True or False – Data collection workflow starts with deciding which data collection method to use. </w:t>
            </w:r>
            <w:r w:rsidRPr="00AB7746">
              <w:rPr>
                <w:color w:val="009889" w:themeColor="accent2"/>
                <w:sz w:val="20"/>
                <w:szCs w:val="20"/>
                <w:lang w:val="en-GB"/>
              </w:rPr>
              <w:br/>
            </w:r>
          </w:p>
          <w:p w14:paraId="2D9325FB" w14:textId="77777777" w:rsidR="00BF5BE8" w:rsidRPr="00AB7746" w:rsidRDefault="00BF5BE8" w:rsidP="00EF521E">
            <w:pPr>
              <w:pStyle w:val="NormalWeb"/>
              <w:numPr>
                <w:ilvl w:val="0"/>
                <w:numId w:val="244"/>
              </w:numPr>
              <w:spacing w:before="40" w:after="0" w:afterAutospacing="0"/>
              <w:jc w:val="both"/>
              <w:rPr>
                <w:rFonts w:asciiTheme="minorHAnsi" w:hAnsiTheme="minorHAnsi"/>
                <w:color w:val="009889" w:themeColor="accent2"/>
                <w:sz w:val="20"/>
                <w:szCs w:val="20"/>
                <w:lang w:val="en-GB"/>
              </w:rPr>
            </w:pPr>
            <w:r w:rsidRPr="00AB7746">
              <w:rPr>
                <w:rFonts w:asciiTheme="minorHAnsi" w:hAnsiTheme="minorHAnsi"/>
                <w:color w:val="009889" w:themeColor="accent2"/>
                <w:sz w:val="20"/>
                <w:szCs w:val="20"/>
                <w:lang w:val="en-GB"/>
              </w:rPr>
              <w:t>An organization is calculating its greenhouse gas emissions from purchased goods. It does not have access to supplier-specific emission data. Which data collection approach is most appropriate?</w:t>
            </w:r>
          </w:p>
          <w:p w14:paraId="0124D8BE" w14:textId="77777777" w:rsidR="00BF5BE8" w:rsidRPr="00AB7746" w:rsidRDefault="00BF5BE8" w:rsidP="00290AAA">
            <w:pPr>
              <w:pStyle w:val="NormalWeb"/>
              <w:numPr>
                <w:ilvl w:val="0"/>
                <w:numId w:val="246"/>
              </w:numPr>
              <w:spacing w:before="0" w:beforeAutospacing="0" w:after="40"/>
              <w:jc w:val="both"/>
              <w:rPr>
                <w:rFonts w:asciiTheme="minorHAnsi" w:hAnsiTheme="minorHAnsi"/>
                <w:sz w:val="20"/>
                <w:szCs w:val="20"/>
                <w:lang w:val="en-GB"/>
              </w:rPr>
            </w:pPr>
            <w:r w:rsidRPr="00AB7746">
              <w:rPr>
                <w:rFonts w:asciiTheme="minorHAnsi" w:hAnsiTheme="minorHAnsi"/>
                <w:sz w:val="20"/>
                <w:szCs w:val="20"/>
                <w:lang w:val="en-GB"/>
              </w:rPr>
              <w:t>IT-system usage data from internal accounting system</w:t>
            </w:r>
          </w:p>
          <w:p w14:paraId="7D9B9A3B" w14:textId="77777777" w:rsidR="00BF5BE8" w:rsidRPr="00AB7746" w:rsidRDefault="00BF5BE8" w:rsidP="00EF521E">
            <w:pPr>
              <w:pStyle w:val="NormalWeb"/>
              <w:numPr>
                <w:ilvl w:val="0"/>
                <w:numId w:val="246"/>
              </w:numPr>
              <w:spacing w:before="40" w:after="40"/>
              <w:jc w:val="both"/>
              <w:rPr>
                <w:rFonts w:asciiTheme="minorHAnsi" w:hAnsiTheme="minorHAnsi"/>
                <w:sz w:val="20"/>
                <w:szCs w:val="20"/>
                <w:lang w:val="en-GB"/>
              </w:rPr>
            </w:pPr>
            <w:r w:rsidRPr="00AB7746">
              <w:rPr>
                <w:rFonts w:asciiTheme="minorHAnsi" w:hAnsiTheme="minorHAnsi"/>
                <w:sz w:val="20"/>
                <w:szCs w:val="20"/>
                <w:lang w:val="en-GB"/>
              </w:rPr>
              <w:t>Secondary data — applying published emission factors to activity data</w:t>
            </w:r>
          </w:p>
          <w:p w14:paraId="5578C5E4" w14:textId="77777777" w:rsidR="00BF5BE8" w:rsidRPr="00AB7746" w:rsidRDefault="00BF5BE8" w:rsidP="00EF521E">
            <w:pPr>
              <w:pStyle w:val="NormalWeb"/>
              <w:numPr>
                <w:ilvl w:val="0"/>
                <w:numId w:val="246"/>
              </w:numPr>
              <w:spacing w:before="40" w:after="40"/>
              <w:jc w:val="both"/>
              <w:rPr>
                <w:rFonts w:asciiTheme="minorHAnsi" w:hAnsiTheme="minorHAnsi"/>
                <w:sz w:val="20"/>
                <w:szCs w:val="20"/>
                <w:lang w:val="en-GB"/>
              </w:rPr>
            </w:pPr>
            <w:r w:rsidRPr="00AB7746">
              <w:rPr>
                <w:rFonts w:asciiTheme="minorHAnsi" w:hAnsiTheme="minorHAnsi"/>
                <w:sz w:val="20"/>
                <w:szCs w:val="20"/>
                <w:lang w:val="en-GB"/>
              </w:rPr>
              <w:t>Observation of supplier production facilities</w:t>
            </w:r>
          </w:p>
          <w:p w14:paraId="154C95F8" w14:textId="77777777" w:rsidR="00BF5BE8" w:rsidRPr="00AB7746" w:rsidRDefault="00BF5BE8" w:rsidP="00EF521E">
            <w:pPr>
              <w:pStyle w:val="NormalWeb"/>
              <w:numPr>
                <w:ilvl w:val="0"/>
                <w:numId w:val="246"/>
              </w:numPr>
              <w:spacing w:before="40" w:after="40"/>
              <w:jc w:val="both"/>
              <w:rPr>
                <w:rFonts w:asciiTheme="minorHAnsi" w:hAnsiTheme="minorHAnsi"/>
                <w:sz w:val="20"/>
                <w:szCs w:val="20"/>
                <w:lang w:val="en-GB"/>
              </w:rPr>
            </w:pPr>
            <w:r w:rsidRPr="00AB7746">
              <w:rPr>
                <w:rFonts w:asciiTheme="minorHAnsi" w:hAnsiTheme="minorHAnsi"/>
                <w:sz w:val="20"/>
                <w:szCs w:val="20"/>
                <w:lang w:val="en-GB"/>
              </w:rPr>
              <w:t>Experiment — running a pilot to measure emissions directly</w:t>
            </w:r>
            <w:r w:rsidRPr="00AB7746">
              <w:rPr>
                <w:sz w:val="20"/>
                <w:szCs w:val="20"/>
                <w:lang w:val="en-GB"/>
              </w:rPr>
              <w:br/>
            </w:r>
          </w:p>
          <w:p w14:paraId="36221247" w14:textId="77777777" w:rsidR="00BF5BE8" w:rsidRPr="00AB7746" w:rsidRDefault="00BF5BE8" w:rsidP="00CD130A">
            <w:pPr>
              <w:pStyle w:val="NormalWeb"/>
              <w:spacing w:before="40" w:after="40"/>
              <w:rPr>
                <w:rFonts w:asciiTheme="minorHAnsi" w:hAnsiTheme="minorHAnsi"/>
                <w:i/>
                <w:iCs/>
                <w:sz w:val="20"/>
                <w:szCs w:val="20"/>
                <w:lang w:val="en-GB"/>
              </w:rPr>
            </w:pPr>
            <w:r w:rsidRPr="00AB7746">
              <w:rPr>
                <w:rFonts w:asciiTheme="minorHAnsi" w:hAnsiTheme="minorHAnsi"/>
                <w:i/>
                <w:iCs/>
                <w:sz w:val="20"/>
                <w:szCs w:val="20"/>
                <w:lang w:val="en-GB"/>
              </w:rPr>
              <w:t>Answer key: 1) b; 2) False; 3) b</w:t>
            </w:r>
          </w:p>
        </w:tc>
      </w:tr>
    </w:tbl>
    <w:p w14:paraId="5D773127" w14:textId="77777777" w:rsidR="00EF521E" w:rsidRDefault="00EF521E">
      <w:r>
        <w:lastRenderedPageBreak/>
        <w:br w:type="page"/>
      </w:r>
    </w:p>
    <w:tbl>
      <w:tblPr>
        <w:tblStyle w:val="TableGrid"/>
        <w:tblW w:w="9854" w:type="dxa"/>
        <w:tblLook w:val="04A0" w:firstRow="1" w:lastRow="0" w:firstColumn="1" w:lastColumn="0" w:noHBand="0" w:noVBand="1"/>
      </w:tblPr>
      <w:tblGrid>
        <w:gridCol w:w="9854"/>
      </w:tblGrid>
      <w:tr w:rsidR="00EF521E" w:rsidRPr="00EF521E" w14:paraId="312295BD" w14:textId="77777777" w:rsidTr="00151A55">
        <w:trPr>
          <w:trHeight w:val="300"/>
        </w:trPr>
        <w:tc>
          <w:tcPr>
            <w:tcW w:w="9854" w:type="dxa"/>
          </w:tcPr>
          <w:p w14:paraId="77025FD0" w14:textId="0831C188" w:rsidR="00EF521E" w:rsidRPr="00EF521E" w:rsidRDefault="00EF521E" w:rsidP="00EF521E">
            <w:pPr>
              <w:pStyle w:val="Heading2"/>
              <w:numPr>
                <w:ilvl w:val="0"/>
                <w:numId w:val="0"/>
              </w:numPr>
              <w:rPr>
                <w:b/>
              </w:rPr>
            </w:pPr>
            <w:bookmarkStart w:id="41" w:name="_Toc227485170"/>
            <w:r w:rsidRPr="00EF521E">
              <w:rPr>
                <w:b/>
              </w:rPr>
              <w:lastRenderedPageBreak/>
              <w:t xml:space="preserve">TOPIC 2.3: </w:t>
            </w:r>
            <w:r w:rsidRPr="00EF521E">
              <w:t>Data Quality Assurance and Validation</w:t>
            </w:r>
            <w:bookmarkEnd w:id="41"/>
          </w:p>
        </w:tc>
      </w:tr>
      <w:tr w:rsidR="00EF521E" w:rsidRPr="00EF521E" w14:paraId="4878AF43" w14:textId="77777777" w:rsidTr="00151A55">
        <w:trPr>
          <w:trHeight w:val="300"/>
        </w:trPr>
        <w:tc>
          <w:tcPr>
            <w:tcW w:w="9854" w:type="dxa"/>
            <w:shd w:val="clear" w:color="auto" w:fill="D9D9D9" w:themeFill="background1" w:themeFillShade="D9"/>
          </w:tcPr>
          <w:p w14:paraId="351A2E8D" w14:textId="4C98423B" w:rsidR="00EF521E" w:rsidRPr="00900767" w:rsidRDefault="00EF521E" w:rsidP="00EF521E">
            <w:pPr>
              <w:pStyle w:val="NormalWeb"/>
              <w:spacing w:before="40" w:beforeAutospacing="0" w:after="40" w:afterAutospacing="0"/>
              <w:rPr>
                <w:rFonts w:asciiTheme="minorHAnsi" w:hAnsiTheme="minorHAnsi"/>
                <w:b/>
                <w:color w:val="282B35" w:themeColor="text2"/>
                <w:sz w:val="20"/>
                <w:szCs w:val="20"/>
                <w:lang w:val="en-GB"/>
              </w:rPr>
            </w:pPr>
            <w:r w:rsidRPr="00900767">
              <w:rPr>
                <w:rFonts w:asciiTheme="minorHAnsi" w:hAnsiTheme="minorHAnsi"/>
                <w:b/>
                <w:color w:val="282B35" w:themeColor="text2"/>
                <w:sz w:val="20"/>
                <w:szCs w:val="20"/>
                <w:lang w:val="en-GB"/>
              </w:rPr>
              <w:t>Short introduction:</w:t>
            </w:r>
          </w:p>
        </w:tc>
      </w:tr>
      <w:tr w:rsidR="00EF521E" w:rsidRPr="00EF521E" w14:paraId="7451B32F" w14:textId="77777777" w:rsidTr="00151A55">
        <w:trPr>
          <w:trHeight w:val="300"/>
        </w:trPr>
        <w:tc>
          <w:tcPr>
            <w:tcW w:w="9854" w:type="dxa"/>
          </w:tcPr>
          <w:p w14:paraId="045CB9D4" w14:textId="1EA05322" w:rsidR="00EF521E" w:rsidRPr="00900767" w:rsidRDefault="00EF521E" w:rsidP="00E661A9">
            <w:pPr>
              <w:pStyle w:val="NormalWeb"/>
              <w:spacing w:before="40" w:beforeAutospacing="0" w:after="40" w:afterAutospacing="0"/>
              <w:jc w:val="both"/>
              <w:rPr>
                <w:rFonts w:asciiTheme="minorHAnsi" w:hAnsiTheme="minorHAnsi"/>
                <w:sz w:val="20"/>
                <w:szCs w:val="20"/>
                <w:lang w:val="en-GB"/>
              </w:rPr>
            </w:pPr>
            <w:r w:rsidRPr="00900767">
              <w:rPr>
                <w:rFonts w:asciiTheme="minorHAnsi" w:hAnsiTheme="minorHAnsi"/>
                <w:sz w:val="20"/>
                <w:szCs w:val="20"/>
                <w:lang w:val="en-GB"/>
              </w:rPr>
              <w:t>Data quality assurance is the systematic process of confirming that data is accurate, complete, consistent, and fit for its intended purpose. Without robust validation and cleaning practices, even the most sophisticated analyses will produce unreliable results.</w:t>
            </w:r>
          </w:p>
        </w:tc>
      </w:tr>
      <w:tr w:rsidR="00EF521E" w:rsidRPr="00EF521E" w14:paraId="6E304B42" w14:textId="77777777" w:rsidTr="00151A55">
        <w:trPr>
          <w:trHeight w:val="300"/>
        </w:trPr>
        <w:tc>
          <w:tcPr>
            <w:tcW w:w="9854" w:type="dxa"/>
            <w:shd w:val="clear" w:color="auto" w:fill="D9D9D9" w:themeFill="background1" w:themeFillShade="D9"/>
          </w:tcPr>
          <w:p w14:paraId="6E7A8AEB" w14:textId="63CCDFD9" w:rsidR="00EF521E" w:rsidRPr="00EF521E" w:rsidRDefault="00EF521E" w:rsidP="00EF521E">
            <w:pPr>
              <w:pStyle w:val="NormalWeb"/>
              <w:spacing w:before="40" w:beforeAutospacing="0" w:after="40" w:afterAutospacing="0"/>
              <w:rPr>
                <w:rFonts w:asciiTheme="minorHAnsi" w:hAnsiTheme="minorHAnsi"/>
                <w:b/>
                <w:color w:val="282B35" w:themeColor="text2"/>
                <w:sz w:val="22"/>
                <w:szCs w:val="22"/>
                <w:lang w:val="en-GB"/>
              </w:rPr>
            </w:pPr>
            <w:r w:rsidRPr="00EF521E">
              <w:rPr>
                <w:rFonts w:asciiTheme="minorHAnsi" w:hAnsiTheme="minorHAnsi"/>
                <w:b/>
                <w:color w:val="282B35" w:themeColor="text2"/>
                <w:sz w:val="22"/>
                <w:szCs w:val="22"/>
                <w:lang w:val="en-GB"/>
              </w:rPr>
              <w:t xml:space="preserve">Theory &amp; Knowledge: </w:t>
            </w:r>
          </w:p>
        </w:tc>
      </w:tr>
      <w:tr w:rsidR="00BF5BE8" w:rsidRPr="00EF521E" w14:paraId="7E6CBE43" w14:textId="77777777" w:rsidTr="00151A55">
        <w:trPr>
          <w:trHeight w:val="300"/>
        </w:trPr>
        <w:tc>
          <w:tcPr>
            <w:tcW w:w="9854" w:type="dxa"/>
          </w:tcPr>
          <w:p w14:paraId="52680C8D" w14:textId="77777777" w:rsidR="00BF5BE8" w:rsidRPr="00900767" w:rsidRDefault="00BF5BE8" w:rsidP="00CD130A">
            <w:pPr>
              <w:pStyle w:val="NormalWeb"/>
              <w:spacing w:before="40" w:beforeAutospacing="0" w:after="40" w:afterAutospacing="0"/>
              <w:rPr>
                <w:rFonts w:asciiTheme="minorHAnsi" w:hAnsiTheme="minorHAnsi"/>
                <w:b/>
                <w:color w:val="009889" w:themeColor="accent2"/>
                <w:sz w:val="20"/>
                <w:szCs w:val="20"/>
                <w:lang w:val="en-GB"/>
              </w:rPr>
            </w:pPr>
            <w:r w:rsidRPr="00900767">
              <w:rPr>
                <w:rFonts w:asciiTheme="minorHAnsi" w:hAnsiTheme="minorHAnsi"/>
                <w:b/>
                <w:color w:val="009889" w:themeColor="accent2"/>
                <w:sz w:val="20"/>
                <w:szCs w:val="20"/>
                <w:lang w:val="en-GB"/>
              </w:rPr>
              <w:t>Data Quality Dimensions</w:t>
            </w:r>
          </w:p>
          <w:p w14:paraId="7CB64E11" w14:textId="77777777" w:rsidR="00BF5BE8" w:rsidRPr="00900767" w:rsidRDefault="00BF5BE8" w:rsidP="00E661A9">
            <w:pPr>
              <w:spacing w:before="60" w:after="120"/>
              <w:jc w:val="both"/>
              <w:rPr>
                <w:szCs w:val="20"/>
              </w:rPr>
            </w:pPr>
            <w:r w:rsidRPr="00900767">
              <w:rPr>
                <w:szCs w:val="20"/>
              </w:rPr>
              <w:t xml:space="preserve">Data quality is multidimensional. The DAMA-DMBOK defines six core dimensions, each of which has specific implications for sustainability reporting (see Figure 1). </w:t>
            </w:r>
          </w:p>
          <w:p w14:paraId="69D674F5" w14:textId="77777777" w:rsidR="005755BD" w:rsidRDefault="00BF5BE8" w:rsidP="005755BD">
            <w:pPr>
              <w:keepNext/>
              <w:spacing w:before="60" w:after="120"/>
              <w:jc w:val="center"/>
            </w:pPr>
            <w:r w:rsidRPr="00EF521E">
              <w:rPr>
                <w:noProof/>
                <w:sz w:val="22"/>
                <w:szCs w:val="22"/>
              </w:rPr>
              <w:drawing>
                <wp:inline distT="0" distB="0" distL="0" distR="0" wp14:anchorId="745B852D" wp14:editId="7611164A">
                  <wp:extent cx="6120130" cy="3801110"/>
                  <wp:effectExtent l="0" t="0" r="0" b="889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8" name=""/>
                          <pic:cNvPicPr>
                            <a:picLocks noChangeAspect="1"/>
                          </pic:cNvPicPr>
                        </pic:nvPicPr>
                        <pic:blipFill>
                          <a:blip r:embed="rId67"/>
                          <a:stretch/>
                        </pic:blipFill>
                        <pic:spPr bwMode="auto">
                          <a:xfrm>
                            <a:off x="0" y="0"/>
                            <a:ext cx="6120130" cy="3801110"/>
                          </a:xfrm>
                          <a:prstGeom prst="rect">
                            <a:avLst/>
                          </a:prstGeom>
                        </pic:spPr>
                      </pic:pic>
                    </a:graphicData>
                  </a:graphic>
                </wp:inline>
              </w:drawing>
            </w:r>
          </w:p>
          <w:p w14:paraId="78DDE200" w14:textId="129490DB" w:rsidR="00BF5BE8" w:rsidRPr="005755BD" w:rsidRDefault="005755BD" w:rsidP="005755BD">
            <w:pPr>
              <w:pStyle w:val="Caption"/>
              <w:jc w:val="center"/>
              <w:rPr>
                <w:sz w:val="22"/>
                <w:szCs w:val="22"/>
              </w:rPr>
            </w:pPr>
            <w:bookmarkStart w:id="42" w:name="_Toc227486391"/>
            <w:r>
              <w:t xml:space="preserve">Figure </w:t>
            </w:r>
            <w:r>
              <w:fldChar w:fldCharType="begin"/>
            </w:r>
            <w:r>
              <w:instrText xml:space="preserve"> SEQ Figure \* ARABIC </w:instrText>
            </w:r>
            <w:r>
              <w:fldChar w:fldCharType="separate"/>
            </w:r>
            <w:r w:rsidR="00D135B0">
              <w:rPr>
                <w:noProof/>
              </w:rPr>
              <w:t>13</w:t>
            </w:r>
            <w:r>
              <w:fldChar w:fldCharType="end"/>
            </w:r>
            <w:r>
              <w:t xml:space="preserve">. </w:t>
            </w:r>
            <w:r w:rsidRPr="00EE083F">
              <w:t>Data quality core dimensions (Image source</w:t>
            </w:r>
            <w:hyperlink r:id="rId68" w:history="1">
              <w:r w:rsidRPr="005755BD">
                <w:rPr>
                  <w:rStyle w:val="Hyperlink"/>
                  <w:color w:val="009889" w:themeColor="accent2"/>
                </w:rPr>
                <w:t>: Clever Republic</w:t>
              </w:r>
            </w:hyperlink>
            <w:r w:rsidRPr="005755BD">
              <w:t>)</w:t>
            </w:r>
            <w:bookmarkEnd w:id="42"/>
          </w:p>
          <w:p w14:paraId="733415B4" w14:textId="14FB529B" w:rsidR="00BF5BE8" w:rsidRPr="00EF521E" w:rsidRDefault="005755BD" w:rsidP="00CD130A">
            <w:pPr>
              <w:spacing w:before="60" w:after="120"/>
              <w:jc w:val="center"/>
              <w:rPr>
                <w:color w:val="009889" w:themeColor="accent2"/>
                <w:szCs w:val="20"/>
              </w:rPr>
            </w:pPr>
            <w:r>
              <w:rPr>
                <w:color w:val="009889" w:themeColor="accent2"/>
                <w:szCs w:val="20"/>
              </w:rPr>
              <w:t xml:space="preserve"> </w:t>
            </w:r>
          </w:p>
          <w:p w14:paraId="79639234" w14:textId="07A211C7" w:rsidR="00BF5BE8" w:rsidRPr="00900767" w:rsidRDefault="00BF5BE8" w:rsidP="00CD130A">
            <w:pPr>
              <w:spacing w:before="60" w:after="120"/>
              <w:rPr>
                <w:i/>
                <w:iCs/>
                <w:szCs w:val="20"/>
              </w:rPr>
            </w:pPr>
            <w:r w:rsidRPr="00900767">
              <w:rPr>
                <w:i/>
                <w:iCs/>
                <w:szCs w:val="20"/>
              </w:rPr>
              <w:t>Image description: The image shows the six core data quality dimensions with icons for each of them.</w:t>
            </w:r>
          </w:p>
          <w:p w14:paraId="48C8DF41" w14:textId="6076B49C" w:rsidR="00BF5BE8" w:rsidRPr="00957ED1" w:rsidRDefault="00BF5BE8" w:rsidP="00957ED1">
            <w:pPr>
              <w:spacing w:before="60" w:after="120"/>
              <w:rPr>
                <w:szCs w:val="20"/>
              </w:rPr>
            </w:pPr>
            <w:r w:rsidRPr="00900767">
              <w:rPr>
                <w:szCs w:val="20"/>
              </w:rPr>
              <w:t xml:space="preserve">In Table </w:t>
            </w:r>
            <w:r w:rsidR="00EF521E" w:rsidRPr="00900767">
              <w:rPr>
                <w:szCs w:val="20"/>
              </w:rPr>
              <w:t>7</w:t>
            </w:r>
            <w:r w:rsidRPr="00900767">
              <w:rPr>
                <w:szCs w:val="20"/>
              </w:rPr>
              <w:t>, the six core data quality dimensions are defined and examples provided.</w:t>
            </w:r>
          </w:p>
          <w:p w14:paraId="1B433F1F" w14:textId="2D43E02E" w:rsidR="005755BD" w:rsidRDefault="00957ED1" w:rsidP="005755BD">
            <w:pPr>
              <w:pStyle w:val="Caption"/>
              <w:keepNext/>
            </w:pPr>
            <w:r>
              <w:t xml:space="preserve"> </w:t>
            </w:r>
          </w:p>
          <w:p w14:paraId="45329D3C" w14:textId="4DC844DF" w:rsidR="00957ED1" w:rsidRPr="00957ED1" w:rsidRDefault="00957ED1" w:rsidP="00957ED1">
            <w:pPr>
              <w:pStyle w:val="Caption"/>
              <w:keepNext/>
              <w:rPr>
                <w:b w:val="0"/>
                <w:bCs w:val="0"/>
              </w:rPr>
            </w:pPr>
            <w:bookmarkStart w:id="43" w:name="_Toc227739601"/>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7</w:t>
            </w:r>
            <w:r w:rsidRPr="00957ED1">
              <w:rPr>
                <w:b w:val="0"/>
                <w:bCs w:val="0"/>
              </w:rPr>
              <w:fldChar w:fldCharType="end"/>
            </w:r>
            <w:r w:rsidRPr="00957ED1">
              <w:rPr>
                <w:b w:val="0"/>
                <w:bCs w:val="0"/>
              </w:rPr>
              <w:t>. Six Core Data Quality Dimensions – Definitions, Examples and Failure Causes (source: Author)</w:t>
            </w:r>
            <w:bookmarkEnd w:id="43"/>
          </w:p>
          <w:tbl>
            <w:tblPr>
              <w:tblStyle w:val="GridTable1Light"/>
              <w:tblW w:w="0" w:type="auto"/>
              <w:tblLook w:val="0000" w:firstRow="0" w:lastRow="0" w:firstColumn="0" w:lastColumn="0" w:noHBand="0" w:noVBand="0"/>
            </w:tblPr>
            <w:tblGrid>
              <w:gridCol w:w="1671"/>
              <w:gridCol w:w="2203"/>
              <w:gridCol w:w="2656"/>
              <w:gridCol w:w="3098"/>
            </w:tblGrid>
            <w:tr w:rsidR="00BF5BE8" w:rsidRPr="00900767" w14:paraId="4CB00372" w14:textId="77777777" w:rsidTr="005507F0">
              <w:trPr>
                <w:cnfStyle w:val="000000100000" w:firstRow="0" w:lastRow="0" w:firstColumn="0" w:lastColumn="0" w:oddVBand="0" w:evenVBand="0" w:oddHBand="1" w:evenHBand="0" w:firstRowFirstColumn="0" w:firstRowLastColumn="0" w:lastRowFirstColumn="0" w:lastRowLastColumn="0"/>
              </w:trPr>
              <w:tc>
                <w:tcPr>
                  <w:tcW w:w="0" w:type="auto"/>
                </w:tcPr>
                <w:p w14:paraId="5D29A025" w14:textId="77777777" w:rsidR="00BF5BE8" w:rsidRPr="00900767" w:rsidRDefault="00BF5BE8" w:rsidP="00CD130A">
                  <w:pPr>
                    <w:rPr>
                      <w:szCs w:val="20"/>
                    </w:rPr>
                  </w:pPr>
                  <w:r w:rsidRPr="00900767">
                    <w:rPr>
                      <w:rFonts w:asciiTheme="minorHAnsi" w:hAnsiTheme="minorHAnsi"/>
                      <w:b/>
                      <w:color w:val="auto"/>
                      <w:szCs w:val="20"/>
                    </w:rPr>
                    <w:t>Dimension</w:t>
                  </w:r>
                </w:p>
              </w:tc>
              <w:tc>
                <w:tcPr>
                  <w:tcW w:w="0" w:type="auto"/>
                </w:tcPr>
                <w:p w14:paraId="20F19BFC" w14:textId="77777777" w:rsidR="00BF5BE8" w:rsidRPr="00900767" w:rsidRDefault="00BF5BE8" w:rsidP="00CD130A">
                  <w:pPr>
                    <w:rPr>
                      <w:szCs w:val="20"/>
                    </w:rPr>
                  </w:pPr>
                  <w:r w:rsidRPr="00900767">
                    <w:rPr>
                      <w:rFonts w:asciiTheme="minorHAnsi" w:hAnsiTheme="minorHAnsi"/>
                      <w:b/>
                      <w:color w:val="auto"/>
                      <w:szCs w:val="20"/>
                    </w:rPr>
                    <w:t>Definition</w:t>
                  </w:r>
                </w:p>
              </w:tc>
              <w:tc>
                <w:tcPr>
                  <w:tcW w:w="0" w:type="auto"/>
                </w:tcPr>
                <w:p w14:paraId="6FF9E5A4" w14:textId="77777777" w:rsidR="00BF5BE8" w:rsidRPr="00900767" w:rsidRDefault="00BF5BE8" w:rsidP="00CD130A">
                  <w:pPr>
                    <w:rPr>
                      <w:szCs w:val="20"/>
                    </w:rPr>
                  </w:pPr>
                  <w:r w:rsidRPr="00900767">
                    <w:rPr>
                      <w:rFonts w:asciiTheme="minorHAnsi" w:hAnsiTheme="minorHAnsi"/>
                      <w:b/>
                      <w:color w:val="auto"/>
                      <w:szCs w:val="20"/>
                    </w:rPr>
                    <w:t>Sustainability Example</w:t>
                  </w:r>
                </w:p>
              </w:tc>
              <w:tc>
                <w:tcPr>
                  <w:tcW w:w="0" w:type="auto"/>
                </w:tcPr>
                <w:p w14:paraId="60EBAF46" w14:textId="77777777" w:rsidR="00BF5BE8" w:rsidRPr="00900767" w:rsidRDefault="00BF5BE8" w:rsidP="00CD130A">
                  <w:pPr>
                    <w:rPr>
                      <w:szCs w:val="20"/>
                    </w:rPr>
                  </w:pPr>
                  <w:r w:rsidRPr="00900767">
                    <w:rPr>
                      <w:rFonts w:asciiTheme="minorHAnsi" w:hAnsiTheme="minorHAnsi"/>
                      <w:b/>
                      <w:color w:val="auto"/>
                      <w:szCs w:val="20"/>
                    </w:rPr>
                    <w:t>Possible Failure Cause</w:t>
                  </w:r>
                </w:p>
              </w:tc>
            </w:tr>
            <w:tr w:rsidR="00BF5BE8" w:rsidRPr="00900767" w14:paraId="52605386" w14:textId="77777777" w:rsidTr="005507F0">
              <w:tc>
                <w:tcPr>
                  <w:tcW w:w="0" w:type="auto"/>
                </w:tcPr>
                <w:p w14:paraId="1780FF4A" w14:textId="77777777" w:rsidR="00BF5BE8" w:rsidRPr="00900767" w:rsidRDefault="00BF5BE8" w:rsidP="00CD130A">
                  <w:pPr>
                    <w:rPr>
                      <w:szCs w:val="20"/>
                    </w:rPr>
                  </w:pPr>
                  <w:r w:rsidRPr="00900767">
                    <w:rPr>
                      <w:szCs w:val="20"/>
                    </w:rPr>
                    <w:t>Accuracy</w:t>
                  </w:r>
                </w:p>
              </w:tc>
              <w:tc>
                <w:tcPr>
                  <w:tcW w:w="0" w:type="auto"/>
                </w:tcPr>
                <w:p w14:paraId="4ACE6950" w14:textId="77777777" w:rsidR="00BF5BE8" w:rsidRPr="00900767" w:rsidRDefault="00BF5BE8" w:rsidP="00CD130A">
                  <w:pPr>
                    <w:rPr>
                      <w:szCs w:val="20"/>
                    </w:rPr>
                  </w:pPr>
                  <w:r w:rsidRPr="00900767">
                    <w:rPr>
                      <w:szCs w:val="20"/>
                    </w:rPr>
                    <w:t>Correctly reflects the real-world value</w:t>
                  </w:r>
                </w:p>
              </w:tc>
              <w:tc>
                <w:tcPr>
                  <w:tcW w:w="0" w:type="auto"/>
                </w:tcPr>
                <w:p w14:paraId="6BAAFB13" w14:textId="77777777" w:rsidR="00BF5BE8" w:rsidRPr="00900767" w:rsidRDefault="00BF5BE8" w:rsidP="00CD130A">
                  <w:pPr>
                    <w:rPr>
                      <w:szCs w:val="20"/>
                    </w:rPr>
                  </w:pPr>
                  <w:r w:rsidRPr="00900767">
                    <w:rPr>
                      <w:szCs w:val="20"/>
                    </w:rPr>
                    <w:t>Energy consumption matches meter readings</w:t>
                  </w:r>
                </w:p>
              </w:tc>
              <w:tc>
                <w:tcPr>
                  <w:tcW w:w="0" w:type="auto"/>
                </w:tcPr>
                <w:p w14:paraId="196F0004" w14:textId="77777777" w:rsidR="00BF5BE8" w:rsidRPr="00900767" w:rsidRDefault="00BF5BE8" w:rsidP="00CD130A">
                  <w:pPr>
                    <w:rPr>
                      <w:szCs w:val="20"/>
                    </w:rPr>
                  </w:pPr>
                  <w:r w:rsidRPr="00900767">
                    <w:rPr>
                      <w:szCs w:val="20"/>
                    </w:rPr>
                    <w:t>Manual transcription errors in invoice processing</w:t>
                  </w:r>
                </w:p>
              </w:tc>
            </w:tr>
            <w:tr w:rsidR="00BF5BE8" w:rsidRPr="00900767" w14:paraId="73ECF51B" w14:textId="77777777" w:rsidTr="005507F0">
              <w:trPr>
                <w:cnfStyle w:val="000000100000" w:firstRow="0" w:lastRow="0" w:firstColumn="0" w:lastColumn="0" w:oddVBand="0" w:evenVBand="0" w:oddHBand="1" w:evenHBand="0" w:firstRowFirstColumn="0" w:firstRowLastColumn="0" w:lastRowFirstColumn="0" w:lastRowLastColumn="0"/>
              </w:trPr>
              <w:tc>
                <w:tcPr>
                  <w:tcW w:w="0" w:type="auto"/>
                </w:tcPr>
                <w:p w14:paraId="54710CC0" w14:textId="77777777" w:rsidR="00BF5BE8" w:rsidRPr="00900767" w:rsidRDefault="00BF5BE8" w:rsidP="00CD130A">
                  <w:pPr>
                    <w:rPr>
                      <w:szCs w:val="20"/>
                    </w:rPr>
                  </w:pPr>
                  <w:r w:rsidRPr="00900767">
                    <w:rPr>
                      <w:rFonts w:asciiTheme="minorHAnsi" w:hAnsiTheme="minorHAnsi"/>
                      <w:szCs w:val="20"/>
                    </w:rPr>
                    <w:t>Completeness</w:t>
                  </w:r>
                </w:p>
              </w:tc>
              <w:tc>
                <w:tcPr>
                  <w:tcW w:w="0" w:type="auto"/>
                </w:tcPr>
                <w:p w14:paraId="1003101F" w14:textId="77777777" w:rsidR="00BF5BE8" w:rsidRPr="00900767" w:rsidRDefault="00BF5BE8" w:rsidP="00CD130A">
                  <w:pPr>
                    <w:rPr>
                      <w:szCs w:val="20"/>
                    </w:rPr>
                  </w:pPr>
                  <w:r w:rsidRPr="00900767">
                    <w:rPr>
                      <w:rFonts w:asciiTheme="minorHAnsi" w:hAnsiTheme="minorHAnsi"/>
                      <w:szCs w:val="20"/>
                    </w:rPr>
                    <w:t>All required data points are present</w:t>
                  </w:r>
                </w:p>
              </w:tc>
              <w:tc>
                <w:tcPr>
                  <w:tcW w:w="0" w:type="auto"/>
                </w:tcPr>
                <w:p w14:paraId="608E3E17" w14:textId="77777777" w:rsidR="00BF5BE8" w:rsidRPr="00900767" w:rsidRDefault="00BF5BE8" w:rsidP="00CD130A">
                  <w:pPr>
                    <w:rPr>
                      <w:szCs w:val="20"/>
                    </w:rPr>
                  </w:pPr>
                  <w:r w:rsidRPr="00900767">
                    <w:rPr>
                      <w:rFonts w:asciiTheme="minorHAnsi" w:hAnsiTheme="minorHAnsi"/>
                      <w:szCs w:val="20"/>
                    </w:rPr>
                    <w:t>All 47 production sites submitted water data</w:t>
                  </w:r>
                </w:p>
              </w:tc>
              <w:tc>
                <w:tcPr>
                  <w:tcW w:w="0" w:type="auto"/>
                </w:tcPr>
                <w:p w14:paraId="4BF0E779" w14:textId="77777777" w:rsidR="00BF5BE8" w:rsidRPr="00900767" w:rsidRDefault="00BF5BE8" w:rsidP="00CD130A">
                  <w:pPr>
                    <w:rPr>
                      <w:szCs w:val="20"/>
                    </w:rPr>
                  </w:pPr>
                  <w:r w:rsidRPr="00900767">
                    <w:rPr>
                      <w:rFonts w:asciiTheme="minorHAnsi" w:hAnsiTheme="minorHAnsi"/>
                      <w:szCs w:val="20"/>
                    </w:rPr>
                    <w:t>Missing data from recently acquired entities</w:t>
                  </w:r>
                </w:p>
              </w:tc>
            </w:tr>
            <w:tr w:rsidR="00BF5BE8" w:rsidRPr="00900767" w14:paraId="4C9666E8" w14:textId="77777777" w:rsidTr="005507F0">
              <w:tc>
                <w:tcPr>
                  <w:tcW w:w="0" w:type="auto"/>
                </w:tcPr>
                <w:p w14:paraId="6483F914" w14:textId="77777777" w:rsidR="00BF5BE8" w:rsidRPr="00900767" w:rsidRDefault="00BF5BE8" w:rsidP="00CD130A">
                  <w:pPr>
                    <w:rPr>
                      <w:szCs w:val="20"/>
                    </w:rPr>
                  </w:pPr>
                  <w:r w:rsidRPr="00900767">
                    <w:rPr>
                      <w:szCs w:val="20"/>
                    </w:rPr>
                    <w:lastRenderedPageBreak/>
                    <w:t>Consistency</w:t>
                  </w:r>
                </w:p>
              </w:tc>
              <w:tc>
                <w:tcPr>
                  <w:tcW w:w="0" w:type="auto"/>
                </w:tcPr>
                <w:p w14:paraId="35F7603D" w14:textId="77777777" w:rsidR="00BF5BE8" w:rsidRPr="00900767" w:rsidRDefault="00BF5BE8" w:rsidP="00CD130A">
                  <w:pPr>
                    <w:rPr>
                      <w:szCs w:val="20"/>
                    </w:rPr>
                  </w:pPr>
                  <w:r w:rsidRPr="00900767">
                    <w:rPr>
                      <w:szCs w:val="20"/>
                    </w:rPr>
                    <w:t>Uniform across systems and time periods</w:t>
                  </w:r>
                </w:p>
              </w:tc>
              <w:tc>
                <w:tcPr>
                  <w:tcW w:w="0" w:type="auto"/>
                </w:tcPr>
                <w:p w14:paraId="6E33D42E" w14:textId="77777777" w:rsidR="00BF5BE8" w:rsidRPr="00900767" w:rsidRDefault="00BF5BE8" w:rsidP="00CD130A">
                  <w:pPr>
                    <w:rPr>
                      <w:szCs w:val="20"/>
                    </w:rPr>
                  </w:pPr>
                  <w:r w:rsidRPr="00900767">
                    <w:rPr>
                      <w:szCs w:val="20"/>
                    </w:rPr>
                    <w:t>Same version of global warming potential values is used.</w:t>
                  </w:r>
                </w:p>
                <w:p w14:paraId="555FE89D" w14:textId="77777777" w:rsidR="00BF5BE8" w:rsidRPr="00900767" w:rsidRDefault="00BF5BE8" w:rsidP="00CD130A">
                  <w:pPr>
                    <w:rPr>
                      <w:szCs w:val="20"/>
                    </w:rPr>
                  </w:pPr>
                </w:p>
              </w:tc>
              <w:tc>
                <w:tcPr>
                  <w:tcW w:w="0" w:type="auto"/>
                </w:tcPr>
                <w:p w14:paraId="5B6BAB45" w14:textId="77777777" w:rsidR="00BF5BE8" w:rsidRPr="00900767" w:rsidRDefault="00BF5BE8" w:rsidP="00CD130A">
                  <w:pPr>
                    <w:rPr>
                      <w:szCs w:val="20"/>
                    </w:rPr>
                  </w:pPr>
                  <w:r w:rsidRPr="00900767">
                    <w:rPr>
                      <w:szCs w:val="20"/>
                    </w:rPr>
                    <w:t>Business units use different versions of global warming potential values.</w:t>
                  </w:r>
                </w:p>
              </w:tc>
            </w:tr>
            <w:tr w:rsidR="00BF5BE8" w:rsidRPr="00900767" w14:paraId="31848B37" w14:textId="77777777" w:rsidTr="005507F0">
              <w:trPr>
                <w:cnfStyle w:val="000000100000" w:firstRow="0" w:lastRow="0" w:firstColumn="0" w:lastColumn="0" w:oddVBand="0" w:evenVBand="0" w:oddHBand="1" w:evenHBand="0" w:firstRowFirstColumn="0" w:firstRowLastColumn="0" w:lastRowFirstColumn="0" w:lastRowLastColumn="0"/>
              </w:trPr>
              <w:tc>
                <w:tcPr>
                  <w:tcW w:w="0" w:type="auto"/>
                </w:tcPr>
                <w:p w14:paraId="40F6C140" w14:textId="77777777" w:rsidR="00BF5BE8" w:rsidRPr="00900767" w:rsidRDefault="00BF5BE8" w:rsidP="00CD130A">
                  <w:pPr>
                    <w:rPr>
                      <w:szCs w:val="20"/>
                    </w:rPr>
                  </w:pPr>
                  <w:r w:rsidRPr="00900767">
                    <w:rPr>
                      <w:rFonts w:asciiTheme="minorHAnsi" w:hAnsiTheme="minorHAnsi"/>
                      <w:szCs w:val="20"/>
                    </w:rPr>
                    <w:t>Timeliness</w:t>
                  </w:r>
                </w:p>
              </w:tc>
              <w:tc>
                <w:tcPr>
                  <w:tcW w:w="0" w:type="auto"/>
                </w:tcPr>
                <w:p w14:paraId="55608E76" w14:textId="77777777" w:rsidR="00BF5BE8" w:rsidRPr="00900767" w:rsidRDefault="00BF5BE8" w:rsidP="00CD130A">
                  <w:pPr>
                    <w:rPr>
                      <w:szCs w:val="20"/>
                    </w:rPr>
                  </w:pPr>
                  <w:r w:rsidRPr="00900767">
                    <w:rPr>
                      <w:rFonts w:asciiTheme="minorHAnsi" w:hAnsiTheme="minorHAnsi"/>
                      <w:szCs w:val="20"/>
                    </w:rPr>
                    <w:t>Data available when needed for reporting</w:t>
                  </w:r>
                </w:p>
              </w:tc>
              <w:tc>
                <w:tcPr>
                  <w:tcW w:w="0" w:type="auto"/>
                </w:tcPr>
                <w:p w14:paraId="74463961" w14:textId="77777777" w:rsidR="00BF5BE8" w:rsidRPr="00900767" w:rsidRDefault="00BF5BE8" w:rsidP="00CD130A">
                  <w:pPr>
                    <w:rPr>
                      <w:szCs w:val="20"/>
                    </w:rPr>
                  </w:pPr>
                  <w:r w:rsidRPr="00900767">
                    <w:rPr>
                      <w:rFonts w:asciiTheme="minorHAnsi" w:hAnsiTheme="minorHAnsi"/>
                      <w:szCs w:val="20"/>
                    </w:rPr>
                    <w:t>Monthly energy consumption data available by the 15th</w:t>
                  </w:r>
                </w:p>
              </w:tc>
              <w:tc>
                <w:tcPr>
                  <w:tcW w:w="0" w:type="auto"/>
                </w:tcPr>
                <w:p w14:paraId="45142963" w14:textId="77777777" w:rsidR="00BF5BE8" w:rsidRPr="00900767" w:rsidRDefault="00BF5BE8" w:rsidP="00CD130A">
                  <w:pPr>
                    <w:rPr>
                      <w:szCs w:val="20"/>
                    </w:rPr>
                  </w:pPr>
                  <w:r w:rsidRPr="00900767">
                    <w:rPr>
                      <w:rFonts w:asciiTheme="minorHAnsi" w:hAnsiTheme="minorHAnsi"/>
                      <w:szCs w:val="20"/>
                    </w:rPr>
                    <w:t>Utility invoices arriving 60+ days late.</w:t>
                  </w:r>
                </w:p>
              </w:tc>
            </w:tr>
            <w:tr w:rsidR="00BF5BE8" w:rsidRPr="00900767" w14:paraId="51439731" w14:textId="77777777" w:rsidTr="005507F0">
              <w:tc>
                <w:tcPr>
                  <w:tcW w:w="0" w:type="auto"/>
                </w:tcPr>
                <w:p w14:paraId="44DD8510" w14:textId="77777777" w:rsidR="00BF5BE8" w:rsidRPr="00900767" w:rsidRDefault="00BF5BE8" w:rsidP="00CD130A">
                  <w:pPr>
                    <w:rPr>
                      <w:szCs w:val="20"/>
                    </w:rPr>
                  </w:pPr>
                  <w:r w:rsidRPr="00900767">
                    <w:rPr>
                      <w:szCs w:val="20"/>
                    </w:rPr>
                    <w:t>Validity</w:t>
                  </w:r>
                </w:p>
              </w:tc>
              <w:tc>
                <w:tcPr>
                  <w:tcW w:w="0" w:type="auto"/>
                </w:tcPr>
                <w:p w14:paraId="0146869E" w14:textId="77777777" w:rsidR="00BF5BE8" w:rsidRPr="00900767" w:rsidRDefault="00BF5BE8" w:rsidP="00CD130A">
                  <w:pPr>
                    <w:rPr>
                      <w:szCs w:val="20"/>
                    </w:rPr>
                  </w:pPr>
                  <w:r w:rsidRPr="00900767">
                    <w:rPr>
                      <w:szCs w:val="20"/>
                    </w:rPr>
                    <w:t>Conforms to defined formats, units and ranges</w:t>
                  </w:r>
                </w:p>
              </w:tc>
              <w:tc>
                <w:tcPr>
                  <w:tcW w:w="0" w:type="auto"/>
                </w:tcPr>
                <w:p w14:paraId="09A6F9AC" w14:textId="77777777" w:rsidR="00BF5BE8" w:rsidRPr="00900767" w:rsidRDefault="00BF5BE8" w:rsidP="00CD130A">
                  <w:pPr>
                    <w:rPr>
                      <w:szCs w:val="20"/>
                    </w:rPr>
                  </w:pPr>
                  <w:r w:rsidRPr="00900767">
                    <w:rPr>
                      <w:szCs w:val="20"/>
                    </w:rPr>
                    <w:t>Natural gas consumption in kWh, not m3.</w:t>
                  </w:r>
                </w:p>
              </w:tc>
              <w:tc>
                <w:tcPr>
                  <w:tcW w:w="0" w:type="auto"/>
                </w:tcPr>
                <w:p w14:paraId="65C4FDA5" w14:textId="77777777" w:rsidR="00BF5BE8" w:rsidRPr="00900767" w:rsidRDefault="00BF5BE8" w:rsidP="00CD130A">
                  <w:pPr>
                    <w:rPr>
                      <w:szCs w:val="20"/>
                    </w:rPr>
                  </w:pPr>
                  <w:r w:rsidRPr="00900767">
                    <w:rPr>
                      <w:szCs w:val="20"/>
                    </w:rPr>
                    <w:t>Invoice has data as m3 and data entry clerk enters that value, not the kWh value.</w:t>
                  </w:r>
                </w:p>
              </w:tc>
            </w:tr>
            <w:tr w:rsidR="00BF5BE8" w:rsidRPr="00900767" w14:paraId="6DE80F12" w14:textId="77777777" w:rsidTr="005507F0">
              <w:trPr>
                <w:cnfStyle w:val="000000100000" w:firstRow="0" w:lastRow="0" w:firstColumn="0" w:lastColumn="0" w:oddVBand="0" w:evenVBand="0" w:oddHBand="1" w:evenHBand="0" w:firstRowFirstColumn="0" w:firstRowLastColumn="0" w:lastRowFirstColumn="0" w:lastRowLastColumn="0"/>
              </w:trPr>
              <w:tc>
                <w:tcPr>
                  <w:tcW w:w="0" w:type="auto"/>
                </w:tcPr>
                <w:p w14:paraId="290C18B4" w14:textId="77777777" w:rsidR="00BF5BE8" w:rsidRPr="00900767" w:rsidRDefault="00BF5BE8" w:rsidP="00CD130A">
                  <w:pPr>
                    <w:rPr>
                      <w:szCs w:val="20"/>
                    </w:rPr>
                  </w:pPr>
                  <w:r w:rsidRPr="00900767">
                    <w:rPr>
                      <w:rFonts w:asciiTheme="minorHAnsi" w:hAnsiTheme="minorHAnsi"/>
                      <w:szCs w:val="20"/>
                    </w:rPr>
                    <w:t>Uniqueness</w:t>
                  </w:r>
                </w:p>
              </w:tc>
              <w:tc>
                <w:tcPr>
                  <w:tcW w:w="0" w:type="auto"/>
                </w:tcPr>
                <w:p w14:paraId="501C8C6E" w14:textId="77777777" w:rsidR="00BF5BE8" w:rsidRPr="00900767" w:rsidRDefault="00BF5BE8" w:rsidP="00CD130A">
                  <w:pPr>
                    <w:rPr>
                      <w:szCs w:val="20"/>
                    </w:rPr>
                  </w:pPr>
                  <w:r w:rsidRPr="00900767">
                    <w:rPr>
                      <w:rFonts w:asciiTheme="minorHAnsi" w:hAnsiTheme="minorHAnsi"/>
                      <w:szCs w:val="20"/>
                    </w:rPr>
                    <w:t>No unintended duplicates</w:t>
                  </w:r>
                </w:p>
              </w:tc>
              <w:tc>
                <w:tcPr>
                  <w:tcW w:w="0" w:type="auto"/>
                </w:tcPr>
                <w:p w14:paraId="72442609" w14:textId="77777777" w:rsidR="00BF5BE8" w:rsidRPr="00900767" w:rsidRDefault="00BF5BE8" w:rsidP="00CD130A">
                  <w:pPr>
                    <w:rPr>
                      <w:szCs w:val="20"/>
                    </w:rPr>
                  </w:pPr>
                  <w:r w:rsidRPr="00900767">
                    <w:rPr>
                      <w:rFonts w:asciiTheme="minorHAnsi" w:hAnsiTheme="minorHAnsi"/>
                      <w:szCs w:val="20"/>
                    </w:rPr>
                    <w:t>Each facility appears once in reporting boundary</w:t>
                  </w:r>
                </w:p>
              </w:tc>
              <w:tc>
                <w:tcPr>
                  <w:tcW w:w="0" w:type="auto"/>
                </w:tcPr>
                <w:p w14:paraId="3B740B73" w14:textId="77777777" w:rsidR="00BF5BE8" w:rsidRPr="00900767" w:rsidRDefault="00BF5BE8" w:rsidP="00CD130A">
                  <w:pPr>
                    <w:rPr>
                      <w:szCs w:val="20"/>
                    </w:rPr>
                  </w:pPr>
                  <w:r w:rsidRPr="00900767">
                    <w:rPr>
                      <w:rFonts w:asciiTheme="minorHAnsi" w:hAnsiTheme="minorHAnsi"/>
                      <w:szCs w:val="20"/>
                    </w:rPr>
                    <w:t>Merging of companies causes the duplication of facility IDs.</w:t>
                  </w:r>
                </w:p>
              </w:tc>
            </w:tr>
          </w:tbl>
          <w:p w14:paraId="7A970CA3" w14:textId="77777777" w:rsidR="00BF5BE8" w:rsidRPr="00EF521E" w:rsidRDefault="00BF5BE8" w:rsidP="00CD130A">
            <w:pPr>
              <w:pStyle w:val="NormalWeb"/>
              <w:spacing w:before="40" w:beforeAutospacing="0" w:after="40" w:afterAutospacing="0"/>
              <w:rPr>
                <w:rFonts w:asciiTheme="minorHAnsi" w:hAnsiTheme="minorHAnsi"/>
                <w:b/>
                <w:color w:val="00AC4E" w:themeColor="accent1"/>
                <w:sz w:val="22"/>
                <w:szCs w:val="22"/>
                <w:lang w:val="en-GB"/>
              </w:rPr>
            </w:pPr>
          </w:p>
          <w:p w14:paraId="0FCCC706" w14:textId="77777777" w:rsidR="00BF5BE8" w:rsidRPr="00900767" w:rsidRDefault="00BF5BE8" w:rsidP="00CD130A">
            <w:pPr>
              <w:pStyle w:val="NormalWeb"/>
              <w:spacing w:before="40" w:beforeAutospacing="0" w:after="40" w:afterAutospacing="0"/>
              <w:rPr>
                <w:rFonts w:asciiTheme="minorHAnsi" w:hAnsiTheme="minorHAnsi"/>
                <w:b/>
                <w:color w:val="00AC4E" w:themeColor="accent1"/>
                <w:sz w:val="20"/>
                <w:szCs w:val="20"/>
                <w:lang w:val="en-GB"/>
              </w:rPr>
            </w:pPr>
            <w:r w:rsidRPr="00900767">
              <w:rPr>
                <w:rFonts w:asciiTheme="minorHAnsi" w:hAnsiTheme="minorHAnsi"/>
                <w:b/>
                <w:color w:val="00AC4E" w:themeColor="accent1"/>
                <w:sz w:val="20"/>
                <w:szCs w:val="20"/>
                <w:lang w:val="en-GB"/>
              </w:rPr>
              <w:t>Data Quality Checks</w:t>
            </w:r>
          </w:p>
          <w:p w14:paraId="3DFBE3C2" w14:textId="6021B358" w:rsidR="00BF5BE8" w:rsidRPr="00900767" w:rsidRDefault="00BF5BE8" w:rsidP="00290AAA">
            <w:pPr>
              <w:pStyle w:val="NormalWeb"/>
              <w:spacing w:before="40" w:beforeAutospacing="0" w:after="40" w:afterAutospacing="0"/>
              <w:jc w:val="both"/>
              <w:rPr>
                <w:rFonts w:asciiTheme="minorHAnsi" w:hAnsiTheme="minorHAnsi"/>
                <w:sz w:val="20"/>
                <w:szCs w:val="20"/>
                <w:lang w:val="en-GB"/>
              </w:rPr>
            </w:pPr>
            <w:r w:rsidRPr="00900767">
              <w:rPr>
                <w:rFonts w:asciiTheme="minorHAnsi" w:hAnsiTheme="minorHAnsi"/>
                <w:sz w:val="20"/>
                <w:szCs w:val="20"/>
                <w:lang w:val="en-GB"/>
              </w:rPr>
              <w:t>Data quality rules should be defined before the data collection starts and then in the steps of data collection, data storage and data usage, these rules should be checked. Data quality rules can be „</w:t>
            </w:r>
            <w:r w:rsidR="001B29F2" w:rsidRPr="00900767">
              <w:rPr>
                <w:rFonts w:asciiTheme="minorHAnsi" w:hAnsiTheme="minorHAnsi"/>
                <w:sz w:val="20"/>
                <w:szCs w:val="20"/>
                <w:lang w:val="en-GB"/>
              </w:rPr>
              <w:t>hard“</w:t>
            </w:r>
            <w:r w:rsidR="001B29F2">
              <w:rPr>
                <w:rFonts w:asciiTheme="minorHAnsi" w:hAnsiTheme="minorHAnsi"/>
                <w:sz w:val="20"/>
                <w:szCs w:val="20"/>
                <w:lang w:val="en-GB"/>
              </w:rPr>
              <w:t xml:space="preserve"> </w:t>
            </w:r>
            <w:r w:rsidR="001B29F2" w:rsidRPr="00900767">
              <w:rPr>
                <w:rFonts w:asciiTheme="minorHAnsi" w:hAnsiTheme="minorHAnsi"/>
                <w:sz w:val="20"/>
                <w:szCs w:val="20"/>
                <w:lang w:val="en-GB"/>
              </w:rPr>
              <w:t>and</w:t>
            </w:r>
            <w:r w:rsidRPr="00900767">
              <w:rPr>
                <w:rFonts w:asciiTheme="minorHAnsi" w:hAnsiTheme="minorHAnsi"/>
                <w:sz w:val="20"/>
                <w:szCs w:val="20"/>
                <w:lang w:val="en-GB"/>
              </w:rPr>
              <w:t xml:space="preserve"> „soft“. Hard rules are rules which have to be true in all cases and checks for these should make it impossible to enter the wrong value. Soft rules are rules which in most cases are true and checks for these rules should give a warning if a wrong value is detected.</w:t>
            </w:r>
          </w:p>
          <w:p w14:paraId="035D5442" w14:textId="7C71B939" w:rsidR="00BF5BE8" w:rsidRPr="00900767" w:rsidRDefault="00BF5BE8" w:rsidP="00290AAA">
            <w:pPr>
              <w:pStyle w:val="NormalWeb"/>
              <w:spacing w:before="40" w:after="40"/>
              <w:jc w:val="both"/>
              <w:rPr>
                <w:rFonts w:asciiTheme="minorHAnsi" w:hAnsiTheme="minorHAnsi"/>
                <w:sz w:val="20"/>
                <w:szCs w:val="20"/>
                <w:lang w:val="en-GB"/>
              </w:rPr>
            </w:pPr>
            <w:r w:rsidRPr="00900767">
              <w:rPr>
                <w:rFonts w:asciiTheme="minorHAnsi" w:hAnsiTheme="minorHAnsi"/>
                <w:sz w:val="20"/>
                <w:szCs w:val="20"/>
                <w:lang w:val="en-GB"/>
              </w:rPr>
              <w:t xml:space="preserve">Data validation in the process of data collection is the first line of </w:t>
            </w:r>
            <w:r w:rsidR="00290AAA" w:rsidRPr="00900767">
              <w:rPr>
                <w:rFonts w:asciiTheme="minorHAnsi" w:hAnsiTheme="minorHAnsi"/>
                <w:sz w:val="20"/>
                <w:szCs w:val="20"/>
                <w:lang w:val="en-GB"/>
              </w:rPr>
              <w:t>defence</w:t>
            </w:r>
            <w:r w:rsidRPr="00900767">
              <w:rPr>
                <w:rFonts w:asciiTheme="minorHAnsi" w:hAnsiTheme="minorHAnsi"/>
                <w:sz w:val="20"/>
                <w:szCs w:val="20"/>
                <w:lang w:val="en-GB"/>
              </w:rPr>
              <w:t xml:space="preserve"> in any data pipeline. It ensures that data entering a system meets pre-defined quality standards. Here is a list of examples in data collection for each core data quality dimension:</w:t>
            </w:r>
          </w:p>
          <w:p w14:paraId="2E762618" w14:textId="440C9EBA"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 xml:space="preserve">Accuracy: If </w:t>
            </w:r>
            <w:r w:rsidR="001B29F2" w:rsidRPr="00900767">
              <w:rPr>
                <w:rFonts w:asciiTheme="minorHAnsi" w:hAnsiTheme="minorHAnsi"/>
                <w:sz w:val="20"/>
                <w:szCs w:val="20"/>
                <w:lang w:val="en-GB"/>
              </w:rPr>
              <w:t>possible,</w:t>
            </w:r>
            <w:r w:rsidRPr="00900767">
              <w:rPr>
                <w:rFonts w:asciiTheme="minorHAnsi" w:hAnsiTheme="minorHAnsi"/>
                <w:sz w:val="20"/>
                <w:szCs w:val="20"/>
                <w:lang w:val="en-GB"/>
              </w:rPr>
              <w:t xml:space="preserve"> use automatic data collection (</w:t>
            </w:r>
            <w:r w:rsidR="001B29F2" w:rsidRPr="00900767">
              <w:rPr>
                <w:rFonts w:asciiTheme="minorHAnsi" w:hAnsiTheme="minorHAnsi"/>
                <w:sz w:val="20"/>
                <w:szCs w:val="20"/>
                <w:lang w:val="en-GB"/>
              </w:rPr>
              <w:t>e.g.</w:t>
            </w:r>
            <w:r w:rsidRPr="00900767">
              <w:rPr>
                <w:rFonts w:asciiTheme="minorHAnsi" w:hAnsiTheme="minorHAnsi"/>
                <w:sz w:val="20"/>
                <w:szCs w:val="20"/>
                <w:lang w:val="en-GB"/>
              </w:rPr>
              <w:t xml:space="preserve"> automatic measures of electricity consumption instead of manual entrance of data from invoices). Add checks for the data entry, for example „Make sure to enter energy consumption in </w:t>
            </w:r>
            <w:r w:rsidR="001B29F2" w:rsidRPr="00900767">
              <w:rPr>
                <w:rFonts w:asciiTheme="minorHAnsi" w:hAnsiTheme="minorHAnsi"/>
                <w:sz w:val="20"/>
                <w:szCs w:val="20"/>
                <w:lang w:val="en-GB"/>
              </w:rPr>
              <w:t>kWh “</w:t>
            </w:r>
            <w:r w:rsidRPr="00900767">
              <w:rPr>
                <w:rFonts w:asciiTheme="minorHAnsi" w:hAnsiTheme="minorHAnsi"/>
                <w:sz w:val="20"/>
                <w:szCs w:val="20"/>
                <w:lang w:val="en-GB"/>
              </w:rPr>
              <w:t>.</w:t>
            </w:r>
          </w:p>
          <w:p w14:paraId="05A03074" w14:textId="77777777"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Completeness: Determine whether all required data fields are populated. In data collection, this can be achieved by making fields mandatory.</w:t>
            </w:r>
          </w:p>
          <w:p w14:paraId="6D6F7B6C" w14:textId="77777777"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Consistency: Confirm that data values are logically coherent both within a single record and across related datasets. For example, if there is a field for date of birth and age of employee, these two fields should match logically.</w:t>
            </w:r>
          </w:p>
          <w:p w14:paraId="68DEE1A8" w14:textId="77777777"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Timeliness: Send reminders to users who have not reported the data in a timely manner. Add data on when the data was entered for each row in the dataset.</w:t>
            </w:r>
          </w:p>
          <w:p w14:paraId="4983DAF3" w14:textId="77777777"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Validity: Ensure data conforms to defined formats, ranges, or reference values. A phone number field, for instance, must contain only digits within a plausible length range. An email field must include „@“. The energy consumption range can be maximum 1,5 times the size of last year’s same period value before giving a warning.</w:t>
            </w:r>
          </w:p>
          <w:p w14:paraId="62736BD9" w14:textId="77777777" w:rsidR="00BF5BE8" w:rsidRPr="00900767" w:rsidRDefault="00BF5BE8" w:rsidP="00BF5BE8">
            <w:pPr>
              <w:pStyle w:val="NormalWeb"/>
              <w:numPr>
                <w:ilvl w:val="0"/>
                <w:numId w:val="234"/>
              </w:numPr>
              <w:spacing w:before="40" w:after="40"/>
              <w:jc w:val="both"/>
              <w:rPr>
                <w:rFonts w:asciiTheme="minorHAnsi" w:hAnsiTheme="minorHAnsi"/>
                <w:sz w:val="20"/>
                <w:szCs w:val="20"/>
                <w:lang w:val="en-GB"/>
              </w:rPr>
            </w:pPr>
            <w:r w:rsidRPr="00900767">
              <w:rPr>
                <w:rFonts w:asciiTheme="minorHAnsi" w:hAnsiTheme="minorHAnsi"/>
                <w:sz w:val="20"/>
                <w:szCs w:val="20"/>
                <w:lang w:val="en-GB"/>
              </w:rPr>
              <w:t>Uniqueness: Define unique ID numbers for employees, customers etc. Check uniqueness by e-mail.</w:t>
            </w:r>
          </w:p>
          <w:p w14:paraId="00FD604B" w14:textId="77777777" w:rsidR="00BF5BE8" w:rsidRPr="00900767" w:rsidRDefault="00BF5BE8" w:rsidP="00CD130A">
            <w:pPr>
              <w:pStyle w:val="NormalWeb"/>
              <w:spacing w:before="40" w:after="40"/>
              <w:rPr>
                <w:rFonts w:asciiTheme="minorHAnsi" w:hAnsiTheme="minorHAnsi"/>
                <w:sz w:val="20"/>
                <w:szCs w:val="20"/>
                <w:lang w:val="en-GB"/>
              </w:rPr>
            </w:pPr>
            <w:r w:rsidRPr="00900767">
              <w:rPr>
                <w:rFonts w:asciiTheme="minorHAnsi" w:hAnsiTheme="minorHAnsi"/>
                <w:sz w:val="20"/>
                <w:szCs w:val="20"/>
                <w:lang w:val="en-GB"/>
              </w:rPr>
              <w:t xml:space="preserve">Additional checks for data quality can be made both in the storage and usage steps of data lifecycle. </w:t>
            </w:r>
          </w:p>
          <w:p w14:paraId="1363C569" w14:textId="1033BC26" w:rsidR="00BF5BE8" w:rsidRPr="00900767" w:rsidRDefault="00BF5BE8" w:rsidP="00E661A9">
            <w:pPr>
              <w:pStyle w:val="NormalWeb"/>
              <w:spacing w:before="40" w:after="40"/>
              <w:jc w:val="both"/>
              <w:rPr>
                <w:rFonts w:asciiTheme="minorHAnsi" w:hAnsiTheme="minorHAnsi"/>
                <w:sz w:val="20"/>
                <w:szCs w:val="20"/>
                <w:lang w:val="en-GB"/>
              </w:rPr>
            </w:pPr>
            <w:r w:rsidRPr="00900767">
              <w:rPr>
                <w:rFonts w:asciiTheme="minorHAnsi" w:hAnsiTheme="minorHAnsi"/>
                <w:sz w:val="20"/>
                <w:szCs w:val="20"/>
                <w:lang w:val="en-GB"/>
              </w:rPr>
              <w:lastRenderedPageBreak/>
              <w:t xml:space="preserve">In the storage step, specific formats can be assigned to data fields, </w:t>
            </w:r>
            <w:r w:rsidR="001B29F2" w:rsidRPr="00900767">
              <w:rPr>
                <w:rFonts w:asciiTheme="minorHAnsi" w:hAnsiTheme="minorHAnsi"/>
                <w:sz w:val="20"/>
                <w:szCs w:val="20"/>
                <w:lang w:val="en-GB"/>
              </w:rPr>
              <w:t>e.g.</w:t>
            </w:r>
            <w:r w:rsidRPr="00900767">
              <w:rPr>
                <w:rFonts w:asciiTheme="minorHAnsi" w:hAnsiTheme="minorHAnsi"/>
                <w:sz w:val="20"/>
                <w:szCs w:val="20"/>
                <w:lang w:val="en-GB"/>
              </w:rPr>
              <w:t xml:space="preserve"> electricity bill monetary value needs to be a decimal number with up to two decimal points. Also, checks for data ranges and consistency can be added to the database. </w:t>
            </w:r>
          </w:p>
          <w:p w14:paraId="75990E68" w14:textId="71F72408" w:rsidR="00BF5BE8" w:rsidRPr="00900767" w:rsidRDefault="00BF5BE8" w:rsidP="00E661A9">
            <w:pPr>
              <w:pStyle w:val="NormalWeb"/>
              <w:spacing w:before="40" w:after="40"/>
              <w:jc w:val="both"/>
              <w:rPr>
                <w:rFonts w:asciiTheme="minorHAnsi" w:hAnsiTheme="minorHAnsi"/>
                <w:sz w:val="20"/>
                <w:szCs w:val="20"/>
                <w:lang w:val="en-GB"/>
              </w:rPr>
            </w:pPr>
            <w:r w:rsidRPr="00900767">
              <w:rPr>
                <w:rFonts w:asciiTheme="minorHAnsi" w:hAnsiTheme="minorHAnsi"/>
                <w:sz w:val="20"/>
                <w:szCs w:val="20"/>
                <w:lang w:val="en-GB"/>
              </w:rPr>
              <w:t>In usage step, data quality controls can be done during the data modelling and data profiling. For example, in the data modelling step each data column is specified to be certain format. Data profiling can be performed to check data quality, for example, if energy categories follow the pre-defined categories of „</w:t>
            </w:r>
            <w:r w:rsidR="001B29F2" w:rsidRPr="00900767">
              <w:rPr>
                <w:rFonts w:asciiTheme="minorHAnsi" w:hAnsiTheme="minorHAnsi"/>
                <w:sz w:val="20"/>
                <w:szCs w:val="20"/>
                <w:lang w:val="en-GB"/>
              </w:rPr>
              <w:t>Electricity “</w:t>
            </w:r>
            <w:r w:rsidRPr="00900767">
              <w:rPr>
                <w:rFonts w:asciiTheme="minorHAnsi" w:hAnsiTheme="minorHAnsi"/>
                <w:sz w:val="20"/>
                <w:szCs w:val="20"/>
                <w:lang w:val="en-GB"/>
              </w:rPr>
              <w:t>, „Natural gas“ etc. What are the minimum, maximum, median and average values of numeric fields and if these conform to pre-set data quality rules. Sometimes during the process of data profiling, new data quality rules might emerge, and it should be considered if these can be implemented already in data collection step.</w:t>
            </w:r>
          </w:p>
          <w:p w14:paraId="0BCA9925" w14:textId="77777777" w:rsidR="00BF5BE8" w:rsidRPr="00900767" w:rsidRDefault="00BF5BE8" w:rsidP="00E661A9">
            <w:pPr>
              <w:pStyle w:val="NormalWeb"/>
              <w:spacing w:before="40" w:after="40"/>
              <w:jc w:val="both"/>
              <w:rPr>
                <w:rFonts w:asciiTheme="minorHAnsi" w:hAnsiTheme="minorHAnsi"/>
                <w:sz w:val="20"/>
                <w:szCs w:val="20"/>
                <w:lang w:val="en-GB"/>
              </w:rPr>
            </w:pPr>
            <w:r w:rsidRPr="00900767">
              <w:rPr>
                <w:rFonts w:asciiTheme="minorHAnsi" w:hAnsiTheme="minorHAnsi"/>
                <w:sz w:val="20"/>
                <w:szCs w:val="20"/>
                <w:lang w:val="en-GB"/>
              </w:rPr>
              <w:t>It is important to document each data quality rule and how the data corresponds to these. Separate data quality reports can be created for this.</w:t>
            </w:r>
          </w:p>
          <w:p w14:paraId="7661C4C7" w14:textId="77777777" w:rsidR="00BF5BE8" w:rsidRPr="00900767" w:rsidRDefault="00BF5BE8" w:rsidP="00CD130A">
            <w:pPr>
              <w:spacing w:before="160" w:after="60"/>
              <w:rPr>
                <w:color w:val="00AC4E" w:themeColor="accent1"/>
                <w:szCs w:val="20"/>
              </w:rPr>
            </w:pPr>
            <w:r w:rsidRPr="00900767">
              <w:rPr>
                <w:rFonts w:eastAsia="Arial"/>
                <w:b/>
                <w:color w:val="00AC4E" w:themeColor="accent1"/>
                <w:szCs w:val="20"/>
              </w:rPr>
              <w:t>Data Cleaning</w:t>
            </w:r>
          </w:p>
          <w:p w14:paraId="1FC70A2B" w14:textId="77777777" w:rsidR="00BF5BE8" w:rsidRPr="00900767" w:rsidRDefault="00BF5BE8" w:rsidP="00290AAA">
            <w:pPr>
              <w:spacing w:before="60" w:after="80"/>
              <w:jc w:val="both"/>
              <w:rPr>
                <w:rFonts w:eastAsia="Arial"/>
                <w:color w:val="404040"/>
                <w:szCs w:val="20"/>
              </w:rPr>
            </w:pPr>
            <w:r w:rsidRPr="00900767">
              <w:rPr>
                <w:rFonts w:eastAsia="Arial"/>
                <w:color w:val="404040"/>
                <w:szCs w:val="20"/>
              </w:rPr>
              <w:t>Data cleaning is the process of detecting and correcting or removing inaccurate, corrupt, incomplete, or irrelevant records from a dataset. It is estimated that data professionals spend 60–80% of their time on data cleaning tasks, underscoring the importance of systematic, repeatable cleaning workflows.</w:t>
            </w:r>
          </w:p>
          <w:p w14:paraId="31DDE179" w14:textId="4A57CA80" w:rsidR="00BF5BE8" w:rsidRPr="00900767" w:rsidRDefault="00BF5BE8" w:rsidP="00CD130A">
            <w:pPr>
              <w:spacing w:before="60" w:after="80"/>
              <w:rPr>
                <w:szCs w:val="20"/>
              </w:rPr>
            </w:pPr>
            <w:r w:rsidRPr="00900767">
              <w:rPr>
                <w:rFonts w:eastAsia="Arial"/>
                <w:color w:val="404040"/>
                <w:szCs w:val="20"/>
              </w:rPr>
              <w:t xml:space="preserve">The data cleaning lifecycle consists of six steps (see Figure </w:t>
            </w:r>
            <w:r w:rsidR="00EF521E" w:rsidRPr="00900767">
              <w:rPr>
                <w:rFonts w:eastAsia="Arial"/>
                <w:color w:val="404040"/>
                <w:szCs w:val="20"/>
              </w:rPr>
              <w:t>14</w:t>
            </w:r>
            <w:r w:rsidRPr="00900767">
              <w:rPr>
                <w:rFonts w:eastAsia="Arial"/>
                <w:color w:val="404040"/>
                <w:szCs w:val="20"/>
              </w:rPr>
              <w:t>):</w:t>
            </w:r>
            <w:r w:rsidRPr="00900767">
              <w:rPr>
                <w:szCs w:val="20"/>
              </w:rPr>
              <w:t xml:space="preserve"> </w:t>
            </w:r>
          </w:p>
          <w:p w14:paraId="40546183" w14:textId="77777777" w:rsidR="005755BD" w:rsidRDefault="00BF5BE8" w:rsidP="005755BD">
            <w:pPr>
              <w:keepNext/>
              <w:spacing w:before="60" w:after="80"/>
              <w:jc w:val="center"/>
            </w:pPr>
            <w:r w:rsidRPr="00EF521E">
              <w:rPr>
                <w:rFonts w:eastAsia="Arial"/>
                <w:noProof/>
                <w:color w:val="404040"/>
                <w:sz w:val="22"/>
                <w:szCs w:val="22"/>
              </w:rPr>
              <w:drawing>
                <wp:inline distT="0" distB="0" distL="0" distR="0" wp14:anchorId="08911A55" wp14:editId="41ABF5B0">
                  <wp:extent cx="6120130" cy="3328670"/>
                  <wp:effectExtent l="0" t="0" r="0" b="508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792" name=""/>
                          <pic:cNvPicPr>
                            <a:picLocks noChangeAspect="1"/>
                          </pic:cNvPicPr>
                        </pic:nvPicPr>
                        <pic:blipFill>
                          <a:blip r:embed="rId69"/>
                          <a:stretch/>
                        </pic:blipFill>
                        <pic:spPr bwMode="auto">
                          <a:xfrm>
                            <a:off x="0" y="0"/>
                            <a:ext cx="6120130" cy="3328670"/>
                          </a:xfrm>
                          <a:prstGeom prst="rect">
                            <a:avLst/>
                          </a:prstGeom>
                        </pic:spPr>
                      </pic:pic>
                    </a:graphicData>
                  </a:graphic>
                </wp:inline>
              </w:drawing>
            </w:r>
          </w:p>
          <w:p w14:paraId="002DC3F9" w14:textId="49E571C1" w:rsidR="005755BD" w:rsidRPr="005755BD" w:rsidRDefault="005755BD" w:rsidP="005755BD">
            <w:pPr>
              <w:pStyle w:val="Caption"/>
              <w:jc w:val="center"/>
              <w:rPr>
                <w:b w:val="0"/>
                <w:bCs w:val="0"/>
                <w:sz w:val="18"/>
                <w:szCs w:val="18"/>
              </w:rPr>
            </w:pPr>
            <w:bookmarkStart w:id="44" w:name="_Toc227486392"/>
            <w:r w:rsidRPr="005755BD">
              <w:rPr>
                <w:b w:val="0"/>
                <w:bCs w:val="0"/>
                <w:sz w:val="18"/>
                <w:szCs w:val="18"/>
              </w:rPr>
              <w:t xml:space="preserve">Figure </w:t>
            </w:r>
            <w:r w:rsidRPr="005755BD">
              <w:rPr>
                <w:b w:val="0"/>
                <w:bCs w:val="0"/>
                <w:sz w:val="18"/>
                <w:szCs w:val="18"/>
              </w:rPr>
              <w:fldChar w:fldCharType="begin"/>
            </w:r>
            <w:r w:rsidRPr="005755BD">
              <w:rPr>
                <w:b w:val="0"/>
                <w:bCs w:val="0"/>
                <w:sz w:val="18"/>
                <w:szCs w:val="18"/>
              </w:rPr>
              <w:instrText xml:space="preserve"> SEQ Figure \* ARABIC </w:instrText>
            </w:r>
            <w:r w:rsidRPr="005755BD">
              <w:rPr>
                <w:b w:val="0"/>
                <w:bCs w:val="0"/>
                <w:sz w:val="18"/>
                <w:szCs w:val="18"/>
              </w:rPr>
              <w:fldChar w:fldCharType="separate"/>
            </w:r>
            <w:r w:rsidR="00D135B0">
              <w:rPr>
                <w:b w:val="0"/>
                <w:bCs w:val="0"/>
                <w:noProof/>
                <w:sz w:val="18"/>
                <w:szCs w:val="18"/>
              </w:rPr>
              <w:t>14</w:t>
            </w:r>
            <w:r w:rsidRPr="005755BD">
              <w:rPr>
                <w:b w:val="0"/>
                <w:bCs w:val="0"/>
                <w:sz w:val="18"/>
                <w:szCs w:val="18"/>
              </w:rPr>
              <w:fldChar w:fldCharType="end"/>
            </w:r>
            <w:r w:rsidRPr="005755BD">
              <w:rPr>
                <w:b w:val="0"/>
                <w:bCs w:val="0"/>
                <w:sz w:val="18"/>
                <w:szCs w:val="18"/>
              </w:rPr>
              <w:t xml:space="preserve">. </w:t>
            </w:r>
            <w:r w:rsidRPr="005755BD">
              <w:rPr>
                <w:rFonts w:eastAsia="Arial"/>
                <w:b w:val="0"/>
                <w:bCs w:val="0"/>
                <w:sz w:val="18"/>
                <w:szCs w:val="18"/>
              </w:rPr>
              <w:t>The six-step data cleaning workflow (Image generated with AI).</w:t>
            </w:r>
            <w:bookmarkEnd w:id="44"/>
          </w:p>
          <w:p w14:paraId="626BEE04" w14:textId="0C792E93" w:rsidR="00BF5BE8" w:rsidRPr="00EF521E" w:rsidRDefault="00BF5BE8" w:rsidP="005755BD">
            <w:pPr>
              <w:spacing w:before="60" w:after="80"/>
              <w:rPr>
                <w:rFonts w:eastAsia="Arial"/>
                <w:color w:val="009889" w:themeColor="accent2"/>
                <w:szCs w:val="20"/>
              </w:rPr>
            </w:pPr>
          </w:p>
          <w:p w14:paraId="6196EE76" w14:textId="77777777" w:rsidR="00BF5BE8" w:rsidRPr="00900767" w:rsidRDefault="00BF5BE8" w:rsidP="00E661A9">
            <w:pPr>
              <w:spacing w:before="60" w:after="80"/>
              <w:jc w:val="both"/>
              <w:rPr>
                <w:rFonts w:eastAsia="Arial"/>
                <w:i/>
                <w:iCs/>
                <w:color w:val="404040"/>
                <w:szCs w:val="20"/>
              </w:rPr>
            </w:pPr>
            <w:r w:rsidRPr="00900767">
              <w:rPr>
                <w:rFonts w:eastAsia="Arial"/>
                <w:i/>
                <w:iCs/>
                <w:color w:val="404040"/>
                <w:szCs w:val="20"/>
              </w:rPr>
              <w:t>Image description: The image shows an infographic of the six-step data cleaning workflow: profile, identify, plan, execute, validate and document.</w:t>
            </w:r>
          </w:p>
          <w:p w14:paraId="76470AFE" w14:textId="77777777" w:rsidR="00BF5BE8" w:rsidRDefault="00BF5BE8" w:rsidP="00CD130A">
            <w:pPr>
              <w:spacing w:before="60" w:after="80"/>
              <w:rPr>
                <w:rFonts w:eastAsia="Arial"/>
                <w:i/>
                <w:iCs/>
                <w:color w:val="404040"/>
                <w:szCs w:val="20"/>
              </w:rPr>
            </w:pPr>
          </w:p>
          <w:p w14:paraId="04C33058" w14:textId="77777777" w:rsidR="00957ED1" w:rsidRPr="00900767" w:rsidRDefault="00957ED1" w:rsidP="00CD130A">
            <w:pPr>
              <w:spacing w:before="60" w:after="80"/>
              <w:rPr>
                <w:rFonts w:eastAsia="Arial"/>
                <w:i/>
                <w:iCs/>
                <w:color w:val="404040"/>
                <w:szCs w:val="20"/>
              </w:rPr>
            </w:pPr>
          </w:p>
          <w:p w14:paraId="1E7DA238" w14:textId="77777777" w:rsidR="00BF5BE8" w:rsidRPr="00900767" w:rsidRDefault="00BF5BE8" w:rsidP="00CD130A">
            <w:pPr>
              <w:spacing w:before="60" w:after="80"/>
              <w:rPr>
                <w:rFonts w:eastAsia="Arial"/>
                <w:color w:val="404040"/>
                <w:szCs w:val="20"/>
              </w:rPr>
            </w:pPr>
            <w:r w:rsidRPr="00900767">
              <w:rPr>
                <w:rFonts w:eastAsia="Arial"/>
                <w:color w:val="404040"/>
                <w:szCs w:val="20"/>
              </w:rPr>
              <w:lastRenderedPageBreak/>
              <w:t>The six steps explained:</w:t>
            </w:r>
          </w:p>
          <w:p w14:paraId="54C50034"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Profile: Understand the current state of the data using descriptive statistics and data profiling tools.</w:t>
            </w:r>
          </w:p>
          <w:p w14:paraId="24A5BE22"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Identify: Detect specific quality issues (nulls, duplicates, outliers, format errors).</w:t>
            </w:r>
          </w:p>
          <w:p w14:paraId="057BDFC5"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Plan: Document the cleaning rules and transformations to be applied.</w:t>
            </w:r>
          </w:p>
          <w:p w14:paraId="7C442BA1"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Execute: Apply transformations using scripts, ETL tools, or manual review.</w:t>
            </w:r>
          </w:p>
          <w:p w14:paraId="5E4ABFFD"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Validate: Re-run validation checks to confirm the cleaning improved quality.</w:t>
            </w:r>
          </w:p>
          <w:p w14:paraId="74B43A87" w14:textId="77777777" w:rsidR="00BF5BE8" w:rsidRPr="00900767" w:rsidRDefault="00BF5BE8" w:rsidP="00BF5BE8">
            <w:pPr>
              <w:pStyle w:val="ListParagraph"/>
              <w:numPr>
                <w:ilvl w:val="0"/>
                <w:numId w:val="235"/>
              </w:numPr>
              <w:spacing w:before="40" w:after="40"/>
              <w:contextualSpacing w:val="0"/>
              <w:jc w:val="both"/>
              <w:rPr>
                <w:szCs w:val="20"/>
              </w:rPr>
            </w:pPr>
            <w:r w:rsidRPr="00900767">
              <w:rPr>
                <w:rFonts w:eastAsia="Arial"/>
                <w:color w:val="404040"/>
                <w:szCs w:val="20"/>
              </w:rPr>
              <w:t>Document: Update the data dictionary and audit log with changes made.</w:t>
            </w:r>
          </w:p>
          <w:p w14:paraId="41364348" w14:textId="77777777" w:rsidR="00BF5BE8" w:rsidRPr="00900767" w:rsidRDefault="00BF5BE8" w:rsidP="00CD130A">
            <w:pPr>
              <w:spacing w:before="40" w:after="40"/>
              <w:jc w:val="both"/>
              <w:rPr>
                <w:szCs w:val="20"/>
              </w:rPr>
            </w:pPr>
          </w:p>
          <w:p w14:paraId="4D6A1EA5" w14:textId="67080B64" w:rsidR="00BF5BE8" w:rsidRPr="00900767" w:rsidRDefault="00BF5BE8" w:rsidP="00CD130A">
            <w:pPr>
              <w:spacing w:before="40" w:after="40"/>
              <w:rPr>
                <w:szCs w:val="20"/>
              </w:rPr>
            </w:pPr>
            <w:r w:rsidRPr="00900767">
              <w:rPr>
                <w:szCs w:val="20"/>
              </w:rPr>
              <w:t xml:space="preserve">Some examples of data issues and cleaning strategies are brought out in Table </w:t>
            </w:r>
            <w:r w:rsidR="00EF521E" w:rsidRPr="00900767">
              <w:rPr>
                <w:szCs w:val="20"/>
              </w:rPr>
              <w:t>8</w:t>
            </w:r>
            <w:r w:rsidRPr="00900767">
              <w:rPr>
                <w:szCs w:val="20"/>
              </w:rPr>
              <w:t>.</w:t>
            </w:r>
          </w:p>
          <w:p w14:paraId="7B267475" w14:textId="77777777" w:rsidR="00BF5BE8" w:rsidRPr="00EF521E" w:rsidRDefault="00BF5BE8" w:rsidP="00CD130A">
            <w:pPr>
              <w:spacing w:after="80"/>
              <w:rPr>
                <w:sz w:val="22"/>
                <w:szCs w:val="22"/>
              </w:rPr>
            </w:pPr>
          </w:p>
          <w:p w14:paraId="6C21ED23" w14:textId="064FF0D5" w:rsidR="005755BD" w:rsidRDefault="00957ED1" w:rsidP="005755BD">
            <w:pPr>
              <w:pStyle w:val="Caption"/>
              <w:keepNext/>
            </w:pPr>
            <w:r>
              <w:t xml:space="preserve"> </w:t>
            </w:r>
          </w:p>
          <w:p w14:paraId="72B766F5" w14:textId="16010844" w:rsidR="00957ED1" w:rsidRPr="00957ED1" w:rsidRDefault="00957ED1" w:rsidP="00957ED1">
            <w:pPr>
              <w:pStyle w:val="Caption"/>
              <w:keepNext/>
              <w:rPr>
                <w:b w:val="0"/>
                <w:bCs w:val="0"/>
              </w:rPr>
            </w:pPr>
            <w:bookmarkStart w:id="45" w:name="_Toc227739602"/>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8</w:t>
            </w:r>
            <w:r w:rsidRPr="00957ED1">
              <w:rPr>
                <w:b w:val="0"/>
                <w:bCs w:val="0"/>
              </w:rPr>
              <w:fldChar w:fldCharType="end"/>
            </w:r>
            <w:r w:rsidRPr="00957ED1">
              <w:rPr>
                <w:b w:val="0"/>
                <w:bCs w:val="0"/>
              </w:rPr>
              <w:t>. Data Cleaning Strategies by Issue Type (source: Author)</w:t>
            </w:r>
            <w:bookmarkEnd w:id="45"/>
          </w:p>
          <w:tbl>
            <w:tblPr>
              <w:tblStyle w:val="Bordered"/>
              <w:tblW w:w="9373" w:type="dxa"/>
              <w:tblLook w:val="04A0" w:firstRow="1" w:lastRow="0" w:firstColumn="1" w:lastColumn="0" w:noHBand="0" w:noVBand="1"/>
            </w:tblPr>
            <w:tblGrid>
              <w:gridCol w:w="3119"/>
              <w:gridCol w:w="6254"/>
            </w:tblGrid>
            <w:tr w:rsidR="00BF5BE8" w:rsidRPr="00900767" w14:paraId="1A67E1AC" w14:textId="77777777" w:rsidTr="00290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DA374BF" w14:textId="77777777" w:rsidR="00BF5BE8" w:rsidRPr="00900767" w:rsidRDefault="00BF5BE8" w:rsidP="00CD130A">
                  <w:pPr>
                    <w:rPr>
                      <w:szCs w:val="20"/>
                    </w:rPr>
                  </w:pPr>
                  <w:r w:rsidRPr="00900767">
                    <w:rPr>
                      <w:rFonts w:asciiTheme="minorHAnsi" w:eastAsia="Arial" w:hAnsiTheme="minorHAnsi"/>
                      <w:b/>
                      <w:color w:val="auto"/>
                      <w:szCs w:val="20"/>
                    </w:rPr>
                    <w:t>Issue Type</w:t>
                  </w:r>
                </w:p>
              </w:tc>
              <w:tc>
                <w:tcPr>
                  <w:tcW w:w="6254" w:type="dxa"/>
                </w:tcPr>
                <w:p w14:paraId="22C27DFC" w14:textId="77777777" w:rsidR="00BF5BE8" w:rsidRPr="00900767" w:rsidRDefault="00BF5BE8" w:rsidP="00CD130A">
                  <w:pPr>
                    <w:cnfStyle w:val="100000000000" w:firstRow="1" w:lastRow="0" w:firstColumn="0" w:lastColumn="0" w:oddVBand="0" w:evenVBand="0" w:oddHBand="0" w:evenHBand="0" w:firstRowFirstColumn="0" w:firstRowLastColumn="0" w:lastRowFirstColumn="0" w:lastRowLastColumn="0"/>
                    <w:rPr>
                      <w:szCs w:val="20"/>
                    </w:rPr>
                  </w:pPr>
                  <w:r w:rsidRPr="00900767">
                    <w:rPr>
                      <w:rFonts w:asciiTheme="minorHAnsi" w:eastAsia="Arial" w:hAnsiTheme="minorHAnsi"/>
                      <w:b/>
                      <w:color w:val="auto"/>
                      <w:szCs w:val="20"/>
                    </w:rPr>
                    <w:t>Cleaning Strategy</w:t>
                  </w:r>
                </w:p>
              </w:tc>
            </w:tr>
            <w:tr w:rsidR="00BF5BE8" w:rsidRPr="00900767" w14:paraId="36BA302E" w14:textId="77777777" w:rsidTr="00290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E495502" w14:textId="77777777" w:rsidR="00BF5BE8" w:rsidRPr="00900767" w:rsidRDefault="00BF5BE8" w:rsidP="00CD130A">
                  <w:pPr>
                    <w:rPr>
                      <w:szCs w:val="20"/>
                    </w:rPr>
                  </w:pPr>
                  <w:r w:rsidRPr="00900767">
                    <w:rPr>
                      <w:rFonts w:asciiTheme="minorHAnsi" w:eastAsia="Arial" w:hAnsiTheme="minorHAnsi"/>
                      <w:szCs w:val="20"/>
                    </w:rPr>
                    <w:t>Missing Values</w:t>
                  </w:r>
                </w:p>
              </w:tc>
              <w:tc>
                <w:tcPr>
                  <w:tcW w:w="6254" w:type="dxa"/>
                </w:tcPr>
                <w:p w14:paraId="7E4EF92D" w14:textId="77777777" w:rsidR="00BF5BE8" w:rsidRPr="00900767" w:rsidRDefault="00BF5BE8" w:rsidP="00CD130A">
                  <w:pPr>
                    <w:cnfStyle w:val="000000100000" w:firstRow="0" w:lastRow="0" w:firstColumn="0" w:lastColumn="0" w:oddVBand="0" w:evenVBand="0" w:oddHBand="1" w:evenHBand="0" w:firstRowFirstColumn="0" w:firstRowLastColumn="0" w:lastRowFirstColumn="0" w:lastRowLastColumn="0"/>
                    <w:rPr>
                      <w:szCs w:val="20"/>
                    </w:rPr>
                  </w:pPr>
                  <w:r w:rsidRPr="00900767">
                    <w:rPr>
                      <w:rFonts w:asciiTheme="minorHAnsi" w:eastAsia="Arial" w:hAnsiTheme="minorHAnsi"/>
                      <w:szCs w:val="20"/>
                    </w:rPr>
                    <w:t>Imputation (mean/median/mode) of value or deletion of the record</w:t>
                  </w:r>
                </w:p>
              </w:tc>
            </w:tr>
            <w:tr w:rsidR="00BF5BE8" w:rsidRPr="00900767" w14:paraId="41702003" w14:textId="77777777" w:rsidTr="00290AAA">
              <w:tc>
                <w:tcPr>
                  <w:cnfStyle w:val="001000000000" w:firstRow="0" w:lastRow="0" w:firstColumn="1" w:lastColumn="0" w:oddVBand="0" w:evenVBand="0" w:oddHBand="0" w:evenHBand="0" w:firstRowFirstColumn="0" w:firstRowLastColumn="0" w:lastRowFirstColumn="0" w:lastRowLastColumn="0"/>
                  <w:tcW w:w="3119" w:type="dxa"/>
                </w:tcPr>
                <w:p w14:paraId="1FD71FDE" w14:textId="77777777" w:rsidR="00BF5BE8" w:rsidRPr="00900767" w:rsidRDefault="00BF5BE8" w:rsidP="00CD130A">
                  <w:pPr>
                    <w:rPr>
                      <w:szCs w:val="20"/>
                    </w:rPr>
                  </w:pPr>
                  <w:r w:rsidRPr="00900767">
                    <w:rPr>
                      <w:rFonts w:asciiTheme="minorHAnsi" w:eastAsia="Arial" w:hAnsiTheme="minorHAnsi"/>
                      <w:szCs w:val="20"/>
                    </w:rPr>
                    <w:t>Duplicate Records</w:t>
                  </w:r>
                </w:p>
              </w:tc>
              <w:tc>
                <w:tcPr>
                  <w:tcW w:w="6254" w:type="dxa"/>
                </w:tcPr>
                <w:p w14:paraId="1AEE423F" w14:textId="77777777" w:rsidR="00BF5BE8" w:rsidRPr="00900767" w:rsidRDefault="00BF5BE8" w:rsidP="00CD130A">
                  <w:pPr>
                    <w:cnfStyle w:val="000000000000" w:firstRow="0" w:lastRow="0" w:firstColumn="0" w:lastColumn="0" w:oddVBand="0" w:evenVBand="0" w:oddHBand="0" w:evenHBand="0" w:firstRowFirstColumn="0" w:firstRowLastColumn="0" w:lastRowFirstColumn="0" w:lastRowLastColumn="0"/>
                    <w:rPr>
                      <w:szCs w:val="20"/>
                    </w:rPr>
                  </w:pPr>
                  <w:r w:rsidRPr="00900767">
                    <w:rPr>
                      <w:rFonts w:eastAsia="Arial"/>
                      <w:color w:val="404040"/>
                      <w:szCs w:val="20"/>
                    </w:rPr>
                    <w:t>Deduplication using key fields</w:t>
                  </w:r>
                </w:p>
              </w:tc>
            </w:tr>
            <w:tr w:rsidR="00BF5BE8" w:rsidRPr="00900767" w14:paraId="604C5FE0" w14:textId="77777777" w:rsidTr="00290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588E49E" w14:textId="77777777" w:rsidR="00BF5BE8" w:rsidRPr="00900767" w:rsidRDefault="00BF5BE8" w:rsidP="00CD130A">
                  <w:pPr>
                    <w:rPr>
                      <w:szCs w:val="20"/>
                    </w:rPr>
                  </w:pPr>
                  <w:r w:rsidRPr="00900767">
                    <w:rPr>
                      <w:rFonts w:asciiTheme="minorHAnsi" w:eastAsia="Arial" w:hAnsiTheme="minorHAnsi"/>
                      <w:szCs w:val="20"/>
                    </w:rPr>
                    <w:t>Inconsistent Formats</w:t>
                  </w:r>
                </w:p>
              </w:tc>
              <w:tc>
                <w:tcPr>
                  <w:tcW w:w="6254" w:type="dxa"/>
                </w:tcPr>
                <w:p w14:paraId="6FB7267C" w14:textId="77777777" w:rsidR="00BF5BE8" w:rsidRPr="00900767" w:rsidRDefault="00BF5BE8" w:rsidP="00CD130A">
                  <w:pPr>
                    <w:cnfStyle w:val="000000100000" w:firstRow="0" w:lastRow="0" w:firstColumn="0" w:lastColumn="0" w:oddVBand="0" w:evenVBand="0" w:oddHBand="1" w:evenHBand="0" w:firstRowFirstColumn="0" w:firstRowLastColumn="0" w:lastRowFirstColumn="0" w:lastRowLastColumn="0"/>
                    <w:rPr>
                      <w:szCs w:val="20"/>
                    </w:rPr>
                  </w:pPr>
                  <w:r w:rsidRPr="00900767">
                    <w:rPr>
                      <w:rFonts w:asciiTheme="minorHAnsi" w:eastAsia="Arial" w:hAnsiTheme="minorHAnsi"/>
                      <w:szCs w:val="20"/>
                    </w:rPr>
                    <w:t>Standardize via lookup tables</w:t>
                  </w:r>
                </w:p>
              </w:tc>
            </w:tr>
            <w:tr w:rsidR="00BF5BE8" w:rsidRPr="00900767" w14:paraId="7B17E6A7" w14:textId="77777777" w:rsidTr="00290AAA">
              <w:tc>
                <w:tcPr>
                  <w:cnfStyle w:val="001000000000" w:firstRow="0" w:lastRow="0" w:firstColumn="1" w:lastColumn="0" w:oddVBand="0" w:evenVBand="0" w:oddHBand="0" w:evenHBand="0" w:firstRowFirstColumn="0" w:firstRowLastColumn="0" w:lastRowFirstColumn="0" w:lastRowLastColumn="0"/>
                  <w:tcW w:w="3119" w:type="dxa"/>
                </w:tcPr>
                <w:p w14:paraId="6D0705E4" w14:textId="77777777" w:rsidR="00BF5BE8" w:rsidRPr="00900767" w:rsidRDefault="00BF5BE8" w:rsidP="00CD130A">
                  <w:pPr>
                    <w:rPr>
                      <w:szCs w:val="20"/>
                    </w:rPr>
                  </w:pPr>
                  <w:r w:rsidRPr="00900767">
                    <w:rPr>
                      <w:rFonts w:asciiTheme="minorHAnsi" w:eastAsia="Arial" w:hAnsiTheme="minorHAnsi"/>
                      <w:szCs w:val="20"/>
                    </w:rPr>
                    <w:t>Outliers</w:t>
                  </w:r>
                </w:p>
              </w:tc>
              <w:tc>
                <w:tcPr>
                  <w:tcW w:w="6254" w:type="dxa"/>
                </w:tcPr>
                <w:p w14:paraId="4179DCC9" w14:textId="77777777" w:rsidR="00BF5BE8" w:rsidRPr="00900767" w:rsidRDefault="00BF5BE8" w:rsidP="00CD130A">
                  <w:pPr>
                    <w:cnfStyle w:val="000000000000" w:firstRow="0" w:lastRow="0" w:firstColumn="0" w:lastColumn="0" w:oddVBand="0" w:evenVBand="0" w:oddHBand="0" w:evenHBand="0" w:firstRowFirstColumn="0" w:firstRowLastColumn="0" w:lastRowFirstColumn="0" w:lastRowLastColumn="0"/>
                    <w:rPr>
                      <w:szCs w:val="20"/>
                    </w:rPr>
                  </w:pPr>
                  <w:r w:rsidRPr="00900767">
                    <w:rPr>
                      <w:rFonts w:eastAsia="Arial"/>
                      <w:color w:val="404040"/>
                      <w:szCs w:val="20"/>
                    </w:rPr>
                    <w:t>Cap, remove, or flag for review</w:t>
                  </w:r>
                </w:p>
              </w:tc>
            </w:tr>
            <w:tr w:rsidR="00BF5BE8" w:rsidRPr="00900767" w14:paraId="28F1D882" w14:textId="77777777" w:rsidTr="00290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EF89A7D" w14:textId="77777777" w:rsidR="00BF5BE8" w:rsidRPr="00900767" w:rsidRDefault="00BF5BE8" w:rsidP="00CD130A">
                  <w:pPr>
                    <w:rPr>
                      <w:szCs w:val="20"/>
                    </w:rPr>
                  </w:pPr>
                  <w:r w:rsidRPr="00900767">
                    <w:rPr>
                      <w:rFonts w:asciiTheme="minorHAnsi" w:eastAsia="Arial" w:hAnsiTheme="minorHAnsi"/>
                      <w:szCs w:val="20"/>
                    </w:rPr>
                    <w:t>Typos</w:t>
                  </w:r>
                </w:p>
              </w:tc>
              <w:tc>
                <w:tcPr>
                  <w:tcW w:w="6254" w:type="dxa"/>
                </w:tcPr>
                <w:p w14:paraId="024B9723" w14:textId="77777777" w:rsidR="00BF5BE8" w:rsidRPr="00900767" w:rsidRDefault="00BF5BE8" w:rsidP="00CD130A">
                  <w:pPr>
                    <w:cnfStyle w:val="000000100000" w:firstRow="0" w:lastRow="0" w:firstColumn="0" w:lastColumn="0" w:oddVBand="0" w:evenVBand="0" w:oddHBand="1" w:evenHBand="0" w:firstRowFirstColumn="0" w:firstRowLastColumn="0" w:lastRowFirstColumn="0" w:lastRowLastColumn="0"/>
                    <w:rPr>
                      <w:szCs w:val="20"/>
                    </w:rPr>
                  </w:pPr>
                  <w:r w:rsidRPr="00900767">
                    <w:rPr>
                      <w:rFonts w:asciiTheme="minorHAnsi" w:eastAsia="Arial" w:hAnsiTheme="minorHAnsi"/>
                      <w:szCs w:val="20"/>
                    </w:rPr>
                    <w:t>Correction</w:t>
                  </w:r>
                </w:p>
              </w:tc>
            </w:tr>
            <w:tr w:rsidR="00BF5BE8" w:rsidRPr="00900767" w14:paraId="6C0D4C78" w14:textId="77777777" w:rsidTr="00290AAA">
              <w:tc>
                <w:tcPr>
                  <w:cnfStyle w:val="001000000000" w:firstRow="0" w:lastRow="0" w:firstColumn="1" w:lastColumn="0" w:oddVBand="0" w:evenVBand="0" w:oddHBand="0" w:evenHBand="0" w:firstRowFirstColumn="0" w:firstRowLastColumn="0" w:lastRowFirstColumn="0" w:lastRowLastColumn="0"/>
                  <w:tcW w:w="3119" w:type="dxa"/>
                </w:tcPr>
                <w:p w14:paraId="610BAEF2" w14:textId="77777777" w:rsidR="00BF5BE8" w:rsidRPr="00900767" w:rsidRDefault="00BF5BE8" w:rsidP="00CD130A">
                  <w:pPr>
                    <w:rPr>
                      <w:szCs w:val="20"/>
                    </w:rPr>
                  </w:pPr>
                  <w:r w:rsidRPr="00900767">
                    <w:rPr>
                      <w:rFonts w:asciiTheme="minorHAnsi" w:eastAsia="Arial" w:hAnsiTheme="minorHAnsi"/>
                      <w:szCs w:val="20"/>
                    </w:rPr>
                    <w:t>Wrong Data Types</w:t>
                  </w:r>
                </w:p>
              </w:tc>
              <w:tc>
                <w:tcPr>
                  <w:tcW w:w="6254" w:type="dxa"/>
                </w:tcPr>
                <w:p w14:paraId="184361D8" w14:textId="77777777" w:rsidR="00BF5BE8" w:rsidRPr="00900767" w:rsidRDefault="00BF5BE8" w:rsidP="00CD130A">
                  <w:pPr>
                    <w:cnfStyle w:val="000000000000" w:firstRow="0" w:lastRow="0" w:firstColumn="0" w:lastColumn="0" w:oddVBand="0" w:evenVBand="0" w:oddHBand="0" w:evenHBand="0" w:firstRowFirstColumn="0" w:firstRowLastColumn="0" w:lastRowFirstColumn="0" w:lastRowLastColumn="0"/>
                    <w:rPr>
                      <w:szCs w:val="20"/>
                    </w:rPr>
                  </w:pPr>
                  <w:r w:rsidRPr="00900767">
                    <w:rPr>
                      <w:rFonts w:eastAsia="Arial"/>
                      <w:color w:val="404040"/>
                      <w:szCs w:val="20"/>
                    </w:rPr>
                    <w:t>Type casting and conversion</w:t>
                  </w:r>
                </w:p>
              </w:tc>
            </w:tr>
          </w:tbl>
          <w:p w14:paraId="553B8FDA" w14:textId="77777777" w:rsidR="00BF5BE8" w:rsidRPr="00EF521E" w:rsidRDefault="00BF5BE8" w:rsidP="00CD130A">
            <w:pPr>
              <w:spacing w:after="80"/>
              <w:rPr>
                <w:sz w:val="22"/>
                <w:szCs w:val="22"/>
              </w:rPr>
            </w:pPr>
          </w:p>
          <w:p w14:paraId="690A8C90" w14:textId="77777777" w:rsidR="00BF5BE8" w:rsidRPr="00900767" w:rsidRDefault="00BF5BE8" w:rsidP="00CD130A">
            <w:pPr>
              <w:spacing w:after="80"/>
              <w:rPr>
                <w:rFonts w:cstheme="minorHAnsi"/>
                <w:b/>
                <w:color w:val="00AC4E" w:themeColor="accent1"/>
                <w:szCs w:val="20"/>
              </w:rPr>
            </w:pPr>
            <w:r w:rsidRPr="00900767">
              <w:rPr>
                <w:rFonts w:cstheme="minorHAnsi"/>
                <w:b/>
                <w:color w:val="00AC4E" w:themeColor="accent1"/>
                <w:szCs w:val="20"/>
              </w:rPr>
              <w:t>Micro-Activity on Data Cleaning Strategies</w:t>
            </w:r>
          </w:p>
          <w:p w14:paraId="54BF5F81" w14:textId="77777777" w:rsidR="00BF5BE8" w:rsidRPr="00900767" w:rsidRDefault="00BF5BE8" w:rsidP="00E661A9">
            <w:pPr>
              <w:spacing w:after="80"/>
              <w:jc w:val="both"/>
              <w:rPr>
                <w:rFonts w:cstheme="minorHAnsi"/>
                <w:i/>
                <w:szCs w:val="20"/>
              </w:rPr>
            </w:pPr>
            <w:r w:rsidRPr="00900767">
              <w:rPr>
                <w:rFonts w:cstheme="minorHAnsi"/>
                <w:i/>
                <w:szCs w:val="20"/>
              </w:rPr>
              <w:t>Look at the table of cleaning strategies above. Choose one issue type that you have encountered (or are likely to encounter) in your own work. Write 3 sentences describing: (1) what the specific data problem looked like, (2) which cleaning strategy from the table you would apply, and (3) how you would verify the cleaning was successful.</w:t>
            </w:r>
          </w:p>
          <w:p w14:paraId="4CBFC6FB" w14:textId="77777777" w:rsidR="00BF5BE8" w:rsidRPr="00900767" w:rsidRDefault="00BF5BE8" w:rsidP="00E661A9">
            <w:pPr>
              <w:spacing w:after="80"/>
              <w:jc w:val="both"/>
              <w:rPr>
                <w:rFonts w:cstheme="minorHAnsi"/>
                <w:szCs w:val="20"/>
              </w:rPr>
            </w:pPr>
          </w:p>
          <w:p w14:paraId="74417355" w14:textId="77777777" w:rsidR="00BF5BE8" w:rsidRPr="00900767" w:rsidRDefault="00BF5BE8" w:rsidP="00E661A9">
            <w:pPr>
              <w:spacing w:after="80"/>
              <w:jc w:val="both"/>
              <w:rPr>
                <w:rFonts w:cstheme="minorHAnsi"/>
                <w:szCs w:val="20"/>
              </w:rPr>
            </w:pPr>
            <w:r w:rsidRPr="00900767">
              <w:rPr>
                <w:rFonts w:cstheme="minorHAnsi"/>
                <w:szCs w:val="20"/>
              </w:rPr>
              <w:t>Data cleaning is a continuous, cyclical process. New data introduced to a system may contain fresh quality issues, so validation and cleaning must be repeated as part of ongoing data governance. It is best to automate as much of the process as possible.</w:t>
            </w:r>
          </w:p>
          <w:p w14:paraId="0DF27027" w14:textId="77777777" w:rsidR="00BF5BE8" w:rsidRPr="00900767" w:rsidRDefault="00BF5BE8" w:rsidP="00CD130A">
            <w:pPr>
              <w:pStyle w:val="NormalWeb"/>
              <w:spacing w:before="40" w:beforeAutospacing="0" w:after="40" w:afterAutospacing="0"/>
              <w:rPr>
                <w:rFonts w:asciiTheme="minorHAnsi" w:hAnsiTheme="minorHAnsi" w:cstheme="minorHAnsi"/>
                <w:b/>
                <w:color w:val="00AC4E" w:themeColor="accent1"/>
                <w:sz w:val="20"/>
                <w:szCs w:val="20"/>
                <w:lang w:val="en-GB"/>
              </w:rPr>
            </w:pPr>
          </w:p>
          <w:p w14:paraId="28C54DC7" w14:textId="77777777" w:rsidR="00BF5BE8" w:rsidRPr="00900767" w:rsidRDefault="00BF5BE8" w:rsidP="00CD130A">
            <w:pPr>
              <w:pStyle w:val="NormalWeb"/>
              <w:spacing w:before="40" w:beforeAutospacing="0" w:after="40" w:afterAutospacing="0"/>
              <w:rPr>
                <w:rFonts w:asciiTheme="minorHAnsi" w:hAnsiTheme="minorHAnsi" w:cstheme="minorHAnsi"/>
                <w:b/>
                <w:color w:val="00AC4E" w:themeColor="accent1"/>
                <w:sz w:val="20"/>
                <w:szCs w:val="20"/>
                <w:lang w:val="en-GB"/>
              </w:rPr>
            </w:pPr>
            <w:r w:rsidRPr="00900767">
              <w:rPr>
                <w:rFonts w:asciiTheme="minorHAnsi" w:hAnsiTheme="minorHAnsi" w:cstheme="minorHAnsi"/>
                <w:b/>
                <w:color w:val="00AC4E" w:themeColor="accent1"/>
                <w:sz w:val="20"/>
                <w:szCs w:val="20"/>
                <w:lang w:val="en-GB"/>
              </w:rPr>
              <w:t>Additional reading</w:t>
            </w:r>
          </w:p>
          <w:p w14:paraId="34459B51" w14:textId="77777777" w:rsidR="00BF5BE8" w:rsidRPr="00900767" w:rsidRDefault="00BF5BE8" w:rsidP="00EF521E">
            <w:pPr>
              <w:pStyle w:val="NormalWeb"/>
              <w:numPr>
                <w:ilvl w:val="0"/>
                <w:numId w:val="248"/>
              </w:numPr>
              <w:spacing w:before="40" w:beforeAutospacing="0" w:after="40" w:afterAutospacing="0"/>
              <w:jc w:val="both"/>
              <w:rPr>
                <w:rFonts w:asciiTheme="minorHAnsi" w:hAnsiTheme="minorHAnsi" w:cstheme="minorHAnsi"/>
                <w:sz w:val="20"/>
                <w:szCs w:val="20"/>
                <w:lang w:val="en-GB"/>
              </w:rPr>
            </w:pPr>
            <w:r w:rsidRPr="00900767">
              <w:rPr>
                <w:rFonts w:asciiTheme="minorHAnsi" w:hAnsiTheme="minorHAnsi" w:cstheme="minorHAnsi"/>
                <w:sz w:val="20"/>
                <w:szCs w:val="20"/>
                <w:lang w:val="en-GB"/>
              </w:rPr>
              <w:t xml:space="preserve">Global Reporting Initiative. 2025. Standards for sustainability reporting. </w:t>
            </w:r>
            <w:hyperlink r:id="rId70" w:tooltip="https://www.globalreporting.org/how-to-use-the-gri-standards/gri-standards-english-language/" w:history="1">
              <w:r w:rsidRPr="00900767">
                <w:rPr>
                  <w:rStyle w:val="Hyperlink"/>
                  <w:rFonts w:asciiTheme="minorHAnsi" w:hAnsiTheme="minorHAnsi" w:cstheme="minorHAnsi"/>
                  <w:color w:val="auto"/>
                  <w:sz w:val="20"/>
                  <w:szCs w:val="20"/>
                  <w:lang w:val="en-GB"/>
                </w:rPr>
                <w:t>https://www.globalreporting.org/how-to-use-the-gri-standards/gri-standards-english-language/</w:t>
              </w:r>
            </w:hyperlink>
            <w:r w:rsidRPr="00900767">
              <w:rPr>
                <w:rFonts w:asciiTheme="minorHAnsi" w:hAnsiTheme="minorHAnsi" w:cstheme="minorHAnsi"/>
                <w:sz w:val="20"/>
                <w:szCs w:val="20"/>
                <w:lang w:val="en-GB"/>
              </w:rPr>
              <w:t xml:space="preserve"> (Accessed: February 2025).</w:t>
            </w:r>
          </w:p>
          <w:p w14:paraId="6D644BF6" w14:textId="77777777" w:rsidR="00BF5BE8" w:rsidRPr="00900767" w:rsidRDefault="00BF5BE8" w:rsidP="00EF521E">
            <w:pPr>
              <w:pStyle w:val="NormalWeb"/>
              <w:numPr>
                <w:ilvl w:val="0"/>
                <w:numId w:val="248"/>
              </w:numPr>
              <w:spacing w:before="40" w:beforeAutospacing="0" w:after="40" w:afterAutospacing="0"/>
              <w:jc w:val="both"/>
              <w:rPr>
                <w:rFonts w:asciiTheme="minorHAnsi" w:hAnsiTheme="minorHAnsi" w:cstheme="minorHAnsi"/>
                <w:sz w:val="20"/>
                <w:szCs w:val="20"/>
                <w:lang w:val="en-GB"/>
              </w:rPr>
            </w:pPr>
            <w:proofErr w:type="spellStart"/>
            <w:r w:rsidRPr="00900767">
              <w:rPr>
                <w:rFonts w:asciiTheme="minorHAnsi" w:hAnsiTheme="minorHAnsi" w:cstheme="minorHAnsi"/>
                <w:sz w:val="20"/>
                <w:szCs w:val="20"/>
                <w:lang w:val="en-GB"/>
              </w:rPr>
              <w:t>CleverRepublic</w:t>
            </w:r>
            <w:proofErr w:type="spellEnd"/>
            <w:r w:rsidRPr="00900767">
              <w:rPr>
                <w:rFonts w:asciiTheme="minorHAnsi" w:hAnsiTheme="minorHAnsi" w:cstheme="minorHAnsi"/>
                <w:sz w:val="20"/>
                <w:szCs w:val="20"/>
                <w:lang w:val="en-GB"/>
              </w:rPr>
              <w:t xml:space="preserve">. 2025. The Six Most Used Data Quality Dimensions. </w:t>
            </w:r>
            <w:hyperlink r:id="rId71" w:tooltip="https://www.cleverrepublic.com/resources/blog/the-six-most-used-data-quality-dimensions/" w:history="1">
              <w:r w:rsidRPr="00900767">
                <w:rPr>
                  <w:rStyle w:val="Hyperlink"/>
                  <w:rFonts w:asciiTheme="minorHAnsi" w:hAnsiTheme="minorHAnsi" w:cstheme="minorHAnsi"/>
                  <w:color w:val="auto"/>
                  <w:sz w:val="20"/>
                  <w:szCs w:val="20"/>
                  <w:lang w:val="en-GB"/>
                </w:rPr>
                <w:t>https://www.cleverrepublic.com/resources/blog/the-six-most-used-data-quality-dimensions/</w:t>
              </w:r>
            </w:hyperlink>
            <w:r w:rsidRPr="00900767">
              <w:rPr>
                <w:rFonts w:asciiTheme="minorHAnsi" w:hAnsiTheme="minorHAnsi" w:cstheme="minorHAnsi"/>
                <w:sz w:val="20"/>
                <w:szCs w:val="20"/>
                <w:lang w:val="en-GB"/>
              </w:rPr>
              <w:t xml:space="preserve"> (Accessed: February 2025).</w:t>
            </w:r>
          </w:p>
          <w:p w14:paraId="4784FADA" w14:textId="39B5445F" w:rsidR="00BF5BE8" w:rsidRDefault="00BF5BE8" w:rsidP="00CD130A">
            <w:pPr>
              <w:pStyle w:val="NormalWeb"/>
              <w:numPr>
                <w:ilvl w:val="0"/>
                <w:numId w:val="248"/>
              </w:numPr>
              <w:spacing w:before="40" w:beforeAutospacing="0" w:after="40" w:afterAutospacing="0"/>
              <w:jc w:val="both"/>
              <w:rPr>
                <w:rFonts w:asciiTheme="minorHAnsi" w:hAnsiTheme="minorHAnsi" w:cstheme="minorHAnsi"/>
                <w:sz w:val="20"/>
                <w:szCs w:val="20"/>
                <w:lang w:val="en-GB"/>
              </w:rPr>
            </w:pPr>
            <w:r w:rsidRPr="00900767">
              <w:rPr>
                <w:rFonts w:asciiTheme="minorHAnsi" w:hAnsiTheme="minorHAnsi" w:cstheme="minorHAnsi"/>
                <w:sz w:val="20"/>
                <w:szCs w:val="20"/>
                <w:lang w:val="en-GB"/>
              </w:rPr>
              <w:t xml:space="preserve">IBM. Data Profiling. </w:t>
            </w:r>
            <w:hyperlink r:id="rId72" w:tooltip="https://www.ibm.com/think/topics/data-profiling" w:history="1">
              <w:r w:rsidRPr="00900767">
                <w:rPr>
                  <w:rStyle w:val="Hyperlink"/>
                  <w:rFonts w:asciiTheme="minorHAnsi" w:hAnsiTheme="minorHAnsi" w:cstheme="minorHAnsi"/>
                  <w:color w:val="auto"/>
                  <w:sz w:val="20"/>
                  <w:szCs w:val="20"/>
                  <w:lang w:val="en-GB"/>
                </w:rPr>
                <w:t>https://www.ibm.com/think/topics/data-profiling</w:t>
              </w:r>
            </w:hyperlink>
            <w:r w:rsidRPr="00900767">
              <w:rPr>
                <w:rFonts w:asciiTheme="minorHAnsi" w:hAnsiTheme="minorHAnsi" w:cstheme="minorHAnsi"/>
                <w:sz w:val="20"/>
                <w:szCs w:val="20"/>
                <w:lang w:val="en-GB"/>
              </w:rPr>
              <w:t xml:space="preserve"> (Accessed: February 2025).</w:t>
            </w:r>
          </w:p>
          <w:p w14:paraId="58A765C3" w14:textId="77777777" w:rsidR="00900767" w:rsidRDefault="00900767" w:rsidP="00900767">
            <w:pPr>
              <w:pStyle w:val="NormalWeb"/>
              <w:spacing w:before="40" w:beforeAutospacing="0" w:after="40" w:afterAutospacing="0"/>
              <w:jc w:val="both"/>
              <w:rPr>
                <w:rFonts w:asciiTheme="minorHAnsi" w:hAnsiTheme="minorHAnsi" w:cstheme="minorHAnsi"/>
                <w:sz w:val="20"/>
                <w:szCs w:val="20"/>
                <w:lang w:val="en-GB"/>
              </w:rPr>
            </w:pPr>
          </w:p>
          <w:p w14:paraId="45232FFC" w14:textId="77777777" w:rsidR="00900767" w:rsidRDefault="00900767" w:rsidP="00900767">
            <w:pPr>
              <w:pStyle w:val="NormalWeb"/>
              <w:spacing w:before="40" w:beforeAutospacing="0" w:after="40" w:afterAutospacing="0"/>
              <w:jc w:val="both"/>
              <w:rPr>
                <w:rFonts w:asciiTheme="minorHAnsi" w:hAnsiTheme="minorHAnsi" w:cstheme="minorHAnsi"/>
                <w:sz w:val="20"/>
                <w:szCs w:val="20"/>
                <w:lang w:val="en-GB"/>
              </w:rPr>
            </w:pPr>
          </w:p>
          <w:p w14:paraId="539857DC" w14:textId="3527E021" w:rsidR="00BF5BE8" w:rsidRPr="00900767" w:rsidRDefault="00BF5BE8" w:rsidP="00CD130A">
            <w:pPr>
              <w:pStyle w:val="NormalWeb"/>
              <w:spacing w:before="40" w:beforeAutospacing="0" w:after="40" w:afterAutospacing="0"/>
              <w:rPr>
                <w:rFonts w:asciiTheme="minorHAnsi" w:hAnsiTheme="minorHAnsi"/>
                <w:b/>
                <w:color w:val="00AC4E" w:themeColor="accent1"/>
                <w:sz w:val="20"/>
                <w:szCs w:val="20"/>
                <w:lang w:val="en-GB"/>
              </w:rPr>
            </w:pPr>
            <w:r w:rsidRPr="00900767">
              <w:rPr>
                <w:rFonts w:asciiTheme="minorHAnsi" w:hAnsiTheme="minorHAnsi"/>
                <w:b/>
                <w:color w:val="00AC4E" w:themeColor="accent1"/>
                <w:sz w:val="20"/>
                <w:szCs w:val="20"/>
                <w:lang w:val="en-GB"/>
              </w:rPr>
              <w:lastRenderedPageBreak/>
              <w:t>Key Takeaways</w:t>
            </w:r>
            <w:r w:rsidRPr="00900767">
              <w:rPr>
                <w:rFonts w:asciiTheme="minorHAnsi" w:hAnsiTheme="minorHAnsi"/>
                <w:sz w:val="20"/>
                <w:szCs w:val="20"/>
                <w:lang w:val="en-GB"/>
              </w:rPr>
              <w:t>:</w:t>
            </w:r>
          </w:p>
          <w:p w14:paraId="166F6486" w14:textId="77777777" w:rsidR="00BF5BE8" w:rsidRPr="00900767" w:rsidRDefault="00BF5BE8" w:rsidP="00BF5BE8">
            <w:pPr>
              <w:pStyle w:val="ListParagraph"/>
              <w:numPr>
                <w:ilvl w:val="0"/>
                <w:numId w:val="236"/>
              </w:numPr>
              <w:jc w:val="both"/>
              <w:rPr>
                <w:szCs w:val="20"/>
                <w:lang w:eastAsia="en-IE"/>
              </w:rPr>
            </w:pPr>
            <w:r w:rsidRPr="00900767">
              <w:rPr>
                <w:szCs w:val="20"/>
              </w:rPr>
              <w:t>Investing in data quality upfront significantly reduces the cost and risk of downstream errors in reporting and decision-making.</w:t>
            </w:r>
          </w:p>
          <w:p w14:paraId="4A7014BD" w14:textId="77777777" w:rsidR="00BF5BE8" w:rsidRPr="00900767" w:rsidRDefault="00BF5BE8" w:rsidP="00BF5BE8">
            <w:pPr>
              <w:pStyle w:val="NormalWeb"/>
              <w:numPr>
                <w:ilvl w:val="0"/>
                <w:numId w:val="236"/>
              </w:numPr>
              <w:spacing w:before="40" w:after="40"/>
              <w:jc w:val="both"/>
              <w:rPr>
                <w:rFonts w:asciiTheme="minorHAnsi" w:hAnsiTheme="minorHAnsi"/>
                <w:sz w:val="20"/>
                <w:szCs w:val="20"/>
                <w:lang w:val="en-GB"/>
              </w:rPr>
            </w:pPr>
            <w:r w:rsidRPr="00900767">
              <w:rPr>
                <w:rFonts w:asciiTheme="minorHAnsi" w:hAnsiTheme="minorHAnsi"/>
                <w:sz w:val="20"/>
                <w:szCs w:val="20"/>
                <w:lang w:val="en-GB"/>
              </w:rPr>
              <w:t xml:space="preserve">The six core data quality dimensions to check for are: accuracy, completeness, consistency, timeliness, validity and uniqueness. </w:t>
            </w:r>
          </w:p>
          <w:p w14:paraId="48D86902" w14:textId="77777777" w:rsidR="00BF5BE8" w:rsidRPr="00900767" w:rsidRDefault="00BF5BE8" w:rsidP="00BF5BE8">
            <w:pPr>
              <w:pStyle w:val="NormalWeb"/>
              <w:numPr>
                <w:ilvl w:val="0"/>
                <w:numId w:val="236"/>
              </w:numPr>
              <w:spacing w:before="40" w:after="40"/>
              <w:jc w:val="both"/>
              <w:rPr>
                <w:rFonts w:asciiTheme="minorHAnsi" w:hAnsiTheme="minorHAnsi"/>
                <w:sz w:val="20"/>
                <w:szCs w:val="20"/>
                <w:lang w:val="en-GB"/>
              </w:rPr>
            </w:pPr>
            <w:r w:rsidRPr="00900767">
              <w:rPr>
                <w:rFonts w:asciiTheme="minorHAnsi" w:hAnsiTheme="minorHAnsi"/>
                <w:sz w:val="20"/>
                <w:szCs w:val="20"/>
                <w:lang w:val="en-GB"/>
              </w:rPr>
              <w:t>Data quality checks can be introduced in the collection, storage and usage phases of data lifecycle.</w:t>
            </w:r>
          </w:p>
          <w:p w14:paraId="31413D1B" w14:textId="77777777" w:rsidR="00BF5BE8" w:rsidRPr="00900767" w:rsidRDefault="00BF5BE8" w:rsidP="00900767">
            <w:pPr>
              <w:pStyle w:val="NormalWeb"/>
              <w:spacing w:before="40" w:after="0" w:afterAutospacing="0"/>
              <w:rPr>
                <w:rFonts w:asciiTheme="minorHAnsi" w:hAnsiTheme="minorHAnsi"/>
                <w:b/>
                <w:color w:val="00AC4E" w:themeColor="accent1"/>
                <w:sz w:val="20"/>
                <w:szCs w:val="20"/>
                <w:lang w:val="en-GB"/>
              </w:rPr>
            </w:pPr>
            <w:r w:rsidRPr="00900767">
              <w:rPr>
                <w:rFonts w:asciiTheme="minorHAnsi" w:hAnsiTheme="minorHAnsi"/>
                <w:b/>
                <w:color w:val="00AC4E" w:themeColor="accent1"/>
                <w:sz w:val="20"/>
                <w:szCs w:val="20"/>
                <w:lang w:val="en-GB"/>
              </w:rPr>
              <w:t>Quick Check</w:t>
            </w:r>
          </w:p>
          <w:p w14:paraId="2ED2044F" w14:textId="5624506A" w:rsidR="00BF5BE8" w:rsidRPr="00900767" w:rsidRDefault="00BF5BE8" w:rsidP="00EF521E">
            <w:pPr>
              <w:pStyle w:val="ListParagraph"/>
              <w:numPr>
                <w:ilvl w:val="0"/>
                <w:numId w:val="250"/>
              </w:numPr>
              <w:rPr>
                <w:color w:val="009889" w:themeColor="accent2"/>
                <w:szCs w:val="20"/>
              </w:rPr>
            </w:pPr>
            <w:r w:rsidRPr="00900767">
              <w:rPr>
                <w:color w:val="009889" w:themeColor="accent2"/>
                <w:szCs w:val="20"/>
              </w:rPr>
              <w:t>Which of the following best describes a consistency check in data validation?</w:t>
            </w:r>
          </w:p>
          <w:p w14:paraId="49FC19D3" w14:textId="77777777" w:rsidR="00BF5BE8" w:rsidRPr="00900767" w:rsidRDefault="00BF5BE8" w:rsidP="00CD130A">
            <w:pPr>
              <w:ind w:left="720"/>
              <w:rPr>
                <w:szCs w:val="20"/>
              </w:rPr>
            </w:pPr>
            <w:r w:rsidRPr="00900767">
              <w:rPr>
                <w:szCs w:val="20"/>
              </w:rPr>
              <w:t>a) Verifying that a date field contains only numerical characters</w:t>
            </w:r>
          </w:p>
          <w:p w14:paraId="6777864C" w14:textId="77777777" w:rsidR="00BF5BE8" w:rsidRPr="00900767" w:rsidRDefault="00BF5BE8" w:rsidP="00CD130A">
            <w:pPr>
              <w:ind w:left="720"/>
              <w:rPr>
                <w:szCs w:val="20"/>
              </w:rPr>
            </w:pPr>
            <w:r w:rsidRPr="00900767">
              <w:rPr>
                <w:szCs w:val="20"/>
              </w:rPr>
              <w:t>b) Confirming that all required fields in a record have been populated</w:t>
            </w:r>
          </w:p>
          <w:p w14:paraId="6F67F8DC" w14:textId="77777777" w:rsidR="00BF5BE8" w:rsidRPr="00900767" w:rsidRDefault="00BF5BE8" w:rsidP="00CD130A">
            <w:pPr>
              <w:ind w:left="720"/>
              <w:rPr>
                <w:szCs w:val="20"/>
              </w:rPr>
            </w:pPr>
            <w:r w:rsidRPr="00900767">
              <w:rPr>
                <w:szCs w:val="20"/>
              </w:rPr>
              <w:t>c) Checking that related values across fields are logically coherent</w:t>
            </w:r>
          </w:p>
          <w:p w14:paraId="02C2F54E" w14:textId="77777777" w:rsidR="00BF5BE8" w:rsidRPr="00900767" w:rsidRDefault="00BF5BE8" w:rsidP="00CD130A">
            <w:pPr>
              <w:ind w:left="720"/>
              <w:rPr>
                <w:szCs w:val="20"/>
              </w:rPr>
            </w:pPr>
            <w:r w:rsidRPr="00900767">
              <w:rPr>
                <w:szCs w:val="20"/>
              </w:rPr>
              <w:t>d) Ensuring that customer IDs are unique across the entire database</w:t>
            </w:r>
          </w:p>
          <w:p w14:paraId="0C495BAD" w14:textId="77777777" w:rsidR="00BF5BE8" w:rsidRPr="00900767" w:rsidRDefault="00BF5BE8" w:rsidP="00CD130A">
            <w:pPr>
              <w:ind w:left="720"/>
              <w:rPr>
                <w:szCs w:val="20"/>
              </w:rPr>
            </w:pPr>
          </w:p>
          <w:p w14:paraId="754EA103" w14:textId="204B4D10" w:rsidR="00BF5BE8" w:rsidRPr="00900767" w:rsidRDefault="00BF5BE8" w:rsidP="00EF521E">
            <w:pPr>
              <w:pStyle w:val="ListParagraph"/>
              <w:numPr>
                <w:ilvl w:val="0"/>
                <w:numId w:val="250"/>
              </w:numPr>
              <w:rPr>
                <w:color w:val="009889" w:themeColor="accent2"/>
                <w:szCs w:val="20"/>
              </w:rPr>
            </w:pPr>
            <w:r w:rsidRPr="00900767">
              <w:rPr>
                <w:color w:val="009889" w:themeColor="accent2"/>
                <w:szCs w:val="20"/>
              </w:rPr>
              <w:t>True or False</w:t>
            </w:r>
          </w:p>
          <w:p w14:paraId="6483E484" w14:textId="77777777" w:rsidR="00BF5BE8" w:rsidRPr="00900767" w:rsidRDefault="00BF5BE8" w:rsidP="00E661A9">
            <w:pPr>
              <w:jc w:val="both"/>
              <w:rPr>
                <w:szCs w:val="20"/>
              </w:rPr>
            </w:pPr>
            <w:r w:rsidRPr="00900767">
              <w:rPr>
                <w:szCs w:val="20"/>
              </w:rPr>
              <w:t>“Data cleaning is a one-time effort and doesn’t need to be repeated when new data is introduced to the system.”</w:t>
            </w:r>
          </w:p>
          <w:p w14:paraId="32E2975C" w14:textId="77777777" w:rsidR="00BF5BE8" w:rsidRPr="00900767" w:rsidRDefault="00BF5BE8" w:rsidP="00CD130A">
            <w:pPr>
              <w:rPr>
                <w:szCs w:val="20"/>
              </w:rPr>
            </w:pPr>
          </w:p>
          <w:p w14:paraId="39D5847B" w14:textId="27EC8159" w:rsidR="00BF5BE8" w:rsidRPr="00900767" w:rsidRDefault="00BF5BE8" w:rsidP="00EF521E">
            <w:pPr>
              <w:pStyle w:val="ListParagraph"/>
              <w:numPr>
                <w:ilvl w:val="0"/>
                <w:numId w:val="250"/>
              </w:numPr>
              <w:rPr>
                <w:color w:val="009889" w:themeColor="accent2"/>
                <w:szCs w:val="20"/>
              </w:rPr>
            </w:pPr>
            <w:r w:rsidRPr="00900767">
              <w:rPr>
                <w:color w:val="009889" w:themeColor="accent2"/>
                <w:szCs w:val="20"/>
              </w:rPr>
              <w:t>True or False</w:t>
            </w:r>
          </w:p>
          <w:p w14:paraId="4F483747" w14:textId="77777777" w:rsidR="00BF5BE8" w:rsidRPr="00900767" w:rsidRDefault="00BF5BE8" w:rsidP="00CD130A">
            <w:pPr>
              <w:rPr>
                <w:szCs w:val="20"/>
              </w:rPr>
            </w:pPr>
            <w:r w:rsidRPr="00900767">
              <w:rPr>
                <w:szCs w:val="20"/>
              </w:rPr>
              <w:t>“When data validation is introduced in the data collection phase, it can prevent erroneous data from being inserted.”</w:t>
            </w:r>
          </w:p>
          <w:p w14:paraId="207D7B68" w14:textId="77777777" w:rsidR="00BF5BE8" w:rsidRPr="00900767" w:rsidRDefault="00BF5BE8" w:rsidP="00CD130A">
            <w:pPr>
              <w:rPr>
                <w:szCs w:val="20"/>
              </w:rPr>
            </w:pPr>
          </w:p>
          <w:p w14:paraId="15732C07" w14:textId="6EF923E8" w:rsidR="00BF5BE8" w:rsidRPr="00900767" w:rsidRDefault="00BF5BE8" w:rsidP="00900767">
            <w:pPr>
              <w:rPr>
                <w:i/>
                <w:iCs/>
                <w:szCs w:val="20"/>
              </w:rPr>
            </w:pPr>
            <w:r w:rsidRPr="00900767">
              <w:rPr>
                <w:i/>
                <w:iCs/>
                <w:szCs w:val="20"/>
              </w:rPr>
              <w:t>Answer key: 1) c; 2) False; 3) True</w:t>
            </w:r>
          </w:p>
        </w:tc>
      </w:tr>
    </w:tbl>
    <w:p w14:paraId="6B9DBA2D" w14:textId="77777777" w:rsidR="00BF5BE8" w:rsidRDefault="00BF5BE8" w:rsidP="00413340">
      <w:pPr>
        <w:spacing w:line="240" w:lineRule="auto"/>
      </w:pPr>
    </w:p>
    <w:p w14:paraId="6CDF7444" w14:textId="77777777" w:rsidR="001B29F2" w:rsidRPr="00EF521E" w:rsidRDefault="001B29F2" w:rsidP="00413340">
      <w:pPr>
        <w:spacing w:line="240" w:lineRule="auto"/>
      </w:pPr>
    </w:p>
    <w:tbl>
      <w:tblPr>
        <w:tblStyle w:val="TableGrid"/>
        <w:tblW w:w="0" w:type="auto"/>
        <w:tblLook w:val="04A0" w:firstRow="1" w:lastRow="0" w:firstColumn="1" w:lastColumn="0" w:noHBand="0" w:noVBand="1"/>
      </w:tblPr>
      <w:tblGrid>
        <w:gridCol w:w="9628"/>
      </w:tblGrid>
      <w:tr w:rsidR="00AA562D" w:rsidRPr="00EF521E" w14:paraId="66BB917A" w14:textId="77777777" w:rsidTr="00AA562D">
        <w:tc>
          <w:tcPr>
            <w:tcW w:w="9628" w:type="dxa"/>
            <w:shd w:val="clear" w:color="auto" w:fill="FFFFFF" w:themeFill="background1"/>
          </w:tcPr>
          <w:p w14:paraId="563FC028" w14:textId="5AF2C1D6" w:rsidR="00AA562D" w:rsidRPr="00EF521E" w:rsidRDefault="00290AAA" w:rsidP="00413340">
            <w:pPr>
              <w:pStyle w:val="Heading2"/>
              <w:numPr>
                <w:ilvl w:val="0"/>
                <w:numId w:val="0"/>
              </w:numPr>
              <w:spacing w:before="0"/>
              <w:rPr>
                <w:rFonts w:cstheme="minorHAnsi"/>
                <w:szCs w:val="20"/>
              </w:rPr>
            </w:pPr>
            <w:bookmarkStart w:id="46" w:name="_Toc227485171"/>
            <w:r w:rsidRPr="00290AAA">
              <w:rPr>
                <w:rFonts w:cstheme="minorHAnsi"/>
                <w:szCs w:val="20"/>
              </w:rPr>
              <w:t>Module 2: Conclusion and Assessment</w:t>
            </w:r>
            <w:bookmarkEnd w:id="46"/>
          </w:p>
        </w:tc>
      </w:tr>
      <w:tr w:rsidR="00531361" w:rsidRPr="00EF521E" w14:paraId="32DCDE0A" w14:textId="77777777" w:rsidTr="006203D4">
        <w:tc>
          <w:tcPr>
            <w:tcW w:w="9628" w:type="dxa"/>
            <w:shd w:val="clear" w:color="FFFFFF" w:fill="D9D9D9" w:themeFill="background1" w:themeFillShade="D9"/>
          </w:tcPr>
          <w:p w14:paraId="78CB85E7" w14:textId="3B52D6B4" w:rsidR="00531361" w:rsidRPr="00290AAA" w:rsidRDefault="00290AAA" w:rsidP="00290AAA">
            <w:pPr>
              <w:pStyle w:val="NoSpacing"/>
              <w:jc w:val="both"/>
              <w:rPr>
                <w:b/>
                <w:sz w:val="22"/>
                <w:szCs w:val="22"/>
                <w:lang w:val="en-US"/>
              </w:rPr>
            </w:pPr>
            <w:r w:rsidRPr="00900767">
              <w:rPr>
                <w:b/>
                <w:sz w:val="20"/>
                <w:szCs w:val="20"/>
              </w:rPr>
              <w:t>Module Summary:</w:t>
            </w:r>
          </w:p>
        </w:tc>
      </w:tr>
      <w:tr w:rsidR="00AA562D" w:rsidRPr="00EF521E" w14:paraId="1A5471B7" w14:textId="77777777" w:rsidTr="00AA562D">
        <w:tc>
          <w:tcPr>
            <w:tcW w:w="9628" w:type="dxa"/>
            <w:shd w:val="clear" w:color="auto" w:fill="FFFFFF" w:themeFill="background1"/>
          </w:tcPr>
          <w:p w14:paraId="0344D737" w14:textId="77777777" w:rsidR="00290AAA" w:rsidRPr="00900767" w:rsidRDefault="00290AAA" w:rsidP="00290AAA">
            <w:pPr>
              <w:jc w:val="both"/>
              <w:rPr>
                <w:rFonts w:cstheme="minorHAnsi"/>
                <w:szCs w:val="20"/>
              </w:rPr>
            </w:pPr>
            <w:r w:rsidRPr="00900767">
              <w:rPr>
                <w:rFonts w:cstheme="minorHAnsi"/>
                <w:bCs/>
                <w:szCs w:val="20"/>
              </w:rPr>
              <w:t>Module 2 equipped</w:t>
            </w:r>
            <w:r w:rsidRPr="00900767">
              <w:rPr>
                <w:rFonts w:cstheme="minorHAnsi"/>
                <w:szCs w:val="20"/>
              </w:rPr>
              <w:t xml:space="preserve"> you with essential competencies in data governance, collection and quality assurance. These pillars ensure that sustainability data is understandable, trustworthy, accessible and decision ready.</w:t>
            </w:r>
          </w:p>
          <w:p w14:paraId="0300FFF2" w14:textId="77777777" w:rsidR="00290AAA" w:rsidRPr="00900767" w:rsidRDefault="00290AAA" w:rsidP="00290AAA">
            <w:pPr>
              <w:jc w:val="both"/>
              <w:rPr>
                <w:rFonts w:cstheme="minorHAnsi"/>
                <w:szCs w:val="20"/>
              </w:rPr>
            </w:pPr>
            <w:r w:rsidRPr="00900767">
              <w:rPr>
                <w:rFonts w:cstheme="minorHAnsi"/>
                <w:szCs w:val="20"/>
              </w:rPr>
              <w:t>Data governance establishes the policies, roles, and accountability structures that guide how data is managed across its lifecycle, while data management translates those policies into operational practice. Understanding the six stages of the data lifecycle (plan, collect, store, use, archive, destroy) provides the framework for implementing governance at every step.</w:t>
            </w:r>
          </w:p>
          <w:p w14:paraId="5867ABC6" w14:textId="77777777" w:rsidR="00290AAA" w:rsidRPr="00900767" w:rsidRDefault="00290AAA" w:rsidP="00290AAA">
            <w:pPr>
              <w:jc w:val="both"/>
              <w:rPr>
                <w:rFonts w:cstheme="minorHAnsi"/>
                <w:szCs w:val="20"/>
              </w:rPr>
            </w:pPr>
            <w:r w:rsidRPr="00900767">
              <w:rPr>
                <w:rFonts w:cstheme="minorHAnsi"/>
                <w:szCs w:val="20"/>
              </w:rPr>
              <w:t>Data collection workflows require careful planning across five key steps: identifying data needs, selecting appropriate methods and sources, designing entry mechanisms, assigning clear responsibilities and validating before storage.</w:t>
            </w:r>
          </w:p>
          <w:p w14:paraId="1C35B8FF" w14:textId="77777777" w:rsidR="00290AAA" w:rsidRPr="00900767" w:rsidRDefault="00290AAA" w:rsidP="00290AAA">
            <w:pPr>
              <w:jc w:val="both"/>
              <w:rPr>
                <w:rFonts w:cstheme="minorHAnsi"/>
                <w:szCs w:val="20"/>
              </w:rPr>
            </w:pPr>
            <w:r w:rsidRPr="00900767">
              <w:rPr>
                <w:rFonts w:cstheme="minorHAnsi"/>
                <w:szCs w:val="20"/>
              </w:rPr>
              <w:t>Data quality has six core dimensions: accuracy, completeness, consistency, timeliness, validity and uniqueness. Quality checks should be embedded throughout the data lifecycle, from validation rules at the point of collection, to format controls in storage systems, to profiling checks during analysis. Data cleaning is a continuous process essential for maintaining high-quality data for analysis.</w:t>
            </w:r>
          </w:p>
          <w:p w14:paraId="5406DA50" w14:textId="77777777" w:rsidR="00290AAA" w:rsidRPr="00900767" w:rsidRDefault="00290AAA" w:rsidP="00290AAA">
            <w:pPr>
              <w:jc w:val="both"/>
              <w:rPr>
                <w:rFonts w:cstheme="minorHAnsi"/>
                <w:szCs w:val="20"/>
              </w:rPr>
            </w:pPr>
            <w:r w:rsidRPr="00900767">
              <w:rPr>
                <w:rFonts w:cstheme="minorHAnsi"/>
                <w:szCs w:val="20"/>
              </w:rPr>
              <w:lastRenderedPageBreak/>
              <w:t>High-quality sustainability data doesn't happen by accident. It results from intentional design of governance structures, collection processes and validation mechanisms. The metadata you create, the roles you assign, and the quality rules you enforce today will determine the reliability of your sustainability reporting tomorrow.</w:t>
            </w:r>
          </w:p>
          <w:p w14:paraId="25F21A70" w14:textId="77777777" w:rsidR="00290AAA" w:rsidRPr="00900767" w:rsidRDefault="00290AAA" w:rsidP="00290AAA">
            <w:pPr>
              <w:pStyle w:val="NoSpacing"/>
              <w:jc w:val="both"/>
              <w:rPr>
                <w:rFonts w:cstheme="minorHAnsi"/>
                <w:sz w:val="20"/>
                <w:szCs w:val="20"/>
                <w:lang w:val="en-US"/>
              </w:rPr>
            </w:pPr>
          </w:p>
          <w:p w14:paraId="53ECF954" w14:textId="77777777" w:rsidR="00290AAA" w:rsidRPr="00900767" w:rsidRDefault="00290AAA" w:rsidP="00290AAA">
            <w:pPr>
              <w:pStyle w:val="NoSpacing"/>
              <w:jc w:val="both"/>
              <w:rPr>
                <w:rFonts w:cstheme="minorHAnsi"/>
                <w:b/>
                <w:color w:val="00AC4D"/>
                <w:sz w:val="20"/>
                <w:szCs w:val="20"/>
                <w:lang w:val="en-US"/>
              </w:rPr>
            </w:pPr>
            <w:r w:rsidRPr="00900767">
              <w:rPr>
                <w:rFonts w:cstheme="minorHAnsi"/>
                <w:b/>
                <w:color w:val="00AC4D"/>
                <w:sz w:val="20"/>
                <w:szCs w:val="20"/>
              </w:rPr>
              <w:t>Module Knowledge Quiz</w:t>
            </w:r>
          </w:p>
          <w:p w14:paraId="4525DFA9" w14:textId="77777777" w:rsidR="00290AAA" w:rsidRPr="00900767" w:rsidRDefault="00290AAA" w:rsidP="00710EDF">
            <w:pPr>
              <w:pStyle w:val="NoSpacing"/>
              <w:numPr>
                <w:ilvl w:val="0"/>
                <w:numId w:val="252"/>
              </w:numPr>
              <w:jc w:val="both"/>
              <w:rPr>
                <w:rFonts w:cstheme="minorHAnsi"/>
                <w:color w:val="009889" w:themeColor="accent2"/>
                <w:sz w:val="20"/>
                <w:szCs w:val="20"/>
                <w:lang w:val="en-US"/>
              </w:rPr>
            </w:pPr>
            <w:r w:rsidRPr="00900767">
              <w:rPr>
                <w:rFonts w:cstheme="minorHAnsi"/>
                <w:color w:val="009889" w:themeColor="accent2"/>
                <w:sz w:val="20"/>
                <w:szCs w:val="20"/>
              </w:rPr>
              <w:t>What is the primary purpose of the 'Archive' stage in the data lifecycle?</w:t>
            </w:r>
          </w:p>
          <w:p w14:paraId="59022F8F" w14:textId="77777777" w:rsidR="00290AAA" w:rsidRPr="00900767" w:rsidRDefault="00290AAA" w:rsidP="00710EDF">
            <w:pPr>
              <w:pStyle w:val="NoSpacing"/>
              <w:numPr>
                <w:ilvl w:val="0"/>
                <w:numId w:val="257"/>
              </w:numPr>
              <w:jc w:val="both"/>
              <w:rPr>
                <w:rFonts w:cstheme="minorHAnsi"/>
                <w:sz w:val="20"/>
                <w:szCs w:val="20"/>
                <w:lang w:val="en-US"/>
              </w:rPr>
            </w:pPr>
            <w:r w:rsidRPr="00900767">
              <w:rPr>
                <w:rFonts w:cstheme="minorHAnsi"/>
                <w:sz w:val="20"/>
                <w:szCs w:val="20"/>
              </w:rPr>
              <w:t>Data is destroyed to compile with regulations.</w:t>
            </w:r>
          </w:p>
          <w:p w14:paraId="43E760A2" w14:textId="77777777" w:rsidR="00290AAA" w:rsidRPr="00900767" w:rsidRDefault="00290AAA" w:rsidP="00710EDF">
            <w:pPr>
              <w:pStyle w:val="NoSpacing"/>
              <w:numPr>
                <w:ilvl w:val="0"/>
                <w:numId w:val="257"/>
              </w:numPr>
              <w:jc w:val="both"/>
              <w:rPr>
                <w:rFonts w:cstheme="minorHAnsi"/>
                <w:sz w:val="20"/>
                <w:szCs w:val="20"/>
                <w:lang w:val="en-US"/>
              </w:rPr>
            </w:pPr>
            <w:r w:rsidRPr="00900767">
              <w:rPr>
                <w:rFonts w:eastAsia="Arial" w:cstheme="minorHAnsi"/>
                <w:color w:val="2D2D2D"/>
                <w:sz w:val="20"/>
                <w:szCs w:val="20"/>
              </w:rPr>
              <w:t>Non-current data is saved in a different part of the system, so users don’t end up using old data.</w:t>
            </w:r>
          </w:p>
          <w:p w14:paraId="1E72FEF8" w14:textId="5985D671" w:rsidR="00290AAA" w:rsidRPr="00900767" w:rsidRDefault="00290AAA" w:rsidP="00710EDF">
            <w:pPr>
              <w:pStyle w:val="NoSpacing"/>
              <w:numPr>
                <w:ilvl w:val="0"/>
                <w:numId w:val="257"/>
              </w:numPr>
              <w:jc w:val="both"/>
              <w:rPr>
                <w:rFonts w:cstheme="minorHAnsi"/>
                <w:sz w:val="20"/>
                <w:szCs w:val="20"/>
                <w:lang w:val="en-US"/>
              </w:rPr>
            </w:pPr>
            <w:r w:rsidRPr="00900767">
              <w:rPr>
                <w:rFonts w:cstheme="minorHAnsi"/>
                <w:sz w:val="20"/>
                <w:szCs w:val="20"/>
              </w:rPr>
              <w:t>Data is archived to save resources.</w:t>
            </w:r>
          </w:p>
          <w:p w14:paraId="365E415D" w14:textId="4FAA9768" w:rsidR="00290AAA" w:rsidRPr="001B29F2" w:rsidRDefault="00290AAA" w:rsidP="001B29F2">
            <w:pPr>
              <w:pStyle w:val="NoSpacing"/>
              <w:numPr>
                <w:ilvl w:val="0"/>
                <w:numId w:val="257"/>
              </w:numPr>
              <w:spacing w:after="240"/>
              <w:jc w:val="both"/>
              <w:rPr>
                <w:rFonts w:cstheme="minorHAnsi"/>
                <w:sz w:val="20"/>
                <w:szCs w:val="20"/>
                <w:lang w:val="en-US"/>
              </w:rPr>
            </w:pPr>
            <w:r w:rsidRPr="001B29F2">
              <w:rPr>
                <w:rFonts w:cstheme="minorHAnsi"/>
                <w:sz w:val="20"/>
                <w:szCs w:val="20"/>
              </w:rPr>
              <w:t>To encrypt data so it can be accessed only by the Data Privacy Officer.</w:t>
            </w:r>
          </w:p>
          <w:p w14:paraId="58FE5264" w14:textId="77777777"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t>What is the correct order of the data lifecycle stages?</w:t>
            </w:r>
          </w:p>
          <w:p w14:paraId="2FABBCB7" w14:textId="45B332A1" w:rsidR="00290AAA" w:rsidRPr="00900767" w:rsidRDefault="00290AAA" w:rsidP="00710EDF">
            <w:pPr>
              <w:pStyle w:val="NoSpacing"/>
              <w:numPr>
                <w:ilvl w:val="0"/>
                <w:numId w:val="256"/>
              </w:numPr>
              <w:rPr>
                <w:rFonts w:cstheme="minorHAnsi"/>
                <w:sz w:val="20"/>
                <w:szCs w:val="20"/>
                <w:lang w:val="en-US"/>
              </w:rPr>
            </w:pPr>
            <w:r w:rsidRPr="00900767">
              <w:rPr>
                <w:rFonts w:cstheme="minorHAnsi"/>
                <w:sz w:val="20"/>
                <w:szCs w:val="20"/>
              </w:rPr>
              <w:t xml:space="preserve">Collect </w:t>
            </w:r>
            <w:r w:rsidRPr="00900767">
              <w:rPr>
                <w:rFonts w:ascii="Times New Roman" w:hAnsi="Times New Roman" w:cs="Times New Roman"/>
                <w:sz w:val="20"/>
                <w:szCs w:val="20"/>
              </w:rPr>
              <w:t>→</w:t>
            </w:r>
            <w:r w:rsidRPr="00900767">
              <w:rPr>
                <w:rFonts w:cstheme="minorHAnsi"/>
                <w:sz w:val="20"/>
                <w:szCs w:val="20"/>
              </w:rPr>
              <w:t xml:space="preserve"> Plan </w:t>
            </w:r>
            <w:r w:rsidRPr="00900767">
              <w:rPr>
                <w:rFonts w:ascii="Times New Roman" w:hAnsi="Times New Roman" w:cs="Times New Roman"/>
                <w:sz w:val="20"/>
                <w:szCs w:val="20"/>
              </w:rPr>
              <w:t>→</w:t>
            </w:r>
            <w:r w:rsidRPr="00900767">
              <w:rPr>
                <w:rFonts w:cstheme="minorHAnsi"/>
                <w:sz w:val="20"/>
                <w:szCs w:val="20"/>
              </w:rPr>
              <w:t xml:space="preserve"> Store </w:t>
            </w:r>
            <w:r w:rsidRPr="00900767">
              <w:rPr>
                <w:rFonts w:ascii="Times New Roman" w:hAnsi="Times New Roman" w:cs="Times New Roman"/>
                <w:sz w:val="20"/>
                <w:szCs w:val="20"/>
              </w:rPr>
              <w:t>→</w:t>
            </w:r>
            <w:r w:rsidRPr="00900767">
              <w:rPr>
                <w:rFonts w:cstheme="minorHAnsi"/>
                <w:sz w:val="20"/>
                <w:szCs w:val="20"/>
              </w:rPr>
              <w:t xml:space="preserve"> Use </w:t>
            </w:r>
            <w:r w:rsidRPr="00900767">
              <w:rPr>
                <w:rFonts w:ascii="Times New Roman" w:hAnsi="Times New Roman" w:cs="Times New Roman"/>
                <w:sz w:val="20"/>
                <w:szCs w:val="20"/>
              </w:rPr>
              <w:t>→</w:t>
            </w:r>
            <w:r w:rsidRPr="00900767">
              <w:rPr>
                <w:rFonts w:cstheme="minorHAnsi"/>
                <w:sz w:val="20"/>
                <w:szCs w:val="20"/>
              </w:rPr>
              <w:t xml:space="preserve"> Archive </w:t>
            </w:r>
            <w:r w:rsidRPr="00900767">
              <w:rPr>
                <w:rFonts w:ascii="Times New Roman" w:hAnsi="Times New Roman" w:cs="Times New Roman"/>
                <w:sz w:val="20"/>
                <w:szCs w:val="20"/>
              </w:rPr>
              <w:t>→</w:t>
            </w:r>
            <w:r w:rsidRPr="00900767">
              <w:rPr>
                <w:rFonts w:cstheme="minorHAnsi"/>
                <w:sz w:val="20"/>
                <w:szCs w:val="20"/>
              </w:rPr>
              <w:t xml:space="preserve"> Destroy</w:t>
            </w:r>
          </w:p>
          <w:p w14:paraId="6A739204" w14:textId="3CA20F06" w:rsidR="00290AAA" w:rsidRPr="00900767" w:rsidRDefault="00290AAA" w:rsidP="00710EDF">
            <w:pPr>
              <w:pStyle w:val="NoSpacing"/>
              <w:numPr>
                <w:ilvl w:val="0"/>
                <w:numId w:val="256"/>
              </w:numPr>
              <w:rPr>
                <w:rFonts w:cstheme="minorHAnsi"/>
                <w:sz w:val="20"/>
                <w:szCs w:val="20"/>
                <w:lang w:val="en-US"/>
              </w:rPr>
            </w:pPr>
            <w:r w:rsidRPr="00900767">
              <w:rPr>
                <w:rFonts w:cstheme="minorHAnsi"/>
                <w:sz w:val="20"/>
                <w:szCs w:val="20"/>
              </w:rPr>
              <w:t xml:space="preserve">Plan </w:t>
            </w:r>
            <w:r w:rsidRPr="00900767">
              <w:rPr>
                <w:rFonts w:ascii="Times New Roman" w:hAnsi="Times New Roman" w:cs="Times New Roman"/>
                <w:sz w:val="20"/>
                <w:szCs w:val="20"/>
              </w:rPr>
              <w:t>→</w:t>
            </w:r>
            <w:r w:rsidRPr="00900767">
              <w:rPr>
                <w:rFonts w:cstheme="minorHAnsi"/>
                <w:sz w:val="20"/>
                <w:szCs w:val="20"/>
              </w:rPr>
              <w:t xml:space="preserve"> Collect </w:t>
            </w:r>
            <w:r w:rsidRPr="00900767">
              <w:rPr>
                <w:rFonts w:ascii="Times New Roman" w:hAnsi="Times New Roman" w:cs="Times New Roman"/>
                <w:sz w:val="20"/>
                <w:szCs w:val="20"/>
              </w:rPr>
              <w:t>→</w:t>
            </w:r>
            <w:r w:rsidRPr="00900767">
              <w:rPr>
                <w:rFonts w:cstheme="minorHAnsi"/>
                <w:sz w:val="20"/>
                <w:szCs w:val="20"/>
              </w:rPr>
              <w:t xml:space="preserve"> Store </w:t>
            </w:r>
            <w:r w:rsidRPr="00900767">
              <w:rPr>
                <w:rFonts w:ascii="Times New Roman" w:hAnsi="Times New Roman" w:cs="Times New Roman"/>
                <w:sz w:val="20"/>
                <w:szCs w:val="20"/>
              </w:rPr>
              <w:t>→</w:t>
            </w:r>
            <w:r w:rsidRPr="00900767">
              <w:rPr>
                <w:rFonts w:cstheme="minorHAnsi"/>
                <w:sz w:val="20"/>
                <w:szCs w:val="20"/>
              </w:rPr>
              <w:t xml:space="preserve"> Use </w:t>
            </w:r>
            <w:r w:rsidRPr="00900767">
              <w:rPr>
                <w:rFonts w:ascii="Times New Roman" w:hAnsi="Times New Roman" w:cs="Times New Roman"/>
                <w:sz w:val="20"/>
                <w:szCs w:val="20"/>
              </w:rPr>
              <w:t>→</w:t>
            </w:r>
            <w:r w:rsidRPr="00900767">
              <w:rPr>
                <w:rFonts w:cstheme="minorHAnsi"/>
                <w:sz w:val="20"/>
                <w:szCs w:val="20"/>
              </w:rPr>
              <w:t xml:space="preserve"> Archive </w:t>
            </w:r>
            <w:r w:rsidRPr="00900767">
              <w:rPr>
                <w:rFonts w:ascii="Times New Roman" w:hAnsi="Times New Roman" w:cs="Times New Roman"/>
                <w:sz w:val="20"/>
                <w:szCs w:val="20"/>
              </w:rPr>
              <w:t>→</w:t>
            </w:r>
            <w:r w:rsidRPr="00900767">
              <w:rPr>
                <w:rFonts w:cstheme="minorHAnsi"/>
                <w:sz w:val="20"/>
                <w:szCs w:val="20"/>
              </w:rPr>
              <w:t xml:space="preserve"> Destroy</w:t>
            </w:r>
          </w:p>
          <w:p w14:paraId="6EB5A5FA" w14:textId="30273498" w:rsidR="00290AAA" w:rsidRPr="00900767" w:rsidRDefault="00290AAA" w:rsidP="00710EDF">
            <w:pPr>
              <w:pStyle w:val="NoSpacing"/>
              <w:numPr>
                <w:ilvl w:val="0"/>
                <w:numId w:val="256"/>
              </w:numPr>
              <w:rPr>
                <w:rFonts w:cstheme="minorHAnsi"/>
                <w:sz w:val="20"/>
                <w:szCs w:val="20"/>
                <w:lang w:val="en-US"/>
              </w:rPr>
            </w:pPr>
            <w:r w:rsidRPr="00900767">
              <w:rPr>
                <w:rFonts w:cstheme="minorHAnsi"/>
                <w:sz w:val="20"/>
                <w:szCs w:val="20"/>
              </w:rPr>
              <w:t xml:space="preserve">Plan </w:t>
            </w:r>
            <w:r w:rsidRPr="00900767">
              <w:rPr>
                <w:rFonts w:ascii="Times New Roman" w:hAnsi="Times New Roman" w:cs="Times New Roman"/>
                <w:sz w:val="20"/>
                <w:szCs w:val="20"/>
              </w:rPr>
              <w:t>→</w:t>
            </w:r>
            <w:r w:rsidRPr="00900767">
              <w:rPr>
                <w:rFonts w:cstheme="minorHAnsi"/>
                <w:sz w:val="20"/>
                <w:szCs w:val="20"/>
              </w:rPr>
              <w:t xml:space="preserve"> Collect </w:t>
            </w:r>
            <w:r w:rsidRPr="00900767">
              <w:rPr>
                <w:rFonts w:ascii="Times New Roman" w:hAnsi="Times New Roman" w:cs="Times New Roman"/>
                <w:sz w:val="20"/>
                <w:szCs w:val="20"/>
              </w:rPr>
              <w:t>→</w:t>
            </w:r>
            <w:r w:rsidRPr="00900767">
              <w:rPr>
                <w:rFonts w:cstheme="minorHAnsi"/>
                <w:sz w:val="20"/>
                <w:szCs w:val="20"/>
              </w:rPr>
              <w:t xml:space="preserve"> Use </w:t>
            </w:r>
            <w:r w:rsidRPr="00900767">
              <w:rPr>
                <w:rFonts w:ascii="Times New Roman" w:hAnsi="Times New Roman" w:cs="Times New Roman"/>
                <w:sz w:val="20"/>
                <w:szCs w:val="20"/>
              </w:rPr>
              <w:t>→</w:t>
            </w:r>
            <w:r w:rsidRPr="00900767">
              <w:rPr>
                <w:rFonts w:cstheme="minorHAnsi"/>
                <w:sz w:val="20"/>
                <w:szCs w:val="20"/>
              </w:rPr>
              <w:t xml:space="preserve"> Store </w:t>
            </w:r>
            <w:r w:rsidRPr="00900767">
              <w:rPr>
                <w:rFonts w:ascii="Times New Roman" w:hAnsi="Times New Roman" w:cs="Times New Roman"/>
                <w:sz w:val="20"/>
                <w:szCs w:val="20"/>
              </w:rPr>
              <w:t>→</w:t>
            </w:r>
            <w:r w:rsidRPr="00900767">
              <w:rPr>
                <w:rFonts w:cstheme="minorHAnsi"/>
                <w:sz w:val="20"/>
                <w:szCs w:val="20"/>
              </w:rPr>
              <w:t xml:space="preserve"> Archive </w:t>
            </w:r>
            <w:r w:rsidRPr="00900767">
              <w:rPr>
                <w:rFonts w:ascii="Times New Roman" w:hAnsi="Times New Roman" w:cs="Times New Roman"/>
                <w:sz w:val="20"/>
                <w:szCs w:val="20"/>
              </w:rPr>
              <w:t>→</w:t>
            </w:r>
            <w:r w:rsidRPr="00900767">
              <w:rPr>
                <w:rFonts w:cstheme="minorHAnsi"/>
                <w:sz w:val="20"/>
                <w:szCs w:val="20"/>
              </w:rPr>
              <w:t xml:space="preserve"> Destroy</w:t>
            </w:r>
          </w:p>
          <w:p w14:paraId="1923E678" w14:textId="3E304245" w:rsidR="00290AAA" w:rsidRPr="001B29F2" w:rsidRDefault="00290AAA" w:rsidP="001B29F2">
            <w:pPr>
              <w:pStyle w:val="NoSpacing"/>
              <w:numPr>
                <w:ilvl w:val="0"/>
                <w:numId w:val="256"/>
              </w:numPr>
              <w:spacing w:after="240"/>
              <w:rPr>
                <w:rFonts w:cstheme="minorHAnsi"/>
                <w:sz w:val="20"/>
                <w:szCs w:val="20"/>
                <w:lang w:val="en-US"/>
              </w:rPr>
            </w:pPr>
            <w:r w:rsidRPr="001B29F2">
              <w:rPr>
                <w:rFonts w:cstheme="minorHAnsi"/>
                <w:sz w:val="20"/>
                <w:szCs w:val="20"/>
              </w:rPr>
              <w:t xml:space="preserve">Collect </w:t>
            </w:r>
            <w:r w:rsidRPr="001B29F2">
              <w:rPr>
                <w:rFonts w:ascii="Times New Roman" w:hAnsi="Times New Roman" w:cs="Times New Roman"/>
                <w:sz w:val="20"/>
                <w:szCs w:val="20"/>
              </w:rPr>
              <w:t>→</w:t>
            </w:r>
            <w:r w:rsidRPr="001B29F2">
              <w:rPr>
                <w:rFonts w:cstheme="minorHAnsi"/>
                <w:sz w:val="20"/>
                <w:szCs w:val="20"/>
              </w:rPr>
              <w:t xml:space="preserve"> Store </w:t>
            </w:r>
            <w:r w:rsidRPr="001B29F2">
              <w:rPr>
                <w:rFonts w:ascii="Times New Roman" w:hAnsi="Times New Roman" w:cs="Times New Roman"/>
                <w:sz w:val="20"/>
                <w:szCs w:val="20"/>
              </w:rPr>
              <w:t>→</w:t>
            </w:r>
            <w:r w:rsidRPr="001B29F2">
              <w:rPr>
                <w:rFonts w:cstheme="minorHAnsi"/>
                <w:sz w:val="20"/>
                <w:szCs w:val="20"/>
              </w:rPr>
              <w:t xml:space="preserve"> Plan </w:t>
            </w:r>
            <w:r w:rsidRPr="001B29F2">
              <w:rPr>
                <w:rFonts w:ascii="Times New Roman" w:hAnsi="Times New Roman" w:cs="Times New Roman"/>
                <w:sz w:val="20"/>
                <w:szCs w:val="20"/>
              </w:rPr>
              <w:t>→</w:t>
            </w:r>
            <w:r w:rsidRPr="001B29F2">
              <w:rPr>
                <w:rFonts w:cstheme="minorHAnsi"/>
                <w:sz w:val="20"/>
                <w:szCs w:val="20"/>
              </w:rPr>
              <w:t xml:space="preserve"> Use </w:t>
            </w:r>
            <w:r w:rsidRPr="001B29F2">
              <w:rPr>
                <w:rFonts w:ascii="Times New Roman" w:hAnsi="Times New Roman" w:cs="Times New Roman"/>
                <w:sz w:val="20"/>
                <w:szCs w:val="20"/>
              </w:rPr>
              <w:t>→</w:t>
            </w:r>
            <w:r w:rsidRPr="001B29F2">
              <w:rPr>
                <w:rFonts w:cstheme="minorHAnsi"/>
                <w:sz w:val="20"/>
                <w:szCs w:val="20"/>
              </w:rPr>
              <w:t xml:space="preserve"> Archive </w:t>
            </w:r>
            <w:r w:rsidRPr="001B29F2">
              <w:rPr>
                <w:rFonts w:ascii="Times New Roman" w:hAnsi="Times New Roman" w:cs="Times New Roman"/>
                <w:sz w:val="20"/>
                <w:szCs w:val="20"/>
              </w:rPr>
              <w:t>→</w:t>
            </w:r>
            <w:r w:rsidRPr="001B29F2">
              <w:rPr>
                <w:rFonts w:cstheme="minorHAnsi"/>
                <w:sz w:val="20"/>
                <w:szCs w:val="20"/>
              </w:rPr>
              <w:t xml:space="preserve"> Destroy</w:t>
            </w:r>
            <w:r w:rsidR="001B29F2" w:rsidRPr="001B29F2">
              <w:rPr>
                <w:rFonts w:cstheme="minorHAnsi"/>
                <w:sz w:val="20"/>
                <w:szCs w:val="20"/>
              </w:rPr>
              <w:t>.</w:t>
            </w:r>
          </w:p>
          <w:p w14:paraId="114D440A" w14:textId="142FAACC"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t>Which data entry method typically has the highest error rate?</w:t>
            </w:r>
          </w:p>
          <w:p w14:paraId="5C38012F"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 xml:space="preserve">a) Automated meter/sensor </w:t>
            </w:r>
          </w:p>
          <w:p w14:paraId="6B9241D6"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 xml:space="preserve">b) Structured digital portal submission </w:t>
            </w:r>
          </w:p>
          <w:p w14:paraId="64F49FCF"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c) Validated spreadsheet template</w:t>
            </w:r>
          </w:p>
          <w:p w14:paraId="7C1BE4D6" w14:textId="18C96F81" w:rsidR="00290AAA" w:rsidRPr="00900767" w:rsidRDefault="00290AAA" w:rsidP="001B29F2">
            <w:pPr>
              <w:pStyle w:val="NoSpacing"/>
              <w:spacing w:after="240"/>
              <w:ind w:left="360"/>
              <w:rPr>
                <w:rFonts w:cstheme="minorHAnsi"/>
                <w:sz w:val="20"/>
                <w:szCs w:val="20"/>
                <w:lang w:val="en-US"/>
              </w:rPr>
            </w:pPr>
            <w:r w:rsidRPr="00900767">
              <w:rPr>
                <w:rFonts w:cstheme="minorHAnsi"/>
                <w:sz w:val="20"/>
                <w:szCs w:val="20"/>
              </w:rPr>
              <w:t>d) Unstructured manual input from email/PDF</w:t>
            </w:r>
            <w:r w:rsidR="001B29F2">
              <w:rPr>
                <w:rFonts w:cstheme="minorHAnsi"/>
                <w:sz w:val="20"/>
                <w:szCs w:val="20"/>
              </w:rPr>
              <w:t>.</w:t>
            </w:r>
          </w:p>
          <w:p w14:paraId="5526D742" w14:textId="7A3E73FF"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t>Secondary data collection in sustainability reporting is most commonly used for:</w:t>
            </w:r>
          </w:p>
          <w:p w14:paraId="4E1CE002"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a) Conducting employee satisfaction surveys</w:t>
            </w:r>
          </w:p>
          <w:p w14:paraId="44CA8F2F"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b) Applying emission factors to activity data</w:t>
            </w:r>
          </w:p>
          <w:p w14:paraId="29E3CB7A"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c) Recording real-time sensor measurements</w:t>
            </w:r>
          </w:p>
          <w:p w14:paraId="180E2BC1" w14:textId="5F7D80EA" w:rsidR="00290AAA" w:rsidRPr="00900767" w:rsidRDefault="00290AAA" w:rsidP="001B29F2">
            <w:pPr>
              <w:pStyle w:val="NoSpacing"/>
              <w:spacing w:after="240"/>
              <w:ind w:left="360"/>
              <w:rPr>
                <w:rFonts w:cstheme="minorHAnsi"/>
                <w:sz w:val="20"/>
                <w:szCs w:val="20"/>
                <w:lang w:val="en-US"/>
              </w:rPr>
            </w:pPr>
            <w:r w:rsidRPr="00900767">
              <w:rPr>
                <w:rFonts w:cstheme="minorHAnsi"/>
                <w:sz w:val="20"/>
                <w:szCs w:val="20"/>
              </w:rPr>
              <w:t>d) Interviewing stakeholders about material topics</w:t>
            </w:r>
          </w:p>
          <w:p w14:paraId="72B14182" w14:textId="48F4FB11"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t>Which data quality dimension is violated when energy consumption is reported in both kWh and MWh by different suppliers without standardization?</w:t>
            </w:r>
          </w:p>
          <w:p w14:paraId="152B137D"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a) Accuracy</w:t>
            </w:r>
          </w:p>
          <w:p w14:paraId="30974E3F"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b) Completeness</w:t>
            </w:r>
          </w:p>
          <w:p w14:paraId="37A18454"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c) Consistency</w:t>
            </w:r>
          </w:p>
          <w:p w14:paraId="21EC4C5B" w14:textId="4E1948C4" w:rsidR="00290AAA" w:rsidRPr="00900767" w:rsidRDefault="00290AAA" w:rsidP="001B29F2">
            <w:pPr>
              <w:pStyle w:val="NoSpacing"/>
              <w:spacing w:after="240"/>
              <w:ind w:left="360"/>
              <w:rPr>
                <w:rFonts w:cstheme="minorHAnsi"/>
                <w:sz w:val="20"/>
                <w:szCs w:val="20"/>
                <w:lang w:val="en-US"/>
              </w:rPr>
            </w:pPr>
            <w:r w:rsidRPr="00900767">
              <w:rPr>
                <w:rFonts w:cstheme="minorHAnsi"/>
                <w:sz w:val="20"/>
                <w:szCs w:val="20"/>
              </w:rPr>
              <w:t>d) Uniqueness</w:t>
            </w:r>
          </w:p>
          <w:p w14:paraId="271483B4" w14:textId="0D3B40F0" w:rsidR="00290AAA" w:rsidRPr="001B29F2" w:rsidRDefault="00290AAA" w:rsidP="001B29F2">
            <w:pPr>
              <w:pStyle w:val="NoSpacing"/>
              <w:numPr>
                <w:ilvl w:val="0"/>
                <w:numId w:val="252"/>
              </w:numPr>
              <w:spacing w:after="240"/>
              <w:rPr>
                <w:rFonts w:cstheme="minorHAnsi"/>
                <w:sz w:val="20"/>
                <w:szCs w:val="20"/>
                <w:lang w:val="en-US"/>
              </w:rPr>
            </w:pPr>
            <w:r w:rsidRPr="001B29F2">
              <w:rPr>
                <w:rFonts w:cstheme="minorHAnsi"/>
                <w:color w:val="009889" w:themeColor="accent2"/>
                <w:sz w:val="20"/>
                <w:szCs w:val="20"/>
              </w:rPr>
              <w:t>True or False: Metadata is optional documentation that is only necessary for very large datasets.</w:t>
            </w:r>
          </w:p>
          <w:p w14:paraId="590D4BA9" w14:textId="23D90779"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t>In the five-step data collection workflow, what is the purpose of Step 4 (Assign roles and responsibilities)?</w:t>
            </w:r>
          </w:p>
          <w:p w14:paraId="6E1C6B5F"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a) To determine which IT system will store the data</w:t>
            </w:r>
          </w:p>
          <w:p w14:paraId="534FFCEB"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b) To identify who collects, reviews, and receives notifications about the data</w:t>
            </w:r>
          </w:p>
          <w:p w14:paraId="3EA6A24E"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c) To select the appropriate data entry method</w:t>
            </w:r>
          </w:p>
          <w:p w14:paraId="7D013CEF" w14:textId="537C44A5" w:rsidR="001B29F2" w:rsidRPr="001B29F2" w:rsidRDefault="00290AAA" w:rsidP="001B29F2">
            <w:pPr>
              <w:pStyle w:val="NoSpacing"/>
              <w:ind w:left="360"/>
              <w:rPr>
                <w:rFonts w:cstheme="minorHAnsi"/>
                <w:sz w:val="20"/>
                <w:szCs w:val="20"/>
              </w:rPr>
            </w:pPr>
            <w:r w:rsidRPr="00900767">
              <w:rPr>
                <w:rFonts w:cstheme="minorHAnsi"/>
                <w:sz w:val="20"/>
                <w:szCs w:val="20"/>
              </w:rPr>
              <w:t>d) To run validation checks on completed data</w:t>
            </w:r>
          </w:p>
          <w:p w14:paraId="0C9E381B" w14:textId="77777777" w:rsidR="001B29F2" w:rsidRPr="00900767" w:rsidRDefault="001B29F2" w:rsidP="00900767">
            <w:pPr>
              <w:pStyle w:val="NoSpacing"/>
              <w:ind w:left="360"/>
              <w:rPr>
                <w:rFonts w:cstheme="minorHAnsi"/>
                <w:sz w:val="20"/>
                <w:szCs w:val="20"/>
                <w:lang w:val="en-US"/>
              </w:rPr>
            </w:pPr>
          </w:p>
          <w:p w14:paraId="3607CB72" w14:textId="5800653A" w:rsidR="00290AAA" w:rsidRPr="00900767" w:rsidRDefault="00290AAA" w:rsidP="00710EDF">
            <w:pPr>
              <w:pStyle w:val="NoSpacing"/>
              <w:numPr>
                <w:ilvl w:val="0"/>
                <w:numId w:val="252"/>
              </w:numPr>
              <w:rPr>
                <w:rFonts w:cstheme="minorHAnsi"/>
                <w:color w:val="009889" w:themeColor="accent2"/>
                <w:sz w:val="20"/>
                <w:szCs w:val="20"/>
                <w:lang w:val="en-US"/>
              </w:rPr>
            </w:pPr>
            <w:r w:rsidRPr="00900767">
              <w:rPr>
                <w:rFonts w:cstheme="minorHAnsi"/>
                <w:color w:val="009889" w:themeColor="accent2"/>
                <w:sz w:val="20"/>
                <w:szCs w:val="20"/>
              </w:rPr>
              <w:lastRenderedPageBreak/>
              <w:t>Which of the following is NOT one of the six steps in the data cleaning lifecycle?</w:t>
            </w:r>
          </w:p>
          <w:p w14:paraId="641496E0"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a) Profile</w:t>
            </w:r>
          </w:p>
          <w:p w14:paraId="04ECEDA4"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b) Identify</w:t>
            </w:r>
          </w:p>
          <w:p w14:paraId="10654D06" w14:textId="77777777" w:rsidR="00290AAA" w:rsidRPr="00900767" w:rsidRDefault="00290AAA" w:rsidP="00710EDF">
            <w:pPr>
              <w:pStyle w:val="NoSpacing"/>
              <w:ind w:left="360"/>
              <w:rPr>
                <w:rFonts w:cstheme="minorHAnsi"/>
                <w:sz w:val="20"/>
                <w:szCs w:val="20"/>
                <w:lang w:val="en-US"/>
              </w:rPr>
            </w:pPr>
            <w:r w:rsidRPr="00900767">
              <w:rPr>
                <w:rFonts w:cstheme="minorHAnsi"/>
                <w:sz w:val="20"/>
                <w:szCs w:val="20"/>
              </w:rPr>
              <w:t>c) Aggregate</w:t>
            </w:r>
          </w:p>
          <w:p w14:paraId="1948AB9C" w14:textId="77777777" w:rsidR="00290AAA" w:rsidRPr="00900767" w:rsidRDefault="00290AAA" w:rsidP="00710EDF">
            <w:pPr>
              <w:pStyle w:val="NoSpacing"/>
              <w:ind w:left="360"/>
              <w:jc w:val="both"/>
              <w:rPr>
                <w:rFonts w:cstheme="minorHAnsi"/>
                <w:sz w:val="20"/>
                <w:szCs w:val="20"/>
                <w:lang w:val="en-US"/>
              </w:rPr>
            </w:pPr>
            <w:r w:rsidRPr="00900767">
              <w:rPr>
                <w:rFonts w:cstheme="minorHAnsi"/>
                <w:sz w:val="20"/>
                <w:szCs w:val="20"/>
              </w:rPr>
              <w:t>d) Execute</w:t>
            </w:r>
          </w:p>
          <w:p w14:paraId="6905785E" w14:textId="77777777" w:rsidR="00290AAA" w:rsidRPr="00900767" w:rsidRDefault="00290AAA" w:rsidP="00290AAA">
            <w:pPr>
              <w:pStyle w:val="NoSpacing"/>
              <w:jc w:val="both"/>
              <w:rPr>
                <w:rFonts w:cstheme="minorHAnsi"/>
                <w:sz w:val="20"/>
                <w:szCs w:val="20"/>
                <w:lang w:val="en-US"/>
              </w:rPr>
            </w:pPr>
          </w:p>
          <w:p w14:paraId="6DC0D912" w14:textId="0D0FBF47" w:rsidR="00AA562D" w:rsidRPr="00900767" w:rsidRDefault="00290AAA" w:rsidP="00710EDF">
            <w:pPr>
              <w:pStyle w:val="NoSpacing"/>
              <w:jc w:val="both"/>
              <w:rPr>
                <w:rFonts w:cstheme="minorHAnsi"/>
                <w:i/>
                <w:iCs/>
                <w:sz w:val="20"/>
                <w:szCs w:val="20"/>
                <w:lang w:val="en-US"/>
              </w:rPr>
            </w:pPr>
            <w:r w:rsidRPr="00900767">
              <w:rPr>
                <w:rFonts w:cstheme="minorHAnsi"/>
                <w:i/>
                <w:iCs/>
                <w:sz w:val="20"/>
                <w:szCs w:val="20"/>
              </w:rPr>
              <w:t>Knowledge quiz answer key: 1) b; 2) b; 3) d; 4) b; 5) c; 6) False; 7) b; 8) c</w:t>
            </w:r>
          </w:p>
        </w:tc>
      </w:tr>
    </w:tbl>
    <w:p w14:paraId="2AF44452" w14:textId="77777777" w:rsidR="00BF5BE8" w:rsidRDefault="00BF5BE8" w:rsidP="00413340">
      <w:pPr>
        <w:spacing w:line="240" w:lineRule="auto"/>
      </w:pPr>
    </w:p>
    <w:p w14:paraId="2D0FF410" w14:textId="77777777" w:rsidR="00900767" w:rsidRDefault="00900767" w:rsidP="00151A55">
      <w:pPr>
        <w:pStyle w:val="Heading1"/>
        <w:numPr>
          <w:ilvl w:val="0"/>
          <w:numId w:val="0"/>
        </w:numPr>
        <w:rPr>
          <w:sz w:val="40"/>
          <w:szCs w:val="40"/>
        </w:rPr>
      </w:pPr>
      <w:bookmarkStart w:id="47" w:name="_Toc227485172"/>
    </w:p>
    <w:p w14:paraId="67301549" w14:textId="77777777" w:rsidR="00900767" w:rsidRDefault="00900767" w:rsidP="00151A55">
      <w:pPr>
        <w:pStyle w:val="Heading1"/>
        <w:numPr>
          <w:ilvl w:val="0"/>
          <w:numId w:val="0"/>
        </w:numPr>
        <w:rPr>
          <w:sz w:val="40"/>
          <w:szCs w:val="40"/>
        </w:rPr>
      </w:pPr>
    </w:p>
    <w:p w14:paraId="2F54BC89" w14:textId="77777777" w:rsidR="00900767" w:rsidRDefault="00900767" w:rsidP="00151A55">
      <w:pPr>
        <w:pStyle w:val="Heading1"/>
        <w:numPr>
          <w:ilvl w:val="0"/>
          <w:numId w:val="0"/>
        </w:numPr>
        <w:rPr>
          <w:sz w:val="40"/>
          <w:szCs w:val="40"/>
        </w:rPr>
      </w:pPr>
    </w:p>
    <w:p w14:paraId="662954E9" w14:textId="77777777" w:rsidR="00900767" w:rsidRDefault="00900767" w:rsidP="00151A55">
      <w:pPr>
        <w:pStyle w:val="Heading1"/>
        <w:numPr>
          <w:ilvl w:val="0"/>
          <w:numId w:val="0"/>
        </w:numPr>
        <w:rPr>
          <w:sz w:val="40"/>
          <w:szCs w:val="40"/>
        </w:rPr>
      </w:pPr>
    </w:p>
    <w:p w14:paraId="7D6C50A4" w14:textId="77777777" w:rsidR="00900767" w:rsidRDefault="00900767" w:rsidP="00151A55">
      <w:pPr>
        <w:pStyle w:val="Heading1"/>
        <w:numPr>
          <w:ilvl w:val="0"/>
          <w:numId w:val="0"/>
        </w:numPr>
        <w:rPr>
          <w:sz w:val="40"/>
          <w:szCs w:val="40"/>
        </w:rPr>
      </w:pPr>
    </w:p>
    <w:p w14:paraId="2970E76D" w14:textId="77777777" w:rsidR="00900767" w:rsidRDefault="00900767" w:rsidP="00151A55">
      <w:pPr>
        <w:pStyle w:val="Heading1"/>
        <w:numPr>
          <w:ilvl w:val="0"/>
          <w:numId w:val="0"/>
        </w:numPr>
        <w:rPr>
          <w:sz w:val="40"/>
          <w:szCs w:val="40"/>
        </w:rPr>
      </w:pPr>
    </w:p>
    <w:p w14:paraId="0574FCCA" w14:textId="77777777" w:rsidR="00900767" w:rsidRDefault="00900767" w:rsidP="00151A55">
      <w:pPr>
        <w:pStyle w:val="Heading1"/>
        <w:numPr>
          <w:ilvl w:val="0"/>
          <w:numId w:val="0"/>
        </w:numPr>
        <w:rPr>
          <w:sz w:val="40"/>
          <w:szCs w:val="40"/>
        </w:rPr>
      </w:pPr>
    </w:p>
    <w:p w14:paraId="036355E9" w14:textId="77777777" w:rsidR="00900767" w:rsidRDefault="00900767" w:rsidP="00151A55">
      <w:pPr>
        <w:pStyle w:val="Heading1"/>
        <w:numPr>
          <w:ilvl w:val="0"/>
          <w:numId w:val="0"/>
        </w:numPr>
        <w:rPr>
          <w:sz w:val="40"/>
          <w:szCs w:val="40"/>
        </w:rPr>
      </w:pPr>
    </w:p>
    <w:p w14:paraId="77A48D84" w14:textId="77777777" w:rsidR="00900767" w:rsidRDefault="00900767" w:rsidP="00151A55">
      <w:pPr>
        <w:pStyle w:val="Heading1"/>
        <w:numPr>
          <w:ilvl w:val="0"/>
          <w:numId w:val="0"/>
        </w:numPr>
        <w:rPr>
          <w:sz w:val="40"/>
          <w:szCs w:val="40"/>
        </w:rPr>
      </w:pPr>
    </w:p>
    <w:p w14:paraId="711A02BE" w14:textId="77777777" w:rsidR="00900767" w:rsidRDefault="00900767" w:rsidP="00151A55">
      <w:pPr>
        <w:pStyle w:val="Heading1"/>
        <w:numPr>
          <w:ilvl w:val="0"/>
          <w:numId w:val="0"/>
        </w:numPr>
        <w:rPr>
          <w:sz w:val="40"/>
          <w:szCs w:val="40"/>
        </w:rPr>
      </w:pPr>
    </w:p>
    <w:p w14:paraId="2007C990" w14:textId="77777777" w:rsidR="00900767" w:rsidRDefault="00900767" w:rsidP="00151A55">
      <w:pPr>
        <w:pStyle w:val="Heading1"/>
        <w:numPr>
          <w:ilvl w:val="0"/>
          <w:numId w:val="0"/>
        </w:numPr>
        <w:rPr>
          <w:sz w:val="40"/>
          <w:szCs w:val="40"/>
        </w:rPr>
      </w:pPr>
    </w:p>
    <w:p w14:paraId="69689607" w14:textId="77777777" w:rsidR="00900767" w:rsidRDefault="00900767" w:rsidP="00151A55">
      <w:pPr>
        <w:pStyle w:val="Heading1"/>
        <w:numPr>
          <w:ilvl w:val="0"/>
          <w:numId w:val="0"/>
        </w:numPr>
        <w:rPr>
          <w:sz w:val="40"/>
          <w:szCs w:val="40"/>
        </w:rPr>
      </w:pPr>
    </w:p>
    <w:p w14:paraId="65CB56E1" w14:textId="77777777" w:rsidR="00900767" w:rsidRDefault="00900767" w:rsidP="00151A55">
      <w:pPr>
        <w:pStyle w:val="Heading1"/>
        <w:numPr>
          <w:ilvl w:val="0"/>
          <w:numId w:val="0"/>
        </w:numPr>
        <w:rPr>
          <w:sz w:val="40"/>
          <w:szCs w:val="40"/>
        </w:rPr>
      </w:pPr>
    </w:p>
    <w:p w14:paraId="1E02410A" w14:textId="77777777" w:rsidR="00900767" w:rsidRDefault="00900767" w:rsidP="00151A55">
      <w:pPr>
        <w:pStyle w:val="Heading1"/>
        <w:numPr>
          <w:ilvl w:val="0"/>
          <w:numId w:val="0"/>
        </w:numPr>
        <w:rPr>
          <w:sz w:val="40"/>
          <w:szCs w:val="40"/>
        </w:rPr>
      </w:pPr>
    </w:p>
    <w:p w14:paraId="434896F3" w14:textId="77777777" w:rsidR="00900767" w:rsidRDefault="00900767" w:rsidP="00151A55">
      <w:pPr>
        <w:pStyle w:val="Heading1"/>
        <w:numPr>
          <w:ilvl w:val="0"/>
          <w:numId w:val="0"/>
        </w:numPr>
        <w:rPr>
          <w:sz w:val="40"/>
          <w:szCs w:val="40"/>
        </w:rPr>
      </w:pPr>
    </w:p>
    <w:p w14:paraId="1E4CA748" w14:textId="77777777" w:rsidR="00900767" w:rsidRDefault="00900767" w:rsidP="00151A55">
      <w:pPr>
        <w:pStyle w:val="Heading1"/>
        <w:numPr>
          <w:ilvl w:val="0"/>
          <w:numId w:val="0"/>
        </w:numPr>
        <w:rPr>
          <w:sz w:val="40"/>
          <w:szCs w:val="40"/>
        </w:rPr>
      </w:pPr>
    </w:p>
    <w:p w14:paraId="6E83E92B" w14:textId="77777777" w:rsidR="00900767" w:rsidRDefault="00900767" w:rsidP="00151A55">
      <w:pPr>
        <w:pStyle w:val="Heading1"/>
        <w:numPr>
          <w:ilvl w:val="0"/>
          <w:numId w:val="0"/>
        </w:numPr>
        <w:rPr>
          <w:sz w:val="40"/>
          <w:szCs w:val="40"/>
        </w:rPr>
      </w:pPr>
    </w:p>
    <w:p w14:paraId="53B06D5D" w14:textId="77777777" w:rsidR="00900767" w:rsidRDefault="00900767" w:rsidP="00151A55">
      <w:pPr>
        <w:pStyle w:val="Heading1"/>
        <w:numPr>
          <w:ilvl w:val="0"/>
          <w:numId w:val="0"/>
        </w:numPr>
        <w:rPr>
          <w:sz w:val="40"/>
          <w:szCs w:val="40"/>
        </w:rPr>
      </w:pPr>
    </w:p>
    <w:p w14:paraId="387D713C" w14:textId="77777777" w:rsidR="00900767" w:rsidRDefault="00900767" w:rsidP="00151A55">
      <w:pPr>
        <w:pStyle w:val="Heading1"/>
        <w:numPr>
          <w:ilvl w:val="0"/>
          <w:numId w:val="0"/>
        </w:numPr>
        <w:rPr>
          <w:sz w:val="40"/>
          <w:szCs w:val="40"/>
        </w:rPr>
      </w:pPr>
    </w:p>
    <w:p w14:paraId="0F1E31F0" w14:textId="32606E8A" w:rsidR="00151A55" w:rsidRPr="00151A55" w:rsidRDefault="00151A55" w:rsidP="00151A55">
      <w:pPr>
        <w:pStyle w:val="Heading1"/>
        <w:numPr>
          <w:ilvl w:val="0"/>
          <w:numId w:val="0"/>
        </w:numPr>
        <w:rPr>
          <w:sz w:val="40"/>
          <w:szCs w:val="40"/>
        </w:rPr>
      </w:pPr>
      <w:r w:rsidRPr="00151A55">
        <w:rPr>
          <w:sz w:val="40"/>
          <w:szCs w:val="40"/>
        </w:rPr>
        <w:lastRenderedPageBreak/>
        <w:t xml:space="preserve">MODULE </w:t>
      </w:r>
      <w:r w:rsidR="008F586B" w:rsidRPr="00151A55">
        <w:rPr>
          <w:sz w:val="40"/>
          <w:szCs w:val="40"/>
        </w:rPr>
        <w:t>3:</w:t>
      </w:r>
      <w:r w:rsidRPr="00151A55">
        <w:rPr>
          <w:sz w:val="40"/>
          <w:szCs w:val="40"/>
        </w:rPr>
        <w:t xml:space="preserve"> Data Visualisation &amp; Dashboard Design</w:t>
      </w:r>
      <w:bookmarkEnd w:id="47"/>
    </w:p>
    <w:tbl>
      <w:tblPr>
        <w:tblStyle w:val="TableGrid"/>
        <w:tblW w:w="0" w:type="auto"/>
        <w:tblLook w:val="04A0" w:firstRow="1" w:lastRow="0" w:firstColumn="1" w:lastColumn="0" w:noHBand="0" w:noVBand="1"/>
      </w:tblPr>
      <w:tblGrid>
        <w:gridCol w:w="9628"/>
      </w:tblGrid>
      <w:tr w:rsidR="00710EDF" w:rsidRPr="00151A55" w14:paraId="6C21EEFD" w14:textId="77777777" w:rsidTr="00151A55">
        <w:tc>
          <w:tcPr>
            <w:tcW w:w="9628" w:type="dxa"/>
            <w:shd w:val="clear" w:color="auto" w:fill="D9D9D9" w:themeFill="background1" w:themeFillShade="D9"/>
          </w:tcPr>
          <w:p w14:paraId="1DDE16EB" w14:textId="77777777" w:rsidR="00710EDF" w:rsidRPr="00151A55" w:rsidRDefault="00710EDF" w:rsidP="00151A55">
            <w:pPr>
              <w:pStyle w:val="NoSpacing"/>
              <w:rPr>
                <w:b/>
                <w:bCs/>
                <w:sz w:val="20"/>
                <w:szCs w:val="20"/>
                <w:lang w:val="en-US"/>
              </w:rPr>
            </w:pPr>
            <w:r w:rsidRPr="00151A55">
              <w:rPr>
                <w:b/>
                <w:bCs/>
                <w:sz w:val="20"/>
                <w:szCs w:val="20"/>
              </w:rPr>
              <w:t xml:space="preserve">Module Overview: </w:t>
            </w:r>
          </w:p>
        </w:tc>
      </w:tr>
      <w:tr w:rsidR="00710EDF" w:rsidRPr="00151A55" w14:paraId="0ED17F4A" w14:textId="77777777" w:rsidTr="00151A55">
        <w:tc>
          <w:tcPr>
            <w:tcW w:w="9628" w:type="dxa"/>
          </w:tcPr>
          <w:p w14:paraId="6CDA53E6" w14:textId="77777777" w:rsidR="00710EDF" w:rsidRPr="00151A55" w:rsidRDefault="00710EDF" w:rsidP="00E661A9">
            <w:pPr>
              <w:pStyle w:val="NoSpacing"/>
              <w:jc w:val="both"/>
              <w:rPr>
                <w:sz w:val="20"/>
                <w:szCs w:val="20"/>
                <w:highlight w:val="yellow"/>
                <w:lang w:val="en-US"/>
              </w:rPr>
            </w:pPr>
            <w:r w:rsidRPr="00151A55">
              <w:rPr>
                <w:sz w:val="20"/>
                <w:szCs w:val="20"/>
              </w:rPr>
              <w:t>This module introduces the principles and practices of data visualization and dashboard design in the context of sustainability reporting. Learners will develop the skills to present ESG data clearly, design structured dashboards, use BI tools effectively, communicate findings to diverse stakeholders, and evaluate dashboard quality. Effective data visualisation is essential for transforming complex ESG metrics into actionable insights that drive informed decision-making across organisations.</w:t>
            </w:r>
          </w:p>
        </w:tc>
      </w:tr>
      <w:tr w:rsidR="00710EDF" w:rsidRPr="00151A55" w14:paraId="0BDA92FD" w14:textId="77777777" w:rsidTr="00151A55">
        <w:tc>
          <w:tcPr>
            <w:tcW w:w="9628" w:type="dxa"/>
            <w:shd w:val="clear" w:color="auto" w:fill="D9D9D9" w:themeFill="background1" w:themeFillShade="D9"/>
          </w:tcPr>
          <w:p w14:paraId="160D008B" w14:textId="77777777" w:rsidR="00710EDF" w:rsidRPr="00151A55" w:rsidRDefault="00710EDF" w:rsidP="00151A55">
            <w:pPr>
              <w:pStyle w:val="NoSpacing"/>
              <w:rPr>
                <w:sz w:val="20"/>
                <w:szCs w:val="20"/>
                <w:lang w:val="en-US"/>
              </w:rPr>
            </w:pPr>
            <w:r w:rsidRPr="00151A55">
              <w:rPr>
                <w:b/>
                <w:sz w:val="20"/>
                <w:szCs w:val="20"/>
              </w:rPr>
              <w:t>Module learning outcomes:</w:t>
            </w:r>
          </w:p>
        </w:tc>
      </w:tr>
      <w:tr w:rsidR="00710EDF" w:rsidRPr="00151A55" w14:paraId="6EB97944" w14:textId="77777777" w:rsidTr="00151A55">
        <w:tc>
          <w:tcPr>
            <w:tcW w:w="9628" w:type="dxa"/>
          </w:tcPr>
          <w:p w14:paraId="5B45BA1E" w14:textId="77777777" w:rsidR="00710EDF" w:rsidRPr="00151A55" w:rsidRDefault="00710EDF" w:rsidP="00E661A9">
            <w:pPr>
              <w:numPr>
                <w:ilvl w:val="0"/>
                <w:numId w:val="261"/>
              </w:numPr>
              <w:jc w:val="both"/>
              <w:rPr>
                <w:rFonts w:ascii="Times New Roman" w:eastAsia="Times New Roman" w:hAnsi="Times New Roman" w:cs="Times New Roman"/>
                <w:szCs w:val="20"/>
                <w:lang w:val="et-EE" w:eastAsia="et-EE"/>
              </w:rPr>
            </w:pPr>
            <w:r w:rsidRPr="00151A55">
              <w:rPr>
                <w:rFonts w:ascii="Poppins" w:eastAsia="Times New Roman" w:hAnsi="Poppins" w:cs="Poppins"/>
                <w:color w:val="000000"/>
                <w:szCs w:val="20"/>
              </w:rPr>
              <w:t>Design sustainability reporting dashboards using appropriate visualisation.</w:t>
            </w:r>
          </w:p>
          <w:p w14:paraId="1D01F24F" w14:textId="77777777" w:rsidR="00710EDF" w:rsidRPr="00151A55" w:rsidRDefault="00710EDF" w:rsidP="00E661A9">
            <w:pPr>
              <w:numPr>
                <w:ilvl w:val="0"/>
                <w:numId w:val="261"/>
              </w:numPr>
              <w:jc w:val="both"/>
              <w:rPr>
                <w:rFonts w:ascii="Times New Roman" w:eastAsia="Times New Roman" w:hAnsi="Times New Roman" w:cs="Times New Roman"/>
                <w:szCs w:val="20"/>
                <w:lang w:val="et-EE" w:eastAsia="et-EE"/>
              </w:rPr>
            </w:pPr>
            <w:r w:rsidRPr="00151A55">
              <w:rPr>
                <w:rFonts w:ascii="Poppins" w:eastAsia="Times New Roman" w:hAnsi="Poppins" w:cs="Poppins"/>
                <w:color w:val="000000"/>
                <w:szCs w:val="20"/>
              </w:rPr>
              <w:t>Create interactive data visualisations for diverse stakeholder audiences.</w:t>
            </w:r>
          </w:p>
        </w:tc>
      </w:tr>
      <w:tr w:rsidR="00151A55" w:rsidRPr="00151A55" w14:paraId="3520161D" w14:textId="77777777" w:rsidTr="00151A55">
        <w:tc>
          <w:tcPr>
            <w:tcW w:w="9628" w:type="dxa"/>
            <w:shd w:val="clear" w:color="auto" w:fill="D9D9D9" w:themeFill="background1" w:themeFillShade="D9"/>
          </w:tcPr>
          <w:p w14:paraId="5CC60E51" w14:textId="3DF8331F" w:rsidR="00151A55" w:rsidRPr="00151A55" w:rsidRDefault="00151A55" w:rsidP="00E661A9">
            <w:pPr>
              <w:pStyle w:val="NoSpacing"/>
              <w:jc w:val="both"/>
              <w:rPr>
                <w:b/>
                <w:sz w:val="20"/>
                <w:szCs w:val="20"/>
                <w:lang w:val="en-US"/>
              </w:rPr>
            </w:pPr>
            <w:r w:rsidRPr="00151A55">
              <w:rPr>
                <w:b/>
                <w:sz w:val="20"/>
                <w:szCs w:val="20"/>
              </w:rPr>
              <w:t xml:space="preserve">Estimated workload </w:t>
            </w:r>
          </w:p>
        </w:tc>
      </w:tr>
      <w:tr w:rsidR="00710EDF" w:rsidRPr="00151A55" w14:paraId="2079A9E2" w14:textId="77777777" w:rsidTr="00151A55">
        <w:tc>
          <w:tcPr>
            <w:tcW w:w="9628" w:type="dxa"/>
          </w:tcPr>
          <w:p w14:paraId="097D1DED" w14:textId="77777777" w:rsidR="00710EDF" w:rsidRPr="00151A55" w:rsidRDefault="00710EDF" w:rsidP="00E661A9">
            <w:pPr>
              <w:pStyle w:val="NoSpacing"/>
              <w:jc w:val="both"/>
              <w:rPr>
                <w:bCs/>
                <w:sz w:val="20"/>
                <w:szCs w:val="20"/>
                <w:lang w:val="en-US"/>
              </w:rPr>
            </w:pPr>
            <w:r w:rsidRPr="00151A55">
              <w:rPr>
                <w:bCs/>
                <w:sz w:val="20"/>
                <w:szCs w:val="20"/>
              </w:rPr>
              <w:t>Lecture hours (F2F): 8 hours</w:t>
            </w:r>
          </w:p>
          <w:p w14:paraId="1FF1B603" w14:textId="77777777" w:rsidR="00710EDF" w:rsidRPr="00151A55" w:rsidRDefault="00710EDF" w:rsidP="00E661A9">
            <w:pPr>
              <w:pStyle w:val="NoSpacing"/>
              <w:jc w:val="both"/>
              <w:rPr>
                <w:bCs/>
                <w:sz w:val="20"/>
                <w:szCs w:val="20"/>
                <w:lang w:val="en-US"/>
              </w:rPr>
            </w:pPr>
            <w:r w:rsidRPr="00151A55">
              <w:rPr>
                <w:bCs/>
                <w:sz w:val="20"/>
                <w:szCs w:val="20"/>
              </w:rPr>
              <w:t>Self-study: 8 hours</w:t>
            </w:r>
          </w:p>
          <w:p w14:paraId="16E04B50" w14:textId="77777777" w:rsidR="00710EDF" w:rsidRPr="00151A55" w:rsidRDefault="00710EDF" w:rsidP="00E661A9">
            <w:pPr>
              <w:pStyle w:val="NoSpacing"/>
              <w:jc w:val="both"/>
              <w:rPr>
                <w:bCs/>
                <w:sz w:val="20"/>
                <w:szCs w:val="20"/>
                <w:lang w:val="en-US"/>
              </w:rPr>
            </w:pPr>
            <w:r w:rsidRPr="00151A55">
              <w:rPr>
                <w:bCs/>
                <w:sz w:val="20"/>
                <w:szCs w:val="20"/>
              </w:rPr>
              <w:t>Practical application (if applicable): 9,5 hours</w:t>
            </w:r>
          </w:p>
          <w:p w14:paraId="35B5F4B6" w14:textId="77777777" w:rsidR="00710EDF" w:rsidRPr="00151A55" w:rsidRDefault="00710EDF" w:rsidP="00E661A9">
            <w:pPr>
              <w:pStyle w:val="NoSpacing"/>
              <w:jc w:val="both"/>
              <w:rPr>
                <w:sz w:val="20"/>
                <w:szCs w:val="20"/>
                <w:lang w:val="en-US"/>
              </w:rPr>
            </w:pPr>
            <w:r w:rsidRPr="00151A55">
              <w:rPr>
                <w:bCs/>
                <w:sz w:val="20"/>
                <w:szCs w:val="20"/>
              </w:rPr>
              <w:t>Assessment link: This module contributes to the final assessment through a dashboard design task in which learners</w:t>
            </w:r>
            <w:r w:rsidRPr="00151A55">
              <w:rPr>
                <w:sz w:val="20"/>
                <w:szCs w:val="20"/>
              </w:rPr>
              <w:t xml:space="preserve"> build and present an interactive ESG dashboard using real or simulated sustainability data.</w:t>
            </w:r>
          </w:p>
        </w:tc>
      </w:tr>
      <w:tr w:rsidR="00151A55" w:rsidRPr="00151A55" w14:paraId="01582079" w14:textId="77777777" w:rsidTr="00151A55">
        <w:tc>
          <w:tcPr>
            <w:tcW w:w="9628" w:type="dxa"/>
            <w:shd w:val="clear" w:color="auto" w:fill="D9D9D9" w:themeFill="background1" w:themeFillShade="D9"/>
          </w:tcPr>
          <w:p w14:paraId="4E933B56" w14:textId="4B02008C" w:rsidR="00151A55" w:rsidRPr="00151A55" w:rsidRDefault="00151A55" w:rsidP="00E661A9">
            <w:pPr>
              <w:pStyle w:val="NoSpacing"/>
              <w:jc w:val="both"/>
              <w:rPr>
                <w:bCs/>
                <w:sz w:val="20"/>
                <w:szCs w:val="20"/>
              </w:rPr>
            </w:pPr>
            <w:r w:rsidRPr="00151A55">
              <w:rPr>
                <w:b/>
                <w:sz w:val="20"/>
                <w:szCs w:val="20"/>
              </w:rPr>
              <w:t>Practical focus / deliverable:</w:t>
            </w:r>
          </w:p>
        </w:tc>
      </w:tr>
      <w:tr w:rsidR="00710EDF" w:rsidRPr="00151A55" w14:paraId="502E5749" w14:textId="77777777" w:rsidTr="00151A55">
        <w:tc>
          <w:tcPr>
            <w:tcW w:w="9628" w:type="dxa"/>
          </w:tcPr>
          <w:p w14:paraId="76770CAE" w14:textId="7410FE8B" w:rsidR="00710EDF" w:rsidRPr="00151A55" w:rsidRDefault="00710EDF" w:rsidP="00E661A9">
            <w:pPr>
              <w:pStyle w:val="NoSpacing"/>
              <w:jc w:val="both"/>
              <w:rPr>
                <w:b/>
                <w:sz w:val="20"/>
                <w:szCs w:val="20"/>
                <w:lang w:val="en-US"/>
              </w:rPr>
            </w:pPr>
            <w:r w:rsidRPr="00151A55">
              <w:rPr>
                <w:sz w:val="20"/>
                <w:szCs w:val="20"/>
              </w:rPr>
              <w:t>Learners produce a fully functional interactive sustainability dashboard in Power BI (or equivalent).</w:t>
            </w:r>
          </w:p>
        </w:tc>
      </w:tr>
    </w:tbl>
    <w:p w14:paraId="66F69C7B" w14:textId="77777777" w:rsidR="00710EDF" w:rsidRDefault="00710EDF" w:rsidP="00413340">
      <w:pPr>
        <w:spacing w:line="240" w:lineRule="auto"/>
      </w:pPr>
    </w:p>
    <w:p w14:paraId="0E64B92E" w14:textId="77777777" w:rsidR="008F586B" w:rsidRDefault="008F586B" w:rsidP="00413340">
      <w:pPr>
        <w:spacing w:line="240" w:lineRule="auto"/>
      </w:pPr>
    </w:p>
    <w:p w14:paraId="7C87ED1C" w14:textId="77777777" w:rsidR="00900767" w:rsidRDefault="00900767" w:rsidP="00413340">
      <w:pPr>
        <w:spacing w:line="240" w:lineRule="auto"/>
      </w:pPr>
    </w:p>
    <w:p w14:paraId="7310A141" w14:textId="77777777" w:rsidR="00900767" w:rsidRDefault="00900767" w:rsidP="00413340">
      <w:pPr>
        <w:spacing w:line="240" w:lineRule="auto"/>
      </w:pPr>
    </w:p>
    <w:p w14:paraId="79FD705D" w14:textId="77777777" w:rsidR="00900767" w:rsidRDefault="00900767" w:rsidP="00413340">
      <w:pPr>
        <w:spacing w:line="240" w:lineRule="auto"/>
      </w:pPr>
    </w:p>
    <w:p w14:paraId="2A736263" w14:textId="77777777" w:rsidR="00900767" w:rsidRDefault="00900767" w:rsidP="00413340">
      <w:pPr>
        <w:spacing w:line="240" w:lineRule="auto"/>
      </w:pPr>
    </w:p>
    <w:p w14:paraId="7561F8F6" w14:textId="77777777" w:rsidR="00900767" w:rsidRDefault="00900767" w:rsidP="00413340">
      <w:pPr>
        <w:spacing w:line="240" w:lineRule="auto"/>
      </w:pPr>
    </w:p>
    <w:p w14:paraId="69485167" w14:textId="77777777" w:rsidR="00900767" w:rsidRDefault="00900767" w:rsidP="00413340">
      <w:pPr>
        <w:spacing w:line="240" w:lineRule="auto"/>
      </w:pPr>
    </w:p>
    <w:p w14:paraId="2590DF16" w14:textId="77777777" w:rsidR="00900767" w:rsidRDefault="00900767" w:rsidP="00413340">
      <w:pPr>
        <w:spacing w:line="240" w:lineRule="auto"/>
      </w:pPr>
    </w:p>
    <w:p w14:paraId="29632B21" w14:textId="77777777" w:rsidR="00900767" w:rsidRDefault="00900767" w:rsidP="00413340">
      <w:pPr>
        <w:spacing w:line="240" w:lineRule="auto"/>
      </w:pPr>
    </w:p>
    <w:p w14:paraId="5F97B63B" w14:textId="77777777" w:rsidR="00900767" w:rsidRDefault="00900767" w:rsidP="00413340">
      <w:pPr>
        <w:spacing w:line="240" w:lineRule="auto"/>
      </w:pPr>
    </w:p>
    <w:p w14:paraId="036CE599" w14:textId="77777777" w:rsidR="00900767" w:rsidRDefault="00900767" w:rsidP="00413340">
      <w:pPr>
        <w:spacing w:line="240" w:lineRule="auto"/>
      </w:pPr>
    </w:p>
    <w:p w14:paraId="1CA84A05" w14:textId="77777777" w:rsidR="00900767" w:rsidRDefault="00900767" w:rsidP="00413340">
      <w:pPr>
        <w:spacing w:line="240" w:lineRule="auto"/>
      </w:pPr>
    </w:p>
    <w:p w14:paraId="03C9FEC5" w14:textId="77777777" w:rsidR="00900767" w:rsidRDefault="00900767" w:rsidP="00413340">
      <w:pPr>
        <w:spacing w:line="240" w:lineRule="auto"/>
      </w:pPr>
    </w:p>
    <w:p w14:paraId="6300A96C" w14:textId="77777777" w:rsidR="00900767" w:rsidRDefault="00900767" w:rsidP="00413340">
      <w:pPr>
        <w:spacing w:line="240" w:lineRule="auto"/>
      </w:pPr>
    </w:p>
    <w:tbl>
      <w:tblPr>
        <w:tblStyle w:val="TableGrid"/>
        <w:tblW w:w="0" w:type="auto"/>
        <w:tblLook w:val="04A0" w:firstRow="1" w:lastRow="0" w:firstColumn="1" w:lastColumn="0" w:noHBand="0" w:noVBand="1"/>
      </w:tblPr>
      <w:tblGrid>
        <w:gridCol w:w="9628"/>
      </w:tblGrid>
      <w:tr w:rsidR="008F586B" w:rsidRPr="008F586B" w14:paraId="33D56F60" w14:textId="77777777" w:rsidTr="008F586B">
        <w:tc>
          <w:tcPr>
            <w:tcW w:w="9628" w:type="dxa"/>
          </w:tcPr>
          <w:p w14:paraId="06C0F721" w14:textId="5A374696" w:rsidR="008F586B" w:rsidRPr="008F586B" w:rsidRDefault="008F586B" w:rsidP="008F586B">
            <w:pPr>
              <w:pStyle w:val="Heading2"/>
              <w:numPr>
                <w:ilvl w:val="0"/>
                <w:numId w:val="0"/>
              </w:numPr>
              <w:rPr>
                <w:b/>
              </w:rPr>
            </w:pPr>
            <w:bookmarkStart w:id="48" w:name="_Toc227485173"/>
            <w:r w:rsidRPr="008F586B">
              <w:rPr>
                <w:b/>
              </w:rPr>
              <w:lastRenderedPageBreak/>
              <w:t xml:space="preserve">Topic 3.1: </w:t>
            </w:r>
            <w:r w:rsidRPr="008F586B">
              <w:t>Principles of Effective Data Visualization</w:t>
            </w:r>
            <w:bookmarkEnd w:id="48"/>
          </w:p>
        </w:tc>
      </w:tr>
      <w:tr w:rsidR="008F586B" w:rsidRPr="008F586B" w14:paraId="576EA063" w14:textId="77777777" w:rsidTr="008F586B">
        <w:tc>
          <w:tcPr>
            <w:tcW w:w="9628" w:type="dxa"/>
            <w:shd w:val="clear" w:color="auto" w:fill="D9D9D9" w:themeFill="background1" w:themeFillShade="D9"/>
          </w:tcPr>
          <w:p w14:paraId="1CA09486" w14:textId="0B20E111" w:rsidR="008F586B" w:rsidRPr="008F586B" w:rsidRDefault="008F586B" w:rsidP="008F586B">
            <w:pPr>
              <w:rPr>
                <w:rFonts w:cstheme="minorHAnsi"/>
                <w:b/>
                <w:szCs w:val="20"/>
              </w:rPr>
            </w:pPr>
            <w:r w:rsidRPr="008F586B">
              <w:rPr>
                <w:rFonts w:cstheme="minorHAnsi"/>
                <w:b/>
                <w:szCs w:val="20"/>
              </w:rPr>
              <w:t>Short introduction:</w:t>
            </w:r>
          </w:p>
        </w:tc>
      </w:tr>
      <w:tr w:rsidR="008F586B" w:rsidRPr="008F586B" w14:paraId="5044EED7" w14:textId="77777777" w:rsidTr="008F586B">
        <w:tc>
          <w:tcPr>
            <w:tcW w:w="9628" w:type="dxa"/>
          </w:tcPr>
          <w:p w14:paraId="0F1A2657" w14:textId="77777777" w:rsidR="008F586B" w:rsidRPr="008F586B" w:rsidRDefault="008F586B" w:rsidP="008F586B">
            <w:pPr>
              <w:jc w:val="both"/>
              <w:rPr>
                <w:rFonts w:cstheme="minorHAnsi"/>
                <w:szCs w:val="20"/>
              </w:rPr>
            </w:pPr>
            <w:r w:rsidRPr="008F586B">
              <w:rPr>
                <w:rFonts w:cstheme="minorHAnsi"/>
                <w:szCs w:val="20"/>
              </w:rPr>
              <w:t>Effective data visualization transforms complex ESG datasets into clear, credible visuals that stakeholders can quickly scan and act upon. This topic covers perceptual principles, chart selection guidelines, and design practices that underpin high-quality sustainability reporting visuals.</w:t>
            </w:r>
          </w:p>
          <w:p w14:paraId="15649F6E" w14:textId="77777777" w:rsidR="008F586B" w:rsidRPr="008F586B" w:rsidRDefault="008F586B" w:rsidP="008F586B">
            <w:pPr>
              <w:rPr>
                <w:rFonts w:cstheme="minorHAnsi"/>
                <w:b/>
                <w:color w:val="00AC4E" w:themeColor="accent1"/>
                <w:szCs w:val="20"/>
              </w:rPr>
            </w:pPr>
          </w:p>
        </w:tc>
      </w:tr>
      <w:tr w:rsidR="008F586B" w:rsidRPr="008F586B" w14:paraId="0C766D88" w14:textId="77777777" w:rsidTr="008F586B">
        <w:tc>
          <w:tcPr>
            <w:tcW w:w="9628" w:type="dxa"/>
            <w:shd w:val="clear" w:color="auto" w:fill="D9D9D9" w:themeFill="background1" w:themeFillShade="D9"/>
          </w:tcPr>
          <w:p w14:paraId="4B801A1B" w14:textId="47200B3D" w:rsidR="008F586B" w:rsidRPr="008F586B" w:rsidRDefault="008F586B" w:rsidP="008F586B">
            <w:pPr>
              <w:rPr>
                <w:rFonts w:cstheme="minorHAnsi"/>
                <w:szCs w:val="20"/>
              </w:rPr>
            </w:pPr>
            <w:r w:rsidRPr="008F586B">
              <w:rPr>
                <w:rFonts w:cstheme="minorHAnsi"/>
                <w:b/>
                <w:szCs w:val="20"/>
              </w:rPr>
              <w:t xml:space="preserve">Theory &amp; Knowledge: </w:t>
            </w:r>
          </w:p>
        </w:tc>
      </w:tr>
      <w:tr w:rsidR="008F586B" w:rsidRPr="008F586B" w14:paraId="55F5C78E" w14:textId="77777777" w:rsidTr="008F586B">
        <w:tc>
          <w:tcPr>
            <w:tcW w:w="9628" w:type="dxa"/>
          </w:tcPr>
          <w:p w14:paraId="25DF9260" w14:textId="77777777" w:rsidR="008F586B" w:rsidRPr="008F586B" w:rsidRDefault="008F586B" w:rsidP="00CD130A">
            <w:pPr>
              <w:rPr>
                <w:rFonts w:cstheme="minorHAnsi"/>
                <w:b/>
                <w:color w:val="009889" w:themeColor="accent2"/>
                <w:szCs w:val="20"/>
              </w:rPr>
            </w:pPr>
            <w:r w:rsidRPr="008F586B">
              <w:rPr>
                <w:rFonts w:cstheme="minorHAnsi"/>
                <w:b/>
                <w:color w:val="009889" w:themeColor="accent2"/>
                <w:szCs w:val="20"/>
              </w:rPr>
              <w:t>Why Visualisation Matters for ESG Decisions</w:t>
            </w:r>
          </w:p>
          <w:p w14:paraId="0CFF4046" w14:textId="77777777" w:rsidR="008F586B" w:rsidRPr="008F586B" w:rsidRDefault="008F586B" w:rsidP="008F586B">
            <w:pPr>
              <w:jc w:val="both"/>
              <w:rPr>
                <w:rFonts w:cstheme="minorHAnsi"/>
                <w:szCs w:val="20"/>
              </w:rPr>
            </w:pPr>
            <w:r w:rsidRPr="008F586B">
              <w:rPr>
                <w:rFonts w:cstheme="minorHAnsi"/>
                <w:szCs w:val="20"/>
              </w:rPr>
              <w:t>ESG data spans environmental (e.g., Scope 1–3 emissions), social (e.g., gender pay gap, safety incidents), and governance (e.g., board composition, executive pay ratio) indicators. Visualisation translates complex, heterogeneous measurements into patterns that stakeholders can quickly scan and trust. Good visuals:</w:t>
            </w:r>
          </w:p>
          <w:p w14:paraId="37517746" w14:textId="77777777" w:rsidR="008F586B" w:rsidRPr="008F586B" w:rsidRDefault="008F586B" w:rsidP="008F586B">
            <w:pPr>
              <w:numPr>
                <w:ilvl w:val="0"/>
                <w:numId w:val="263"/>
              </w:numPr>
              <w:spacing w:line="259" w:lineRule="auto"/>
              <w:rPr>
                <w:rFonts w:cstheme="minorHAnsi"/>
                <w:szCs w:val="20"/>
              </w:rPr>
            </w:pPr>
            <w:r w:rsidRPr="008F586B">
              <w:rPr>
                <w:rFonts w:cstheme="minorHAnsi"/>
                <w:b/>
                <w:szCs w:val="20"/>
              </w:rPr>
              <w:t>Increase signal</w:t>
            </w:r>
            <w:r w:rsidRPr="008F586B">
              <w:rPr>
                <w:rFonts w:cstheme="minorHAnsi"/>
                <w:b/>
                <w:bCs/>
                <w:szCs w:val="20"/>
              </w:rPr>
              <w:t>-</w:t>
            </w:r>
            <w:r w:rsidRPr="008F586B">
              <w:rPr>
                <w:rFonts w:cstheme="minorHAnsi"/>
                <w:b/>
                <w:szCs w:val="20"/>
              </w:rPr>
              <w:t>to</w:t>
            </w:r>
            <w:r w:rsidRPr="008F586B">
              <w:rPr>
                <w:rFonts w:cstheme="minorHAnsi"/>
                <w:b/>
                <w:bCs/>
                <w:szCs w:val="20"/>
              </w:rPr>
              <w:t>-</w:t>
            </w:r>
            <w:r w:rsidRPr="008F586B">
              <w:rPr>
                <w:rFonts w:cstheme="minorHAnsi"/>
                <w:b/>
                <w:szCs w:val="20"/>
              </w:rPr>
              <w:t>noise</w:t>
            </w:r>
            <w:r w:rsidRPr="008F586B">
              <w:rPr>
                <w:rFonts w:cstheme="minorHAnsi"/>
                <w:szCs w:val="20"/>
              </w:rPr>
              <w:t xml:space="preserve"> so the main point is obvious.</w:t>
            </w:r>
          </w:p>
          <w:p w14:paraId="4B599AF6" w14:textId="77777777" w:rsidR="008F586B" w:rsidRPr="008F586B" w:rsidRDefault="008F586B" w:rsidP="008F586B">
            <w:pPr>
              <w:numPr>
                <w:ilvl w:val="0"/>
                <w:numId w:val="263"/>
              </w:numPr>
              <w:spacing w:line="259" w:lineRule="auto"/>
              <w:rPr>
                <w:rFonts w:cstheme="minorHAnsi"/>
                <w:szCs w:val="20"/>
              </w:rPr>
            </w:pPr>
            <w:r w:rsidRPr="008F586B">
              <w:rPr>
                <w:rFonts w:cstheme="minorHAnsi"/>
                <w:b/>
                <w:szCs w:val="20"/>
              </w:rPr>
              <w:t>Expose distributions</w:t>
            </w:r>
            <w:r w:rsidRPr="008F586B">
              <w:rPr>
                <w:rFonts w:cstheme="minorHAnsi"/>
                <w:szCs w:val="20"/>
              </w:rPr>
              <w:t xml:space="preserve"> and uncertainty, not just averages.</w:t>
            </w:r>
          </w:p>
          <w:p w14:paraId="479AA3BC" w14:textId="77777777" w:rsidR="008F586B" w:rsidRPr="008F586B" w:rsidRDefault="008F586B" w:rsidP="008F586B">
            <w:pPr>
              <w:numPr>
                <w:ilvl w:val="0"/>
                <w:numId w:val="263"/>
              </w:numPr>
              <w:spacing w:line="259" w:lineRule="auto"/>
              <w:rPr>
                <w:rFonts w:cstheme="minorHAnsi"/>
                <w:szCs w:val="20"/>
              </w:rPr>
            </w:pPr>
            <w:r w:rsidRPr="008F586B">
              <w:rPr>
                <w:rFonts w:cstheme="minorHAnsi"/>
                <w:b/>
                <w:szCs w:val="20"/>
              </w:rPr>
              <w:t>Enable fair comparisons</w:t>
            </w:r>
            <w:r w:rsidRPr="008F586B">
              <w:rPr>
                <w:rFonts w:cstheme="minorHAnsi"/>
                <w:szCs w:val="20"/>
              </w:rPr>
              <w:t xml:space="preserve"> across entities, time, and targets.</w:t>
            </w:r>
          </w:p>
          <w:p w14:paraId="1288515F" w14:textId="77777777" w:rsidR="008F586B" w:rsidRPr="008F586B" w:rsidRDefault="008F586B" w:rsidP="008F586B">
            <w:pPr>
              <w:numPr>
                <w:ilvl w:val="0"/>
                <w:numId w:val="263"/>
              </w:numPr>
              <w:spacing w:line="259" w:lineRule="auto"/>
              <w:rPr>
                <w:rFonts w:cstheme="minorHAnsi"/>
                <w:szCs w:val="20"/>
              </w:rPr>
            </w:pPr>
            <w:r w:rsidRPr="008F586B">
              <w:rPr>
                <w:rFonts w:cstheme="minorHAnsi"/>
                <w:b/>
                <w:szCs w:val="20"/>
              </w:rPr>
              <w:t>Reduce cognitive load</w:t>
            </w:r>
            <w:r w:rsidRPr="008F586B">
              <w:rPr>
                <w:rFonts w:cstheme="minorHAnsi"/>
                <w:szCs w:val="20"/>
              </w:rPr>
              <w:t xml:space="preserve"> so nonspecialists can understand quickly.</w:t>
            </w:r>
          </w:p>
          <w:p w14:paraId="12A65679" w14:textId="77777777" w:rsidR="008F586B" w:rsidRDefault="008F586B" w:rsidP="008F586B">
            <w:pPr>
              <w:numPr>
                <w:ilvl w:val="0"/>
                <w:numId w:val="263"/>
              </w:numPr>
              <w:spacing w:line="259" w:lineRule="auto"/>
              <w:rPr>
                <w:rFonts w:cstheme="minorHAnsi"/>
                <w:szCs w:val="20"/>
              </w:rPr>
            </w:pPr>
            <w:r w:rsidRPr="008F586B">
              <w:rPr>
                <w:rFonts w:cstheme="minorHAnsi"/>
                <w:b/>
                <w:szCs w:val="20"/>
              </w:rPr>
              <w:t>Build credibility</w:t>
            </w:r>
            <w:r w:rsidRPr="008F586B">
              <w:rPr>
                <w:rFonts w:cstheme="minorHAnsi"/>
                <w:szCs w:val="20"/>
              </w:rPr>
              <w:t xml:space="preserve"> by revealing assumptions and avoiding deceptive encodings.</w:t>
            </w:r>
          </w:p>
          <w:p w14:paraId="2431D701" w14:textId="77777777" w:rsidR="00900767" w:rsidRDefault="00900767" w:rsidP="00900767">
            <w:pPr>
              <w:spacing w:line="259" w:lineRule="auto"/>
              <w:ind w:left="720"/>
              <w:rPr>
                <w:rFonts w:cstheme="minorHAnsi"/>
                <w:szCs w:val="20"/>
              </w:rPr>
            </w:pPr>
          </w:p>
          <w:p w14:paraId="6EE961F1" w14:textId="77777777" w:rsidR="00900767" w:rsidRPr="008F586B" w:rsidRDefault="00900767" w:rsidP="00900767">
            <w:pPr>
              <w:spacing w:line="259" w:lineRule="auto"/>
              <w:ind w:left="720"/>
              <w:rPr>
                <w:rFonts w:cstheme="minorHAnsi"/>
                <w:szCs w:val="20"/>
              </w:rPr>
            </w:pPr>
          </w:p>
          <w:p w14:paraId="24EF5C08" w14:textId="5E1B202E" w:rsidR="008F586B" w:rsidRPr="008F586B" w:rsidRDefault="008F586B" w:rsidP="00CD130A">
            <w:pPr>
              <w:rPr>
                <w:rFonts w:cstheme="minorHAnsi"/>
                <w:b/>
                <w:color w:val="009889" w:themeColor="accent2"/>
                <w:szCs w:val="20"/>
              </w:rPr>
            </w:pPr>
            <w:r w:rsidRPr="008F586B">
              <w:rPr>
                <w:rFonts w:cstheme="minorHAnsi"/>
                <w:noProof/>
                <w:color w:val="009889" w:themeColor="accent2"/>
                <w:szCs w:val="20"/>
              </w:rPr>
              <mc:AlternateContent>
                <mc:Choice Requires="wps">
                  <w:drawing>
                    <wp:inline distT="0" distB="0" distL="0" distR="0" wp14:anchorId="63C6CFFC" wp14:editId="5D25F2ED">
                      <wp:extent cx="0" cy="19050"/>
                      <wp:effectExtent l="0" t="0" r="0" b="0"/>
                      <wp:docPr id="52" name="_x0000_i102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E5DA03A" id="_x0000_i10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r w:rsidRPr="008F586B">
              <w:rPr>
                <w:rFonts w:cstheme="minorHAnsi"/>
                <w:b/>
                <w:color w:val="009889" w:themeColor="accent2"/>
                <w:szCs w:val="20"/>
              </w:rPr>
              <w:t>Visual Perception &amp; Cognitive Principles</w:t>
            </w:r>
          </w:p>
          <w:p w14:paraId="0DAA72E7" w14:textId="77777777" w:rsidR="008F586B" w:rsidRPr="008F586B" w:rsidRDefault="008F586B" w:rsidP="008F586B">
            <w:pPr>
              <w:jc w:val="both"/>
              <w:rPr>
                <w:rFonts w:cstheme="minorHAnsi"/>
                <w:szCs w:val="20"/>
              </w:rPr>
            </w:pPr>
            <w:r w:rsidRPr="008F586B">
              <w:rPr>
                <w:rFonts w:cstheme="minorHAnsi"/>
                <w:szCs w:val="20"/>
              </w:rPr>
              <w:t xml:space="preserve">Design that respects human perception works </w:t>
            </w:r>
            <w:r w:rsidRPr="008F586B">
              <w:rPr>
                <w:rFonts w:cstheme="minorHAnsi"/>
                <w:i/>
                <w:szCs w:val="20"/>
              </w:rPr>
              <w:t>with</w:t>
            </w:r>
            <w:r w:rsidRPr="008F586B">
              <w:rPr>
                <w:rFonts w:cstheme="minorHAnsi"/>
                <w:szCs w:val="20"/>
              </w:rPr>
              <w:t xml:space="preserve"> the brain, not against it. Check out this video on design and data visualization: </w:t>
            </w:r>
          </w:p>
          <w:p w14:paraId="700ABF18" w14:textId="77777777" w:rsidR="002074FD" w:rsidRPr="002074FD" w:rsidRDefault="002074FD" w:rsidP="002074FD">
            <w:pPr>
              <w:keepNext/>
              <w:jc w:val="center"/>
            </w:pPr>
            <w:r w:rsidRPr="002074FD">
              <w:rPr>
                <w:rFonts w:cstheme="minorHAnsi"/>
                <w:noProof/>
                <w:szCs w:val="20"/>
              </w:rPr>
              <w:drawing>
                <wp:inline distT="0" distB="0" distL="0" distR="0" wp14:anchorId="31114D00" wp14:editId="0FCE8119">
                  <wp:extent cx="5209309" cy="3906982"/>
                  <wp:effectExtent l="0" t="0" r="0" b="0"/>
                  <wp:docPr id="47410463" name="Video 17" descr="Using Design Techniques for Clear and Appealing Data Visualizati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0463" name="Video 17" descr="Using Design Techniques for Clear and Appealing Data Visualization">
                            <a:hlinkClick r:id="rId73"/>
                          </pic:cNvPr>
                          <pic:cNvPicPr/>
                        </pic:nvPicPr>
                        <pic:blipFill>
                          <a:blip r:embed="rId7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Smgm2UTUSo?feature=oembed&quot; frameborder=&quot;0&quot; allow=&quot;accelerometer; autoplay; clipboard-write; encrypted-media; gyroscope; picture-in-picture; web-share&quot; referrerpolicy=&quot;strict-origin-when-cross-origin&quot; allowfullscreen=&quot;&quot; title=&quot;Using Design Techniques for Clear and Appealing Data Visualization&quot; sandbox=&quot;allow-scripts allow-same-origin allow-popups&quot;&gt;&lt;/iframe&gt;" h="113" w="200"/>
                              </a:ext>
                            </a:extLst>
                          </a:blip>
                          <a:stretch>
                            <a:fillRect/>
                          </a:stretch>
                        </pic:blipFill>
                        <pic:spPr>
                          <a:xfrm>
                            <a:off x="0" y="0"/>
                            <a:ext cx="5216361" cy="3912271"/>
                          </a:xfrm>
                          <a:prstGeom prst="rect">
                            <a:avLst/>
                          </a:prstGeom>
                        </pic:spPr>
                      </pic:pic>
                    </a:graphicData>
                  </a:graphic>
                </wp:inline>
              </w:drawing>
            </w:r>
          </w:p>
          <w:p w14:paraId="5F06D325" w14:textId="5931B395" w:rsidR="008F586B" w:rsidRPr="002074FD" w:rsidRDefault="002074FD" w:rsidP="002074FD">
            <w:pPr>
              <w:pStyle w:val="Caption"/>
              <w:jc w:val="center"/>
              <w:rPr>
                <w:rFonts w:cstheme="minorHAnsi"/>
                <w:b w:val="0"/>
                <w:bCs w:val="0"/>
                <w:szCs w:val="20"/>
              </w:rPr>
            </w:pPr>
            <w:bookmarkStart w:id="49" w:name="_Toc227738765"/>
            <w:r w:rsidRPr="002074FD">
              <w:rPr>
                <w:b w:val="0"/>
                <w:bCs w:val="0"/>
              </w:rPr>
              <w:t xml:space="preserve">Video </w:t>
            </w:r>
            <w:r w:rsidRPr="002074FD">
              <w:rPr>
                <w:b w:val="0"/>
                <w:bCs w:val="0"/>
              </w:rPr>
              <w:fldChar w:fldCharType="begin"/>
            </w:r>
            <w:r w:rsidRPr="002074FD">
              <w:rPr>
                <w:b w:val="0"/>
                <w:bCs w:val="0"/>
              </w:rPr>
              <w:instrText xml:space="preserve"> SEQ Video \* ARABIC </w:instrText>
            </w:r>
            <w:r w:rsidRPr="002074FD">
              <w:rPr>
                <w:b w:val="0"/>
                <w:bCs w:val="0"/>
              </w:rPr>
              <w:fldChar w:fldCharType="separate"/>
            </w:r>
            <w:r>
              <w:rPr>
                <w:b w:val="0"/>
                <w:bCs w:val="0"/>
                <w:noProof/>
              </w:rPr>
              <w:t>8</w:t>
            </w:r>
            <w:r w:rsidRPr="002074FD">
              <w:rPr>
                <w:b w:val="0"/>
                <w:bCs w:val="0"/>
              </w:rPr>
              <w:fldChar w:fldCharType="end"/>
            </w:r>
            <w:r w:rsidRPr="002074FD">
              <w:rPr>
                <w:b w:val="0"/>
                <w:bCs w:val="0"/>
              </w:rPr>
              <w:t xml:space="preserve">. </w:t>
            </w:r>
            <w:r w:rsidRPr="002074FD">
              <w:rPr>
                <w:b w:val="0"/>
                <w:bCs w:val="0"/>
                <w:lang w:val="et-EE"/>
              </w:rPr>
              <w:t>Design and data visualization (</w:t>
            </w:r>
            <w:r w:rsidRPr="002074FD">
              <w:rPr>
                <w:b w:val="0"/>
                <w:bCs w:val="0"/>
              </w:rPr>
              <w:t>https://www.youtube.com/watch?v=0Smgm2UTUSo)</w:t>
            </w:r>
            <w:bookmarkEnd w:id="49"/>
          </w:p>
          <w:p w14:paraId="24D2396E" w14:textId="77777777" w:rsidR="00900767" w:rsidRDefault="00900767" w:rsidP="00CD130A">
            <w:pPr>
              <w:rPr>
                <w:rFonts w:cstheme="minorHAnsi"/>
                <w:szCs w:val="20"/>
              </w:rPr>
            </w:pPr>
          </w:p>
          <w:p w14:paraId="23DF1A5E" w14:textId="686E972D" w:rsidR="008F586B" w:rsidRPr="00900767" w:rsidRDefault="008F586B" w:rsidP="00CD130A">
            <w:pPr>
              <w:rPr>
                <w:rFonts w:cstheme="minorHAnsi"/>
                <w:b/>
                <w:bCs/>
                <w:color w:val="009889" w:themeColor="accent2"/>
                <w:szCs w:val="20"/>
              </w:rPr>
            </w:pPr>
            <w:r w:rsidRPr="00900767">
              <w:rPr>
                <w:rFonts w:cstheme="minorHAnsi"/>
                <w:b/>
                <w:bCs/>
                <w:color w:val="009889" w:themeColor="accent2"/>
                <w:szCs w:val="20"/>
              </w:rPr>
              <w:lastRenderedPageBreak/>
              <w:t>Key principles:</w:t>
            </w:r>
          </w:p>
          <w:p w14:paraId="41035F84" w14:textId="77777777" w:rsidR="008F586B" w:rsidRPr="008F586B" w:rsidRDefault="008F586B" w:rsidP="00E661A9">
            <w:pPr>
              <w:jc w:val="both"/>
              <w:rPr>
                <w:rFonts w:cstheme="minorHAnsi"/>
                <w:b/>
                <w:szCs w:val="20"/>
              </w:rPr>
            </w:pPr>
            <w:proofErr w:type="spellStart"/>
            <w:r w:rsidRPr="008F586B">
              <w:rPr>
                <w:rFonts w:cstheme="minorHAnsi"/>
                <w:b/>
                <w:bCs/>
                <w:szCs w:val="20"/>
              </w:rPr>
              <w:t>Preattentive</w:t>
            </w:r>
            <w:proofErr w:type="spellEnd"/>
            <w:r w:rsidRPr="008F586B">
              <w:rPr>
                <w:rFonts w:cstheme="minorHAnsi"/>
                <w:b/>
                <w:szCs w:val="20"/>
              </w:rPr>
              <w:t xml:space="preserve"> Attributes</w:t>
            </w:r>
          </w:p>
          <w:p w14:paraId="39741CDA" w14:textId="77777777" w:rsidR="008F586B" w:rsidRPr="008F586B" w:rsidRDefault="008F586B" w:rsidP="00E661A9">
            <w:pPr>
              <w:jc w:val="both"/>
              <w:rPr>
                <w:rFonts w:cstheme="minorHAnsi"/>
                <w:szCs w:val="20"/>
              </w:rPr>
            </w:pPr>
            <w:proofErr w:type="spellStart"/>
            <w:r w:rsidRPr="008F586B">
              <w:rPr>
                <w:rFonts w:cstheme="minorHAnsi"/>
                <w:szCs w:val="20"/>
              </w:rPr>
              <w:t>Preattentive</w:t>
            </w:r>
            <w:proofErr w:type="spellEnd"/>
            <w:r w:rsidRPr="008F586B">
              <w:rPr>
                <w:rFonts w:cstheme="minorHAnsi"/>
                <w:szCs w:val="20"/>
              </w:rPr>
              <w:t xml:space="preserve"> features are processed within ~200ms. Use them to draw attention where it matters.</w:t>
            </w:r>
          </w:p>
          <w:p w14:paraId="36839F21" w14:textId="77777777" w:rsidR="008F586B" w:rsidRPr="008F586B" w:rsidRDefault="008F586B" w:rsidP="00E661A9">
            <w:pPr>
              <w:numPr>
                <w:ilvl w:val="0"/>
                <w:numId w:val="264"/>
              </w:numPr>
              <w:spacing w:line="259" w:lineRule="auto"/>
              <w:jc w:val="both"/>
              <w:rPr>
                <w:rFonts w:cstheme="minorHAnsi"/>
                <w:szCs w:val="20"/>
              </w:rPr>
            </w:pPr>
            <w:r w:rsidRPr="008F586B">
              <w:rPr>
                <w:rFonts w:cstheme="minorHAnsi"/>
                <w:b/>
                <w:szCs w:val="20"/>
              </w:rPr>
              <w:t>Position on a common scale</w:t>
            </w:r>
            <w:r w:rsidRPr="008F586B">
              <w:rPr>
                <w:rFonts w:cstheme="minorHAnsi"/>
                <w:szCs w:val="20"/>
              </w:rPr>
              <w:t xml:space="preserve"> (x/y location) is the most accurate visual channel for quantitative data.</w:t>
            </w:r>
          </w:p>
          <w:p w14:paraId="727C76D9" w14:textId="77777777" w:rsidR="008F586B" w:rsidRPr="008F586B" w:rsidRDefault="008F586B" w:rsidP="00E661A9">
            <w:pPr>
              <w:numPr>
                <w:ilvl w:val="0"/>
                <w:numId w:val="264"/>
              </w:numPr>
              <w:spacing w:line="259" w:lineRule="auto"/>
              <w:jc w:val="both"/>
              <w:rPr>
                <w:rFonts w:cstheme="minorHAnsi"/>
                <w:szCs w:val="20"/>
              </w:rPr>
            </w:pPr>
            <w:r w:rsidRPr="008F586B">
              <w:rPr>
                <w:rFonts w:cstheme="minorHAnsi"/>
                <w:b/>
                <w:szCs w:val="20"/>
              </w:rPr>
              <w:t>Length and angle</w:t>
            </w:r>
            <w:r w:rsidRPr="008F586B">
              <w:rPr>
                <w:rFonts w:cstheme="minorHAnsi"/>
                <w:szCs w:val="20"/>
              </w:rPr>
              <w:t xml:space="preserve"> (e.g., bars, lines) are perceived more accurately than </w:t>
            </w:r>
            <w:r w:rsidRPr="008F586B">
              <w:rPr>
                <w:rFonts w:cstheme="minorHAnsi"/>
                <w:b/>
                <w:szCs w:val="20"/>
              </w:rPr>
              <w:t>area</w:t>
            </w:r>
            <w:r w:rsidRPr="008F586B">
              <w:rPr>
                <w:rFonts w:cstheme="minorHAnsi"/>
                <w:szCs w:val="20"/>
              </w:rPr>
              <w:t xml:space="preserve"> or </w:t>
            </w:r>
            <w:r w:rsidRPr="008F586B">
              <w:rPr>
                <w:rFonts w:cstheme="minorHAnsi"/>
                <w:b/>
                <w:szCs w:val="20"/>
              </w:rPr>
              <w:t>colour hue</w:t>
            </w:r>
            <w:r w:rsidRPr="008F586B">
              <w:rPr>
                <w:rFonts w:cstheme="minorHAnsi"/>
                <w:szCs w:val="20"/>
              </w:rPr>
              <w:t>.</w:t>
            </w:r>
          </w:p>
          <w:p w14:paraId="2BE85613" w14:textId="77777777" w:rsidR="008F586B" w:rsidRPr="008F586B" w:rsidRDefault="008F586B" w:rsidP="00E661A9">
            <w:pPr>
              <w:numPr>
                <w:ilvl w:val="0"/>
                <w:numId w:val="264"/>
              </w:numPr>
              <w:spacing w:line="259" w:lineRule="auto"/>
              <w:jc w:val="both"/>
              <w:rPr>
                <w:rFonts w:cstheme="minorHAnsi"/>
                <w:szCs w:val="20"/>
              </w:rPr>
            </w:pPr>
            <w:r w:rsidRPr="008F586B">
              <w:rPr>
                <w:rFonts w:cstheme="minorHAnsi"/>
                <w:b/>
                <w:szCs w:val="20"/>
              </w:rPr>
              <w:t>Colour intensity (saturation/value)</w:t>
            </w:r>
            <w:r w:rsidRPr="008F586B">
              <w:rPr>
                <w:rFonts w:cstheme="minorHAnsi"/>
                <w:szCs w:val="20"/>
              </w:rPr>
              <w:t xml:space="preserve"> can show magnitude; </w:t>
            </w:r>
            <w:r w:rsidRPr="008F586B">
              <w:rPr>
                <w:rFonts w:cstheme="minorHAnsi"/>
                <w:b/>
                <w:szCs w:val="20"/>
              </w:rPr>
              <w:t>hue</w:t>
            </w:r>
            <w:r w:rsidRPr="008F586B">
              <w:rPr>
                <w:rFonts w:cstheme="minorHAnsi"/>
                <w:szCs w:val="20"/>
              </w:rPr>
              <w:t xml:space="preserve"> should typically encode categories, not quantity.</w:t>
            </w:r>
          </w:p>
          <w:p w14:paraId="0B3AD878" w14:textId="77777777" w:rsidR="008F586B" w:rsidRDefault="008F586B" w:rsidP="00E661A9">
            <w:pPr>
              <w:numPr>
                <w:ilvl w:val="0"/>
                <w:numId w:val="264"/>
              </w:numPr>
              <w:spacing w:line="259" w:lineRule="auto"/>
              <w:jc w:val="both"/>
              <w:rPr>
                <w:rFonts w:cstheme="minorHAnsi"/>
                <w:szCs w:val="20"/>
              </w:rPr>
            </w:pPr>
            <w:r w:rsidRPr="008F586B">
              <w:rPr>
                <w:rFonts w:cstheme="minorHAnsi"/>
                <w:b/>
                <w:szCs w:val="20"/>
              </w:rPr>
              <w:t>Orientation, size, shape, motion</w:t>
            </w:r>
            <w:r w:rsidRPr="008F586B">
              <w:rPr>
                <w:rFonts w:cstheme="minorHAnsi"/>
                <w:szCs w:val="20"/>
              </w:rPr>
              <w:t xml:space="preserve"> can highlight outliers or statuses.</w:t>
            </w:r>
          </w:p>
          <w:p w14:paraId="4B49C746" w14:textId="77777777" w:rsidR="00900767" w:rsidRPr="008F586B" w:rsidRDefault="00900767" w:rsidP="00E661A9">
            <w:pPr>
              <w:spacing w:line="259" w:lineRule="auto"/>
              <w:ind w:left="720"/>
              <w:jc w:val="both"/>
              <w:rPr>
                <w:rFonts w:cstheme="minorHAnsi"/>
                <w:szCs w:val="20"/>
              </w:rPr>
            </w:pPr>
          </w:p>
          <w:p w14:paraId="6B8F2498" w14:textId="77777777" w:rsidR="008F586B" w:rsidRDefault="008F586B" w:rsidP="00E661A9">
            <w:pPr>
              <w:jc w:val="both"/>
              <w:rPr>
                <w:rFonts w:cstheme="minorHAnsi"/>
                <w:szCs w:val="20"/>
              </w:rPr>
            </w:pPr>
            <w:r w:rsidRPr="008F586B">
              <w:rPr>
                <w:rFonts w:cstheme="minorHAnsi"/>
                <w:b/>
                <w:szCs w:val="20"/>
              </w:rPr>
              <w:t>Tip:</w:t>
            </w:r>
            <w:r w:rsidRPr="008F586B">
              <w:rPr>
                <w:rFonts w:cstheme="minorHAnsi"/>
                <w:szCs w:val="20"/>
              </w:rPr>
              <w:t xml:space="preserve"> Use one or two </w:t>
            </w:r>
            <w:proofErr w:type="spellStart"/>
            <w:r w:rsidRPr="008F586B">
              <w:rPr>
                <w:rFonts w:cstheme="minorHAnsi"/>
                <w:szCs w:val="20"/>
              </w:rPr>
              <w:t>preattentive</w:t>
            </w:r>
            <w:proofErr w:type="spellEnd"/>
            <w:r w:rsidRPr="008F586B">
              <w:rPr>
                <w:rFonts w:cstheme="minorHAnsi"/>
                <w:szCs w:val="20"/>
              </w:rPr>
              <w:t xml:space="preserve"> cues for emphasis (e.g., highlight the current year’s emissions bar in bold colour), and keep the rest muted.</w:t>
            </w:r>
          </w:p>
          <w:p w14:paraId="512526F9" w14:textId="77777777" w:rsidR="008F586B" w:rsidRPr="008F586B" w:rsidRDefault="008F586B" w:rsidP="00E661A9">
            <w:pPr>
              <w:jc w:val="both"/>
              <w:rPr>
                <w:rFonts w:cstheme="minorHAnsi"/>
                <w:szCs w:val="20"/>
              </w:rPr>
            </w:pPr>
          </w:p>
          <w:p w14:paraId="6D7BD37A" w14:textId="77777777" w:rsidR="008F586B" w:rsidRPr="008F586B" w:rsidRDefault="008F586B" w:rsidP="00E661A9">
            <w:pPr>
              <w:jc w:val="both"/>
              <w:rPr>
                <w:rFonts w:cstheme="minorHAnsi"/>
                <w:b/>
                <w:szCs w:val="20"/>
              </w:rPr>
            </w:pPr>
            <w:r w:rsidRPr="008F586B">
              <w:rPr>
                <w:rFonts w:cstheme="minorHAnsi"/>
                <w:b/>
                <w:szCs w:val="20"/>
              </w:rPr>
              <w:t>Gestalt Principles</w:t>
            </w:r>
          </w:p>
          <w:p w14:paraId="426CDDB1" w14:textId="77777777" w:rsidR="008F586B" w:rsidRPr="008F586B" w:rsidRDefault="008F586B" w:rsidP="00E661A9">
            <w:pPr>
              <w:jc w:val="both"/>
              <w:rPr>
                <w:rFonts w:cstheme="minorHAnsi"/>
                <w:szCs w:val="20"/>
              </w:rPr>
            </w:pPr>
            <w:r w:rsidRPr="008F586B">
              <w:rPr>
                <w:rFonts w:cstheme="minorHAnsi"/>
                <w:szCs w:val="20"/>
              </w:rPr>
              <w:t>People naturally group elements. Leverage:</w:t>
            </w:r>
          </w:p>
          <w:p w14:paraId="65819834" w14:textId="77777777" w:rsidR="008F586B" w:rsidRPr="008F586B" w:rsidRDefault="008F586B" w:rsidP="00E661A9">
            <w:pPr>
              <w:numPr>
                <w:ilvl w:val="0"/>
                <w:numId w:val="265"/>
              </w:numPr>
              <w:spacing w:line="259" w:lineRule="auto"/>
              <w:jc w:val="both"/>
              <w:rPr>
                <w:rFonts w:cstheme="minorHAnsi"/>
                <w:szCs w:val="20"/>
              </w:rPr>
            </w:pPr>
            <w:r w:rsidRPr="008F586B">
              <w:rPr>
                <w:rFonts w:cstheme="minorHAnsi"/>
                <w:b/>
                <w:szCs w:val="20"/>
              </w:rPr>
              <w:t>Proximity</w:t>
            </w:r>
            <w:r w:rsidRPr="008F586B">
              <w:rPr>
                <w:rFonts w:cstheme="minorHAnsi"/>
                <w:szCs w:val="20"/>
              </w:rPr>
              <w:t xml:space="preserve"> (closer items feel related).</w:t>
            </w:r>
          </w:p>
          <w:p w14:paraId="37B8F8FA" w14:textId="77777777" w:rsidR="008F586B" w:rsidRPr="008F586B" w:rsidRDefault="008F586B" w:rsidP="00E661A9">
            <w:pPr>
              <w:numPr>
                <w:ilvl w:val="0"/>
                <w:numId w:val="265"/>
              </w:numPr>
              <w:spacing w:line="259" w:lineRule="auto"/>
              <w:jc w:val="both"/>
              <w:rPr>
                <w:rFonts w:cstheme="minorHAnsi"/>
                <w:szCs w:val="20"/>
              </w:rPr>
            </w:pPr>
            <w:r w:rsidRPr="008F586B">
              <w:rPr>
                <w:rFonts w:cstheme="minorHAnsi"/>
                <w:b/>
                <w:szCs w:val="20"/>
              </w:rPr>
              <w:t>Similarity</w:t>
            </w:r>
            <w:r w:rsidRPr="008F586B">
              <w:rPr>
                <w:rFonts w:cstheme="minorHAnsi"/>
                <w:szCs w:val="20"/>
              </w:rPr>
              <w:t xml:space="preserve"> (same colour/shape groups items).</w:t>
            </w:r>
          </w:p>
          <w:p w14:paraId="4E3472D9" w14:textId="77777777" w:rsidR="008F586B" w:rsidRPr="008F586B" w:rsidRDefault="008F586B" w:rsidP="00E661A9">
            <w:pPr>
              <w:numPr>
                <w:ilvl w:val="0"/>
                <w:numId w:val="265"/>
              </w:numPr>
              <w:spacing w:line="259" w:lineRule="auto"/>
              <w:jc w:val="both"/>
              <w:rPr>
                <w:rFonts w:cstheme="minorHAnsi"/>
                <w:szCs w:val="20"/>
              </w:rPr>
            </w:pPr>
            <w:r w:rsidRPr="008F586B">
              <w:rPr>
                <w:rFonts w:cstheme="minorHAnsi"/>
                <w:b/>
                <w:szCs w:val="20"/>
              </w:rPr>
              <w:t>Enclosure</w:t>
            </w:r>
            <w:r w:rsidRPr="008F586B">
              <w:rPr>
                <w:rFonts w:cstheme="minorHAnsi"/>
                <w:szCs w:val="20"/>
              </w:rPr>
              <w:t xml:space="preserve"> (subtle boxes/regions imply grouping).</w:t>
            </w:r>
          </w:p>
          <w:p w14:paraId="4D26DB7A" w14:textId="77777777" w:rsidR="008F586B" w:rsidRPr="008F586B" w:rsidRDefault="008F586B" w:rsidP="00E661A9">
            <w:pPr>
              <w:numPr>
                <w:ilvl w:val="0"/>
                <w:numId w:val="265"/>
              </w:numPr>
              <w:spacing w:line="259" w:lineRule="auto"/>
              <w:jc w:val="both"/>
              <w:rPr>
                <w:rFonts w:cstheme="minorHAnsi"/>
                <w:szCs w:val="20"/>
              </w:rPr>
            </w:pPr>
            <w:r w:rsidRPr="008F586B">
              <w:rPr>
                <w:rFonts w:cstheme="minorHAnsi"/>
                <w:b/>
                <w:szCs w:val="20"/>
              </w:rPr>
              <w:t>Continuity</w:t>
            </w:r>
            <w:r w:rsidRPr="008F586B">
              <w:rPr>
                <w:rFonts w:cstheme="minorHAnsi"/>
                <w:szCs w:val="20"/>
              </w:rPr>
              <w:t xml:space="preserve"> (smooth lines imply trends).</w:t>
            </w:r>
          </w:p>
          <w:p w14:paraId="66BEBFB2" w14:textId="77777777" w:rsidR="008F586B" w:rsidRDefault="008F586B" w:rsidP="00E661A9">
            <w:pPr>
              <w:numPr>
                <w:ilvl w:val="0"/>
                <w:numId w:val="265"/>
              </w:numPr>
              <w:spacing w:line="259" w:lineRule="auto"/>
              <w:jc w:val="both"/>
              <w:rPr>
                <w:rFonts w:cstheme="minorHAnsi"/>
                <w:szCs w:val="20"/>
              </w:rPr>
            </w:pPr>
            <w:r w:rsidRPr="008F586B">
              <w:rPr>
                <w:rFonts w:cstheme="minorHAnsi"/>
                <w:b/>
                <w:szCs w:val="20"/>
              </w:rPr>
              <w:t>Closure</w:t>
            </w:r>
            <w:r w:rsidRPr="008F586B">
              <w:rPr>
                <w:rFonts w:cstheme="minorHAnsi"/>
                <w:szCs w:val="20"/>
              </w:rPr>
              <w:t xml:space="preserve"> (we complete shapes—avoid ambiguous partial shapes).</w:t>
            </w:r>
          </w:p>
          <w:p w14:paraId="6CCBE183" w14:textId="77777777" w:rsidR="008F586B" w:rsidRPr="008F586B" w:rsidRDefault="008F586B" w:rsidP="00E661A9">
            <w:pPr>
              <w:spacing w:line="259" w:lineRule="auto"/>
              <w:ind w:left="720"/>
              <w:jc w:val="both"/>
              <w:rPr>
                <w:rFonts w:cstheme="minorHAnsi"/>
                <w:szCs w:val="20"/>
              </w:rPr>
            </w:pPr>
          </w:p>
          <w:p w14:paraId="3ECCEA7A" w14:textId="77777777" w:rsidR="008F586B" w:rsidRPr="008F586B" w:rsidRDefault="008F586B" w:rsidP="00E661A9">
            <w:pPr>
              <w:jc w:val="both"/>
              <w:rPr>
                <w:rFonts w:cstheme="minorHAnsi"/>
                <w:b/>
                <w:szCs w:val="20"/>
              </w:rPr>
            </w:pPr>
            <w:r w:rsidRPr="008F586B">
              <w:rPr>
                <w:rFonts w:cstheme="minorHAnsi"/>
                <w:b/>
                <w:szCs w:val="20"/>
              </w:rPr>
              <w:t>Cognitive Load &amp; Working Memory</w:t>
            </w:r>
          </w:p>
          <w:p w14:paraId="564C29DA" w14:textId="77777777" w:rsidR="008F586B" w:rsidRPr="008F586B" w:rsidRDefault="008F586B" w:rsidP="00E661A9">
            <w:pPr>
              <w:jc w:val="both"/>
              <w:rPr>
                <w:rFonts w:cstheme="minorHAnsi"/>
                <w:szCs w:val="20"/>
              </w:rPr>
            </w:pPr>
            <w:r w:rsidRPr="008F586B">
              <w:rPr>
                <w:rFonts w:cstheme="minorHAnsi"/>
                <w:szCs w:val="20"/>
              </w:rPr>
              <w:t>Working memory is limited (≈4±1 chunks). Reduce overload by:</w:t>
            </w:r>
          </w:p>
          <w:p w14:paraId="42EE80BD" w14:textId="77777777" w:rsidR="008F586B" w:rsidRPr="008F586B" w:rsidRDefault="008F586B" w:rsidP="00E661A9">
            <w:pPr>
              <w:numPr>
                <w:ilvl w:val="0"/>
                <w:numId w:val="266"/>
              </w:numPr>
              <w:spacing w:line="259" w:lineRule="auto"/>
              <w:jc w:val="both"/>
              <w:rPr>
                <w:rFonts w:cstheme="minorHAnsi"/>
                <w:szCs w:val="20"/>
              </w:rPr>
            </w:pPr>
            <w:r w:rsidRPr="008F586B">
              <w:rPr>
                <w:rFonts w:cstheme="minorHAnsi"/>
                <w:szCs w:val="20"/>
              </w:rPr>
              <w:t>Limiting series to ≤5–7 in one view.</w:t>
            </w:r>
          </w:p>
          <w:p w14:paraId="52CDA5C1" w14:textId="77777777" w:rsidR="008F586B" w:rsidRPr="008F586B" w:rsidRDefault="008F586B" w:rsidP="00E661A9">
            <w:pPr>
              <w:numPr>
                <w:ilvl w:val="0"/>
                <w:numId w:val="266"/>
              </w:numPr>
              <w:spacing w:line="259" w:lineRule="auto"/>
              <w:jc w:val="both"/>
              <w:rPr>
                <w:rFonts w:cstheme="minorHAnsi"/>
                <w:szCs w:val="20"/>
              </w:rPr>
            </w:pPr>
            <w:r w:rsidRPr="008F586B">
              <w:rPr>
                <w:rFonts w:cstheme="minorHAnsi"/>
                <w:szCs w:val="20"/>
              </w:rPr>
              <w:t xml:space="preserve">Using progressive disclosure (tooltips, </w:t>
            </w:r>
            <w:proofErr w:type="spellStart"/>
            <w:r w:rsidRPr="008F586B">
              <w:rPr>
                <w:rFonts w:cstheme="minorHAnsi"/>
                <w:szCs w:val="20"/>
              </w:rPr>
              <w:t>detailsondemand</w:t>
            </w:r>
            <w:proofErr w:type="spellEnd"/>
            <w:r w:rsidRPr="008F586B">
              <w:rPr>
                <w:rFonts w:cstheme="minorHAnsi"/>
                <w:szCs w:val="20"/>
              </w:rPr>
              <w:t>) in interactive reports.</w:t>
            </w:r>
          </w:p>
          <w:p w14:paraId="365CC7D0" w14:textId="77777777" w:rsidR="008F586B" w:rsidRPr="00900767" w:rsidRDefault="008F586B" w:rsidP="00E661A9">
            <w:pPr>
              <w:numPr>
                <w:ilvl w:val="0"/>
                <w:numId w:val="266"/>
              </w:numPr>
              <w:spacing w:line="259" w:lineRule="auto"/>
              <w:jc w:val="both"/>
              <w:rPr>
                <w:rFonts w:cstheme="minorHAnsi"/>
                <w:szCs w:val="20"/>
              </w:rPr>
            </w:pPr>
            <w:r w:rsidRPr="008F586B">
              <w:rPr>
                <w:rFonts w:cstheme="minorHAnsi"/>
                <w:szCs w:val="20"/>
              </w:rPr>
              <w:t xml:space="preserve">Summarising with a clear headline: </w:t>
            </w:r>
            <w:r w:rsidRPr="008F586B">
              <w:rPr>
                <w:rFonts w:cstheme="minorHAnsi"/>
                <w:i/>
                <w:szCs w:val="20"/>
              </w:rPr>
              <w:t>“Scope 2 fell 18% YoY; Scope 3 flat.”</w:t>
            </w:r>
          </w:p>
          <w:p w14:paraId="60EFF2FB" w14:textId="77777777" w:rsidR="00900767" w:rsidRPr="008F586B" w:rsidRDefault="00900767" w:rsidP="00E661A9">
            <w:pPr>
              <w:spacing w:line="259" w:lineRule="auto"/>
              <w:ind w:left="720"/>
              <w:jc w:val="both"/>
              <w:rPr>
                <w:rFonts w:cstheme="minorHAnsi"/>
                <w:szCs w:val="20"/>
              </w:rPr>
            </w:pPr>
          </w:p>
          <w:p w14:paraId="206A4337" w14:textId="77777777" w:rsidR="008F586B" w:rsidRPr="008F586B" w:rsidRDefault="008F586B" w:rsidP="00E661A9">
            <w:pPr>
              <w:jc w:val="both"/>
              <w:rPr>
                <w:rFonts w:cstheme="minorHAnsi"/>
                <w:b/>
                <w:szCs w:val="20"/>
              </w:rPr>
            </w:pPr>
            <w:r w:rsidRPr="008F586B">
              <w:rPr>
                <w:rFonts w:cstheme="minorHAnsi"/>
                <w:b/>
                <w:szCs w:val="20"/>
              </w:rPr>
              <w:t>Scale Literacy</w:t>
            </w:r>
          </w:p>
          <w:p w14:paraId="27A167DA" w14:textId="77777777" w:rsidR="008F586B" w:rsidRDefault="008F586B" w:rsidP="00E661A9">
            <w:pPr>
              <w:jc w:val="both"/>
              <w:rPr>
                <w:rFonts w:cstheme="minorHAnsi"/>
                <w:szCs w:val="20"/>
              </w:rPr>
            </w:pPr>
            <w:r w:rsidRPr="008F586B">
              <w:rPr>
                <w:rFonts w:cstheme="minorHAnsi"/>
                <w:szCs w:val="20"/>
              </w:rPr>
              <w:t xml:space="preserve">Humans misread magnitudes when scales are inconsistent. Make scales clear, aligned, and labelled (units!). Avoid switching units midstory (e.g., tonnes </w:t>
            </w:r>
            <w:proofErr w:type="spellStart"/>
            <w:r w:rsidRPr="008F586B">
              <w:rPr>
                <w:rFonts w:cstheme="minorHAnsi"/>
                <w:szCs w:val="20"/>
              </w:rPr>
              <w:t>CO</w:t>
            </w:r>
            <w:r w:rsidRPr="008F586B">
              <w:rPr>
                <w:rFonts w:ascii="Cambria Math" w:hAnsi="Cambria Math" w:cs="Cambria Math"/>
                <w:szCs w:val="20"/>
              </w:rPr>
              <w:t>₂</w:t>
            </w:r>
            <w:r w:rsidRPr="008F586B">
              <w:rPr>
                <w:rFonts w:cstheme="minorHAnsi"/>
                <w:szCs w:val="20"/>
              </w:rPr>
              <w:t>e</w:t>
            </w:r>
            <w:proofErr w:type="spellEnd"/>
            <w:r w:rsidRPr="008F586B">
              <w:rPr>
                <w:rFonts w:cstheme="minorHAnsi"/>
                <w:szCs w:val="20"/>
              </w:rPr>
              <w:t xml:space="preserve"> vs. kg </w:t>
            </w:r>
            <w:proofErr w:type="spellStart"/>
            <w:r w:rsidRPr="008F586B">
              <w:rPr>
                <w:rFonts w:cstheme="minorHAnsi"/>
                <w:szCs w:val="20"/>
              </w:rPr>
              <w:t>CO</w:t>
            </w:r>
            <w:r w:rsidRPr="008F586B">
              <w:rPr>
                <w:rFonts w:ascii="Cambria Math" w:hAnsi="Cambria Math" w:cs="Cambria Math"/>
                <w:szCs w:val="20"/>
              </w:rPr>
              <w:t>₂</w:t>
            </w:r>
            <w:r w:rsidRPr="008F586B">
              <w:rPr>
                <w:rFonts w:cstheme="minorHAnsi"/>
                <w:szCs w:val="20"/>
              </w:rPr>
              <w:t>e</w:t>
            </w:r>
            <w:proofErr w:type="spellEnd"/>
            <w:r w:rsidRPr="008F586B">
              <w:rPr>
                <w:rFonts w:cstheme="minorHAnsi"/>
                <w:szCs w:val="20"/>
              </w:rPr>
              <w:t>) without strong visual signposting.</w:t>
            </w:r>
          </w:p>
          <w:p w14:paraId="30D3827E" w14:textId="77777777" w:rsidR="00900767" w:rsidRPr="008F586B" w:rsidRDefault="00900767" w:rsidP="00E661A9">
            <w:pPr>
              <w:jc w:val="both"/>
              <w:rPr>
                <w:rFonts w:cstheme="minorHAnsi"/>
                <w:szCs w:val="20"/>
              </w:rPr>
            </w:pPr>
          </w:p>
          <w:p w14:paraId="7619EBFC" w14:textId="7FC3E1E8" w:rsidR="008F586B" w:rsidRPr="008F586B" w:rsidRDefault="008F586B" w:rsidP="00E661A9">
            <w:pPr>
              <w:jc w:val="both"/>
              <w:rPr>
                <w:rFonts w:cstheme="minorHAnsi"/>
                <w:szCs w:val="20"/>
              </w:rPr>
            </w:pPr>
            <w:r w:rsidRPr="008F586B">
              <w:rPr>
                <w:rFonts w:cstheme="minorHAnsi"/>
                <w:noProof/>
                <w:szCs w:val="20"/>
              </w:rPr>
              <mc:AlternateContent>
                <mc:Choice Requires="wps">
                  <w:drawing>
                    <wp:inline distT="0" distB="0" distL="0" distR="0" wp14:anchorId="08BD1303" wp14:editId="588F19A1">
                      <wp:extent cx="0" cy="19050"/>
                      <wp:effectExtent l="0" t="0" r="0" b="0"/>
                      <wp:docPr id="54" name="_x0000_i102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1021520F" id="_x0000_i10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r w:rsidR="00900767">
              <w:rPr>
                <w:rFonts w:cstheme="minorHAnsi"/>
                <w:b/>
                <w:szCs w:val="20"/>
              </w:rPr>
              <w:t>S</w:t>
            </w:r>
            <w:r w:rsidRPr="008F586B">
              <w:rPr>
                <w:rFonts w:cstheme="minorHAnsi"/>
                <w:b/>
                <w:szCs w:val="20"/>
              </w:rPr>
              <w:t>electing Appropriate Chart Types for ESG Data</w:t>
            </w:r>
          </w:p>
          <w:p w14:paraId="5B7F21EC" w14:textId="77777777" w:rsidR="008F586B" w:rsidRPr="008F586B" w:rsidRDefault="008F586B" w:rsidP="00E661A9">
            <w:pPr>
              <w:jc w:val="both"/>
              <w:rPr>
                <w:rFonts w:cstheme="minorHAnsi"/>
                <w:szCs w:val="20"/>
              </w:rPr>
            </w:pPr>
            <w:r w:rsidRPr="008F586B">
              <w:rPr>
                <w:rFonts w:cstheme="minorHAnsi"/>
                <w:szCs w:val="20"/>
              </w:rPr>
              <w:t>In the Figure 1, there is a guideline for selecting a correct chart type. You should start with a question of what you want to show (comparison, distribution, composition or relationship) and then check the type of data.</w:t>
            </w:r>
          </w:p>
          <w:p w14:paraId="374552D8" w14:textId="77777777" w:rsidR="008F586B" w:rsidRPr="008F586B" w:rsidRDefault="008F586B" w:rsidP="00CD130A">
            <w:pPr>
              <w:rPr>
                <w:rFonts w:cstheme="minorHAnsi"/>
                <w:szCs w:val="20"/>
              </w:rPr>
            </w:pPr>
          </w:p>
          <w:p w14:paraId="462059F5" w14:textId="77777777" w:rsidR="005755BD" w:rsidRPr="005755BD" w:rsidRDefault="008F586B" w:rsidP="005755BD">
            <w:pPr>
              <w:keepNext/>
              <w:jc w:val="center"/>
            </w:pPr>
            <w:r w:rsidRPr="005755BD">
              <w:rPr>
                <w:rFonts w:cstheme="minorHAnsi"/>
                <w:noProof/>
                <w:szCs w:val="20"/>
              </w:rPr>
              <w:lastRenderedPageBreak/>
              <w:drawing>
                <wp:inline distT="0" distB="0" distL="0" distR="0" wp14:anchorId="04D71088" wp14:editId="49A1D91E">
                  <wp:extent cx="5728245" cy="4288755"/>
                  <wp:effectExtent l="0" t="0" r="635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75"/>
                          <a:stretch/>
                        </pic:blipFill>
                        <pic:spPr bwMode="auto">
                          <a:xfrm>
                            <a:off x="0" y="0"/>
                            <a:ext cx="5733361" cy="4292586"/>
                          </a:xfrm>
                          <a:prstGeom prst="rect">
                            <a:avLst/>
                          </a:prstGeom>
                          <a:noFill/>
                          <a:ln>
                            <a:noFill/>
                          </a:ln>
                        </pic:spPr>
                      </pic:pic>
                    </a:graphicData>
                  </a:graphic>
                </wp:inline>
              </w:drawing>
            </w:r>
          </w:p>
          <w:p w14:paraId="6227D715" w14:textId="12EE4C86" w:rsidR="005755BD" w:rsidRPr="005755BD" w:rsidRDefault="005755BD" w:rsidP="005755BD">
            <w:pPr>
              <w:pStyle w:val="Caption"/>
              <w:jc w:val="center"/>
              <w:rPr>
                <w:b w:val="0"/>
                <w:bCs w:val="0"/>
              </w:rPr>
            </w:pPr>
            <w:bookmarkStart w:id="50" w:name="_Toc227486393"/>
            <w:r w:rsidRPr="005755BD">
              <w:rPr>
                <w:b w:val="0"/>
                <w:bCs w:val="0"/>
              </w:rPr>
              <w:t xml:space="preserve">Figure </w:t>
            </w:r>
            <w:r w:rsidRPr="005755BD">
              <w:rPr>
                <w:b w:val="0"/>
                <w:bCs w:val="0"/>
              </w:rPr>
              <w:fldChar w:fldCharType="begin"/>
            </w:r>
            <w:r w:rsidRPr="005755BD">
              <w:rPr>
                <w:b w:val="0"/>
                <w:bCs w:val="0"/>
              </w:rPr>
              <w:instrText xml:space="preserve"> SEQ Figure \* ARABIC </w:instrText>
            </w:r>
            <w:r w:rsidRPr="005755BD">
              <w:rPr>
                <w:b w:val="0"/>
                <w:bCs w:val="0"/>
              </w:rPr>
              <w:fldChar w:fldCharType="separate"/>
            </w:r>
            <w:r w:rsidR="00D135B0">
              <w:rPr>
                <w:b w:val="0"/>
                <w:bCs w:val="0"/>
                <w:noProof/>
              </w:rPr>
              <w:t>15</w:t>
            </w:r>
            <w:r w:rsidRPr="005755BD">
              <w:rPr>
                <w:b w:val="0"/>
                <w:bCs w:val="0"/>
              </w:rPr>
              <w:fldChar w:fldCharType="end"/>
            </w:r>
            <w:r w:rsidRPr="005755BD">
              <w:rPr>
                <w:b w:val="0"/>
                <w:bCs w:val="0"/>
              </w:rPr>
              <w:t>.</w:t>
            </w:r>
            <w:r w:rsidRPr="005755BD">
              <w:rPr>
                <w:rFonts w:cstheme="minorHAnsi"/>
                <w:b w:val="0"/>
                <w:bCs w:val="0"/>
                <w:sz w:val="18"/>
                <w:szCs w:val="18"/>
              </w:rPr>
              <w:t xml:space="preserve"> Chart suggestions (Source</w:t>
            </w:r>
            <w:r w:rsidRPr="005755BD">
              <w:rPr>
                <w:b w:val="0"/>
                <w:bCs w:val="0"/>
              </w:rPr>
              <w:t xml:space="preserve"> </w:t>
            </w:r>
            <w:hyperlink r:id="rId76" w:tooltip="https://extremepresentation.com/design/7-charts/" w:history="1">
              <w:r w:rsidRPr="005755BD">
                <w:rPr>
                  <w:rStyle w:val="Hyperlink"/>
                  <w:rFonts w:cstheme="minorHAnsi"/>
                  <w:b w:val="0"/>
                  <w:bCs w:val="0"/>
                  <w:color w:val="009889" w:themeColor="accent2"/>
                  <w:sz w:val="18"/>
                  <w:szCs w:val="18"/>
                </w:rPr>
                <w:t>Abela, 2006</w:t>
              </w:r>
            </w:hyperlink>
            <w:r w:rsidRPr="005755BD">
              <w:rPr>
                <w:rFonts w:cstheme="minorHAnsi"/>
                <w:b w:val="0"/>
                <w:bCs w:val="0"/>
                <w:sz w:val="18"/>
                <w:szCs w:val="18"/>
              </w:rPr>
              <w:t>)</w:t>
            </w:r>
            <w:bookmarkEnd w:id="50"/>
          </w:p>
          <w:p w14:paraId="798808D3" w14:textId="4D36B090" w:rsidR="008F586B" w:rsidRPr="008F586B" w:rsidRDefault="008F586B" w:rsidP="00CD130A">
            <w:pPr>
              <w:rPr>
                <w:rFonts w:cstheme="minorHAnsi"/>
                <w:szCs w:val="20"/>
              </w:rPr>
            </w:pPr>
          </w:p>
          <w:p w14:paraId="31B220BB" w14:textId="52600A2D" w:rsidR="008F586B" w:rsidRPr="005755BD" w:rsidRDefault="008F586B" w:rsidP="005755BD">
            <w:pPr>
              <w:rPr>
                <w:rFonts w:cstheme="minorHAnsi"/>
                <w:color w:val="009889" w:themeColor="accent2"/>
                <w:sz w:val="18"/>
                <w:szCs w:val="18"/>
              </w:rPr>
            </w:pPr>
          </w:p>
          <w:p w14:paraId="199E750F" w14:textId="77777777" w:rsidR="008F586B" w:rsidRPr="008F586B" w:rsidRDefault="008F586B" w:rsidP="00E661A9">
            <w:pPr>
              <w:jc w:val="both"/>
              <w:rPr>
                <w:rFonts w:cstheme="minorHAnsi"/>
                <w:szCs w:val="20"/>
              </w:rPr>
            </w:pPr>
            <w:r w:rsidRPr="008F586B">
              <w:rPr>
                <w:rFonts w:cstheme="minorHAnsi"/>
                <w:i/>
                <w:szCs w:val="20"/>
              </w:rPr>
              <w:t>Image description: The image shows a flowchart titled “Chart Suggestions—A Thought-Starter” that helps choose the appropriate type of chart for data visualization. It starts with the question “What would you like to show?” and branches into four categories: comparison, relationship, distribution, and composition. Each branch suggests different chart types—such as bar charts, line charts, scatter plots, pie charts, histograms, and area charts—depending on the data and the purpose of the visualization.</w:t>
            </w:r>
          </w:p>
          <w:p w14:paraId="6EFD9318" w14:textId="77777777" w:rsidR="008F586B" w:rsidRDefault="008F586B" w:rsidP="00CD130A">
            <w:pPr>
              <w:rPr>
                <w:rFonts w:cstheme="minorHAnsi"/>
                <w:szCs w:val="20"/>
              </w:rPr>
            </w:pPr>
            <w:r w:rsidRPr="008F586B">
              <w:rPr>
                <w:rFonts w:cstheme="minorHAnsi"/>
                <w:szCs w:val="20"/>
              </w:rPr>
              <w:t>Next, a more through guideline is given based on what you want to show.</w:t>
            </w:r>
          </w:p>
          <w:p w14:paraId="29462753" w14:textId="77777777" w:rsidR="008F586B" w:rsidRPr="008F586B" w:rsidRDefault="008F586B" w:rsidP="00E661A9">
            <w:pPr>
              <w:jc w:val="both"/>
              <w:rPr>
                <w:rFonts w:cstheme="minorHAnsi"/>
                <w:szCs w:val="20"/>
              </w:rPr>
            </w:pPr>
          </w:p>
          <w:p w14:paraId="1100E6F9" w14:textId="77777777" w:rsidR="008F586B" w:rsidRPr="008F586B" w:rsidRDefault="008F586B" w:rsidP="00E661A9">
            <w:pPr>
              <w:jc w:val="both"/>
              <w:rPr>
                <w:rFonts w:cstheme="minorHAnsi"/>
                <w:szCs w:val="20"/>
              </w:rPr>
            </w:pPr>
            <w:r w:rsidRPr="008F586B">
              <w:rPr>
                <w:rFonts w:cstheme="minorHAnsi"/>
                <w:szCs w:val="20"/>
              </w:rPr>
              <w:t xml:space="preserve"> </w:t>
            </w:r>
            <w:r w:rsidRPr="008F586B">
              <w:rPr>
                <w:rFonts w:cstheme="minorHAnsi"/>
                <w:b/>
                <w:szCs w:val="20"/>
              </w:rPr>
              <w:t>Comparisons &amp; Rankings</w:t>
            </w:r>
          </w:p>
          <w:p w14:paraId="6AA99D9F" w14:textId="77777777" w:rsidR="008F586B" w:rsidRPr="008F586B" w:rsidRDefault="008F586B" w:rsidP="00E661A9">
            <w:pPr>
              <w:numPr>
                <w:ilvl w:val="0"/>
                <w:numId w:val="267"/>
              </w:numPr>
              <w:spacing w:line="259" w:lineRule="auto"/>
              <w:jc w:val="both"/>
              <w:rPr>
                <w:rFonts w:cstheme="minorHAnsi"/>
                <w:szCs w:val="20"/>
              </w:rPr>
            </w:pPr>
            <w:r w:rsidRPr="008F586B">
              <w:rPr>
                <w:rFonts w:cstheme="minorHAnsi"/>
                <w:b/>
                <w:szCs w:val="20"/>
              </w:rPr>
              <w:t>Bar charts (horizontal)</w:t>
            </w:r>
            <w:r w:rsidRPr="008F586B">
              <w:rPr>
                <w:rFonts w:cstheme="minorHAnsi"/>
                <w:szCs w:val="20"/>
              </w:rPr>
              <w:t>: Best for ranking companies by emissions intensity (</w:t>
            </w:r>
            <w:proofErr w:type="spellStart"/>
            <w:r w:rsidRPr="008F586B">
              <w:rPr>
                <w:rFonts w:cstheme="minorHAnsi"/>
                <w:szCs w:val="20"/>
              </w:rPr>
              <w:t>tCO</w:t>
            </w:r>
            <w:r w:rsidRPr="008F586B">
              <w:rPr>
                <w:rFonts w:ascii="Cambria Math" w:hAnsi="Cambria Math" w:cs="Cambria Math"/>
                <w:szCs w:val="20"/>
              </w:rPr>
              <w:t>₂</w:t>
            </w:r>
            <w:r w:rsidRPr="008F586B">
              <w:rPr>
                <w:rFonts w:cstheme="minorHAnsi"/>
                <w:szCs w:val="20"/>
              </w:rPr>
              <w:t>e</w:t>
            </w:r>
            <w:proofErr w:type="spellEnd"/>
            <w:r w:rsidRPr="008F586B">
              <w:rPr>
                <w:rFonts w:cstheme="minorHAnsi"/>
                <w:szCs w:val="20"/>
              </w:rPr>
              <w:t xml:space="preserve"> per revenue). Long category labels fit better.</w:t>
            </w:r>
          </w:p>
          <w:p w14:paraId="0810BB53" w14:textId="77777777" w:rsidR="008F586B" w:rsidRPr="008F586B" w:rsidRDefault="008F586B" w:rsidP="00E661A9">
            <w:pPr>
              <w:numPr>
                <w:ilvl w:val="0"/>
                <w:numId w:val="267"/>
              </w:numPr>
              <w:spacing w:line="259" w:lineRule="auto"/>
              <w:jc w:val="both"/>
              <w:rPr>
                <w:rFonts w:cstheme="minorHAnsi"/>
                <w:szCs w:val="20"/>
              </w:rPr>
            </w:pPr>
            <w:r w:rsidRPr="008F586B">
              <w:rPr>
                <w:rFonts w:cstheme="minorHAnsi"/>
                <w:b/>
                <w:szCs w:val="20"/>
              </w:rPr>
              <w:t>Clustered bars</w:t>
            </w:r>
            <w:r w:rsidRPr="008F586B">
              <w:rPr>
                <w:rFonts w:cstheme="minorHAnsi"/>
                <w:szCs w:val="20"/>
              </w:rPr>
              <w:t>: Compare a small number of categories across 2–3 scenarios (e.g., 2023 vs 2024 vs target). Keep clusters to ≤4 to avoid clutter.</w:t>
            </w:r>
          </w:p>
          <w:p w14:paraId="04EF1B79" w14:textId="77777777" w:rsidR="008F586B" w:rsidRPr="008F586B" w:rsidRDefault="008F586B" w:rsidP="00E661A9">
            <w:pPr>
              <w:numPr>
                <w:ilvl w:val="0"/>
                <w:numId w:val="267"/>
              </w:numPr>
              <w:spacing w:line="259" w:lineRule="auto"/>
              <w:jc w:val="both"/>
              <w:rPr>
                <w:rFonts w:cstheme="minorHAnsi"/>
                <w:szCs w:val="20"/>
              </w:rPr>
            </w:pPr>
            <w:r w:rsidRPr="008F586B">
              <w:rPr>
                <w:rFonts w:cstheme="minorHAnsi"/>
                <w:b/>
                <w:szCs w:val="20"/>
              </w:rPr>
              <w:t>Dot plots / lollipop charts</w:t>
            </w:r>
            <w:r w:rsidRPr="008F586B">
              <w:rPr>
                <w:rFonts w:cstheme="minorHAnsi"/>
                <w:szCs w:val="20"/>
              </w:rPr>
              <w:t>: Cleaner alternative to bars for rankings of many categories; dots reduce ink.</w:t>
            </w:r>
          </w:p>
          <w:p w14:paraId="63FDACE6" w14:textId="77777777" w:rsidR="008F586B" w:rsidRPr="008F586B" w:rsidRDefault="008F586B" w:rsidP="00E661A9">
            <w:pPr>
              <w:jc w:val="both"/>
              <w:rPr>
                <w:rFonts w:cstheme="minorHAnsi"/>
                <w:b/>
                <w:szCs w:val="20"/>
              </w:rPr>
            </w:pPr>
            <w:r w:rsidRPr="008F586B">
              <w:rPr>
                <w:rFonts w:cstheme="minorHAnsi"/>
                <w:b/>
                <w:szCs w:val="20"/>
              </w:rPr>
              <w:t>Change Over Time</w:t>
            </w:r>
          </w:p>
          <w:p w14:paraId="15DED963" w14:textId="77777777" w:rsidR="008F586B" w:rsidRPr="008F586B" w:rsidRDefault="008F586B" w:rsidP="00E661A9">
            <w:pPr>
              <w:numPr>
                <w:ilvl w:val="0"/>
                <w:numId w:val="268"/>
              </w:numPr>
              <w:spacing w:line="259" w:lineRule="auto"/>
              <w:jc w:val="both"/>
              <w:rPr>
                <w:rFonts w:cstheme="minorHAnsi"/>
                <w:szCs w:val="20"/>
              </w:rPr>
            </w:pPr>
            <w:r w:rsidRPr="008F586B">
              <w:rPr>
                <w:rFonts w:cstheme="minorHAnsi"/>
                <w:b/>
                <w:szCs w:val="20"/>
              </w:rPr>
              <w:t>Line charts</w:t>
            </w:r>
            <w:r w:rsidRPr="008F586B">
              <w:rPr>
                <w:rFonts w:cstheme="minorHAnsi"/>
                <w:szCs w:val="20"/>
              </w:rPr>
              <w:t>: Emissions trend, TRIR (Total Recordable Incident Rate), or board diversity share over years. Use consistent time intervals; don’t break baselines.</w:t>
            </w:r>
          </w:p>
          <w:p w14:paraId="214658AC" w14:textId="77777777" w:rsidR="008F586B" w:rsidRPr="008F586B" w:rsidRDefault="008F586B" w:rsidP="00E661A9">
            <w:pPr>
              <w:numPr>
                <w:ilvl w:val="0"/>
                <w:numId w:val="268"/>
              </w:numPr>
              <w:spacing w:line="259" w:lineRule="auto"/>
              <w:jc w:val="both"/>
              <w:rPr>
                <w:rFonts w:cstheme="minorHAnsi"/>
                <w:szCs w:val="20"/>
              </w:rPr>
            </w:pPr>
            <w:r w:rsidRPr="008F586B">
              <w:rPr>
                <w:rFonts w:cstheme="minorHAnsi"/>
                <w:b/>
                <w:szCs w:val="20"/>
              </w:rPr>
              <w:t>Slope charts</w:t>
            </w:r>
            <w:r w:rsidRPr="008F586B">
              <w:rPr>
                <w:rFonts w:cstheme="minorHAnsi"/>
                <w:szCs w:val="20"/>
              </w:rPr>
              <w:t xml:space="preserve">: </w:t>
            </w:r>
            <w:proofErr w:type="spellStart"/>
            <w:r w:rsidRPr="008F586B">
              <w:rPr>
                <w:rFonts w:cstheme="minorHAnsi"/>
                <w:szCs w:val="20"/>
              </w:rPr>
              <w:t>Twopoint</w:t>
            </w:r>
            <w:proofErr w:type="spellEnd"/>
            <w:r w:rsidRPr="008F586B">
              <w:rPr>
                <w:rFonts w:cstheme="minorHAnsi"/>
                <w:szCs w:val="20"/>
              </w:rPr>
              <w:t xml:space="preserve"> comparisons (e.g., 2020 vs 2025) to show changes per company, highlighting movers.</w:t>
            </w:r>
          </w:p>
          <w:p w14:paraId="22C490AF" w14:textId="77777777" w:rsidR="008F586B" w:rsidRPr="008F586B" w:rsidRDefault="008F586B" w:rsidP="00E661A9">
            <w:pPr>
              <w:numPr>
                <w:ilvl w:val="0"/>
                <w:numId w:val="268"/>
              </w:numPr>
              <w:spacing w:line="259" w:lineRule="auto"/>
              <w:jc w:val="both"/>
              <w:rPr>
                <w:rFonts w:cstheme="minorHAnsi"/>
                <w:szCs w:val="20"/>
              </w:rPr>
            </w:pPr>
            <w:r w:rsidRPr="008F586B">
              <w:rPr>
                <w:rFonts w:cstheme="minorHAnsi"/>
                <w:b/>
                <w:szCs w:val="20"/>
              </w:rPr>
              <w:lastRenderedPageBreak/>
              <w:t>Area charts</w:t>
            </w:r>
            <w:r w:rsidRPr="008F586B">
              <w:rPr>
                <w:rFonts w:cstheme="minorHAnsi"/>
                <w:szCs w:val="20"/>
              </w:rPr>
              <w:t>: Use cautiously for cumulative or stacked contributions (e.g., energy mix). Keep the baseline at zero and minimise stacking layers.</w:t>
            </w:r>
          </w:p>
          <w:p w14:paraId="69EF4703" w14:textId="77777777" w:rsidR="008F586B" w:rsidRPr="008F586B" w:rsidRDefault="008F586B" w:rsidP="00E661A9">
            <w:pPr>
              <w:jc w:val="both"/>
              <w:rPr>
                <w:rFonts w:cstheme="minorHAnsi"/>
                <w:b/>
                <w:szCs w:val="20"/>
              </w:rPr>
            </w:pPr>
            <w:r w:rsidRPr="008F586B">
              <w:rPr>
                <w:rFonts w:cstheme="minorHAnsi"/>
                <w:b/>
                <w:szCs w:val="20"/>
              </w:rPr>
              <w:t>Distributions &amp; Uncertainty</w:t>
            </w:r>
          </w:p>
          <w:p w14:paraId="1B843C32" w14:textId="77777777" w:rsidR="008F586B" w:rsidRPr="008F586B" w:rsidRDefault="008F586B" w:rsidP="00E661A9">
            <w:pPr>
              <w:numPr>
                <w:ilvl w:val="0"/>
                <w:numId w:val="269"/>
              </w:numPr>
              <w:spacing w:line="259" w:lineRule="auto"/>
              <w:jc w:val="both"/>
              <w:rPr>
                <w:rFonts w:cstheme="minorHAnsi"/>
                <w:szCs w:val="20"/>
              </w:rPr>
            </w:pPr>
            <w:r w:rsidRPr="008F586B">
              <w:rPr>
                <w:rFonts w:cstheme="minorHAnsi"/>
                <w:b/>
                <w:szCs w:val="20"/>
              </w:rPr>
              <w:t>Histograms</w:t>
            </w:r>
            <w:r w:rsidRPr="008F586B">
              <w:rPr>
                <w:rFonts w:cstheme="minorHAnsi"/>
                <w:szCs w:val="20"/>
              </w:rPr>
              <w:t>: Distribution of emissions intensity across peers.</w:t>
            </w:r>
          </w:p>
          <w:p w14:paraId="3B06188A" w14:textId="77777777" w:rsidR="008F586B" w:rsidRPr="008F586B" w:rsidRDefault="008F586B" w:rsidP="00E661A9">
            <w:pPr>
              <w:numPr>
                <w:ilvl w:val="0"/>
                <w:numId w:val="269"/>
              </w:numPr>
              <w:spacing w:line="259" w:lineRule="auto"/>
              <w:jc w:val="both"/>
              <w:rPr>
                <w:rFonts w:cstheme="minorHAnsi"/>
                <w:szCs w:val="20"/>
              </w:rPr>
            </w:pPr>
            <w:r w:rsidRPr="008F586B">
              <w:rPr>
                <w:rFonts w:cstheme="minorHAnsi"/>
                <w:b/>
                <w:szCs w:val="20"/>
              </w:rPr>
              <w:t>Box/violin plots</w:t>
            </w:r>
            <w:r w:rsidRPr="008F586B">
              <w:rPr>
                <w:rFonts w:cstheme="minorHAnsi"/>
                <w:szCs w:val="20"/>
              </w:rPr>
              <w:t>: Spread and outliers in pay gap across business units.</w:t>
            </w:r>
          </w:p>
          <w:p w14:paraId="73E83FD2" w14:textId="77777777" w:rsidR="008F586B" w:rsidRPr="008F586B" w:rsidRDefault="008F586B" w:rsidP="00E661A9">
            <w:pPr>
              <w:numPr>
                <w:ilvl w:val="0"/>
                <w:numId w:val="269"/>
              </w:numPr>
              <w:spacing w:line="259" w:lineRule="auto"/>
              <w:jc w:val="both"/>
              <w:rPr>
                <w:rFonts w:cstheme="minorHAnsi"/>
                <w:szCs w:val="20"/>
              </w:rPr>
            </w:pPr>
            <w:r w:rsidRPr="008F586B">
              <w:rPr>
                <w:rFonts w:cstheme="minorHAnsi"/>
                <w:b/>
                <w:szCs w:val="20"/>
              </w:rPr>
              <w:t>Fan charts / confidence bands</w:t>
            </w:r>
            <w:r w:rsidRPr="008F586B">
              <w:rPr>
                <w:rFonts w:cstheme="minorHAnsi"/>
                <w:szCs w:val="20"/>
              </w:rPr>
              <w:t xml:space="preserve">: Forecast uncertainty for </w:t>
            </w:r>
            <w:proofErr w:type="spellStart"/>
            <w:r w:rsidRPr="008F586B">
              <w:rPr>
                <w:rFonts w:cstheme="minorHAnsi"/>
                <w:szCs w:val="20"/>
              </w:rPr>
              <w:t>netzero</w:t>
            </w:r>
            <w:proofErr w:type="spellEnd"/>
            <w:r w:rsidRPr="008F586B">
              <w:rPr>
                <w:rFonts w:cstheme="minorHAnsi"/>
                <w:szCs w:val="20"/>
              </w:rPr>
              <w:t xml:space="preserve"> pathways; annotate assumptions.</w:t>
            </w:r>
          </w:p>
          <w:p w14:paraId="2FE54564" w14:textId="77777777" w:rsidR="008F586B" w:rsidRPr="008F586B" w:rsidRDefault="008F586B" w:rsidP="00E661A9">
            <w:pPr>
              <w:jc w:val="both"/>
              <w:rPr>
                <w:rFonts w:cstheme="minorHAnsi"/>
                <w:b/>
                <w:szCs w:val="20"/>
              </w:rPr>
            </w:pPr>
            <w:proofErr w:type="spellStart"/>
            <w:r w:rsidRPr="008F586B">
              <w:rPr>
                <w:rFonts w:cstheme="minorHAnsi"/>
                <w:b/>
                <w:bCs/>
                <w:szCs w:val="20"/>
              </w:rPr>
              <w:t>ParttoWhole</w:t>
            </w:r>
            <w:proofErr w:type="spellEnd"/>
          </w:p>
          <w:p w14:paraId="09A3C89A" w14:textId="77777777" w:rsidR="008F586B" w:rsidRPr="008F586B" w:rsidRDefault="008F586B" w:rsidP="00E661A9">
            <w:pPr>
              <w:numPr>
                <w:ilvl w:val="0"/>
                <w:numId w:val="270"/>
              </w:numPr>
              <w:spacing w:line="259" w:lineRule="auto"/>
              <w:jc w:val="both"/>
              <w:rPr>
                <w:rFonts w:cstheme="minorHAnsi"/>
                <w:szCs w:val="20"/>
              </w:rPr>
            </w:pPr>
            <w:r w:rsidRPr="008F586B">
              <w:rPr>
                <w:rFonts w:cstheme="minorHAnsi"/>
                <w:b/>
                <w:szCs w:val="20"/>
              </w:rPr>
              <w:t>Stacked bars (preferably 100%)</w:t>
            </w:r>
            <w:r w:rsidRPr="008F586B">
              <w:rPr>
                <w:rFonts w:cstheme="minorHAnsi"/>
                <w:szCs w:val="20"/>
              </w:rPr>
              <w:t>: Composition of Scope 3 categories (Purchased Goods, Use of Sold Products, etc.). Limit segments to ≈5–6; order from biggest to smallest.</w:t>
            </w:r>
          </w:p>
          <w:p w14:paraId="6B53630E" w14:textId="77777777" w:rsidR="008F586B" w:rsidRPr="008F586B" w:rsidRDefault="008F586B" w:rsidP="00E661A9">
            <w:pPr>
              <w:numPr>
                <w:ilvl w:val="0"/>
                <w:numId w:val="270"/>
              </w:numPr>
              <w:spacing w:line="259" w:lineRule="auto"/>
              <w:jc w:val="both"/>
              <w:rPr>
                <w:rFonts w:cstheme="minorHAnsi"/>
                <w:szCs w:val="20"/>
              </w:rPr>
            </w:pPr>
            <w:proofErr w:type="spellStart"/>
            <w:r w:rsidRPr="008F586B">
              <w:rPr>
                <w:rFonts w:cstheme="minorHAnsi"/>
                <w:b/>
                <w:szCs w:val="20"/>
              </w:rPr>
              <w:t>Treemaps</w:t>
            </w:r>
            <w:proofErr w:type="spellEnd"/>
            <w:r w:rsidRPr="008F586B">
              <w:rPr>
                <w:rFonts w:cstheme="minorHAnsi"/>
                <w:szCs w:val="20"/>
              </w:rPr>
              <w:t xml:space="preserve">: When many parts exist (e.g., suppliers by share of </w:t>
            </w:r>
            <w:proofErr w:type="spellStart"/>
            <w:r w:rsidRPr="008F586B">
              <w:rPr>
                <w:rFonts w:cstheme="minorHAnsi"/>
                <w:szCs w:val="20"/>
              </w:rPr>
              <w:t>supplychain</w:t>
            </w:r>
            <w:proofErr w:type="spellEnd"/>
            <w:r w:rsidRPr="008F586B">
              <w:rPr>
                <w:rFonts w:cstheme="minorHAnsi"/>
                <w:szCs w:val="20"/>
              </w:rPr>
              <w:t xml:space="preserve"> emissions). Provide labels or tooltips to avoid guesswork.</w:t>
            </w:r>
          </w:p>
          <w:p w14:paraId="790C093E" w14:textId="77777777" w:rsidR="008F586B" w:rsidRPr="008F586B" w:rsidRDefault="008F586B" w:rsidP="00E661A9">
            <w:pPr>
              <w:numPr>
                <w:ilvl w:val="0"/>
                <w:numId w:val="270"/>
              </w:numPr>
              <w:spacing w:line="259" w:lineRule="auto"/>
              <w:jc w:val="both"/>
              <w:rPr>
                <w:rFonts w:cstheme="minorHAnsi"/>
                <w:szCs w:val="20"/>
              </w:rPr>
            </w:pPr>
            <w:r w:rsidRPr="008F586B">
              <w:rPr>
                <w:rFonts w:cstheme="minorHAnsi"/>
                <w:b/>
                <w:szCs w:val="20"/>
              </w:rPr>
              <w:t>Pies/doughnuts</w:t>
            </w:r>
            <w:r w:rsidRPr="008F586B">
              <w:rPr>
                <w:rFonts w:cstheme="minorHAnsi"/>
                <w:szCs w:val="20"/>
              </w:rPr>
              <w:t xml:space="preserve"> limit to ≤5 slices, order them, and label directly.</w:t>
            </w:r>
          </w:p>
          <w:p w14:paraId="5DCB84C9" w14:textId="77777777" w:rsidR="008F586B" w:rsidRPr="008F586B" w:rsidRDefault="008F586B" w:rsidP="00E661A9">
            <w:pPr>
              <w:jc w:val="both"/>
              <w:rPr>
                <w:rFonts w:cstheme="minorHAnsi"/>
                <w:b/>
                <w:szCs w:val="20"/>
              </w:rPr>
            </w:pPr>
            <w:r w:rsidRPr="008F586B">
              <w:rPr>
                <w:rFonts w:cstheme="minorHAnsi"/>
                <w:b/>
                <w:szCs w:val="20"/>
              </w:rPr>
              <w:t>Relationships &amp; Multivariate Views</w:t>
            </w:r>
          </w:p>
          <w:p w14:paraId="63B1F732" w14:textId="77777777" w:rsidR="008F586B" w:rsidRPr="008F586B" w:rsidRDefault="008F586B" w:rsidP="00E661A9">
            <w:pPr>
              <w:numPr>
                <w:ilvl w:val="0"/>
                <w:numId w:val="271"/>
              </w:numPr>
              <w:spacing w:line="259" w:lineRule="auto"/>
              <w:jc w:val="both"/>
              <w:rPr>
                <w:rFonts w:cstheme="minorHAnsi"/>
                <w:szCs w:val="20"/>
              </w:rPr>
            </w:pPr>
            <w:r w:rsidRPr="008F586B">
              <w:rPr>
                <w:rFonts w:cstheme="minorHAnsi"/>
                <w:b/>
                <w:szCs w:val="20"/>
              </w:rPr>
              <w:t>Scatterplots with regression</w:t>
            </w:r>
            <w:r w:rsidRPr="008F586B">
              <w:rPr>
                <w:rFonts w:cstheme="minorHAnsi"/>
                <w:szCs w:val="20"/>
              </w:rPr>
              <w:t>: Correlate emissions intensity with operating margin; encode size by revenue and colour by sector.</w:t>
            </w:r>
          </w:p>
          <w:p w14:paraId="3D6533BF" w14:textId="77777777" w:rsidR="008F586B" w:rsidRPr="008F586B" w:rsidRDefault="008F586B" w:rsidP="00E661A9">
            <w:pPr>
              <w:numPr>
                <w:ilvl w:val="0"/>
                <w:numId w:val="271"/>
              </w:numPr>
              <w:spacing w:line="259" w:lineRule="auto"/>
              <w:jc w:val="both"/>
              <w:rPr>
                <w:rFonts w:cstheme="minorHAnsi"/>
                <w:szCs w:val="20"/>
              </w:rPr>
            </w:pPr>
            <w:r w:rsidRPr="008F586B">
              <w:rPr>
                <w:rFonts w:cstheme="minorHAnsi"/>
                <w:b/>
                <w:szCs w:val="20"/>
              </w:rPr>
              <w:t>Bubble charts (use sparingly)</w:t>
            </w:r>
            <w:r w:rsidRPr="008F586B">
              <w:rPr>
                <w:rFonts w:cstheme="minorHAnsi"/>
                <w:szCs w:val="20"/>
              </w:rPr>
              <w:t>: Similar to scatter; ensure a legend for size and avoid overlapping points.</w:t>
            </w:r>
          </w:p>
          <w:p w14:paraId="6E7F0684" w14:textId="201BF433" w:rsidR="008F586B" w:rsidRPr="008F586B" w:rsidRDefault="008F586B" w:rsidP="00E661A9">
            <w:pPr>
              <w:numPr>
                <w:ilvl w:val="0"/>
                <w:numId w:val="271"/>
              </w:numPr>
              <w:spacing w:line="259" w:lineRule="auto"/>
              <w:jc w:val="both"/>
              <w:rPr>
                <w:rFonts w:cstheme="minorHAnsi"/>
                <w:szCs w:val="20"/>
              </w:rPr>
            </w:pPr>
            <w:r w:rsidRPr="008F586B">
              <w:rPr>
                <w:rFonts w:cstheme="minorHAnsi"/>
                <w:b/>
                <w:szCs w:val="20"/>
              </w:rPr>
              <w:t>Parallel coordinates</w:t>
            </w:r>
            <w:r w:rsidRPr="008F586B">
              <w:rPr>
                <w:rFonts w:cstheme="minorHAnsi"/>
                <w:szCs w:val="20"/>
              </w:rPr>
              <w:t xml:space="preserve">: Explore </w:t>
            </w:r>
            <w:r w:rsidR="00D135B0" w:rsidRPr="008F586B">
              <w:rPr>
                <w:rFonts w:cstheme="minorHAnsi"/>
                <w:szCs w:val="20"/>
              </w:rPr>
              <w:t>trade-offs</w:t>
            </w:r>
            <w:r w:rsidRPr="008F586B">
              <w:rPr>
                <w:rFonts w:cstheme="minorHAnsi"/>
                <w:szCs w:val="20"/>
              </w:rPr>
              <w:t xml:space="preserve"> across many ESG KPIs (advanced audiences only).</w:t>
            </w:r>
          </w:p>
          <w:p w14:paraId="1A29F7E2" w14:textId="77777777" w:rsidR="008F586B" w:rsidRPr="008F586B" w:rsidRDefault="008F586B" w:rsidP="00E661A9">
            <w:pPr>
              <w:jc w:val="both"/>
              <w:rPr>
                <w:rFonts w:cstheme="minorHAnsi"/>
                <w:b/>
                <w:szCs w:val="20"/>
              </w:rPr>
            </w:pPr>
            <w:r w:rsidRPr="008F586B">
              <w:rPr>
                <w:rFonts w:cstheme="minorHAnsi"/>
                <w:b/>
                <w:szCs w:val="20"/>
              </w:rPr>
              <w:t>Spatial</w:t>
            </w:r>
          </w:p>
          <w:p w14:paraId="57174B61" w14:textId="77777777" w:rsidR="008F586B" w:rsidRPr="008F586B" w:rsidRDefault="008F586B" w:rsidP="00E661A9">
            <w:pPr>
              <w:numPr>
                <w:ilvl w:val="0"/>
                <w:numId w:val="272"/>
              </w:numPr>
              <w:spacing w:line="259" w:lineRule="auto"/>
              <w:jc w:val="both"/>
              <w:rPr>
                <w:rFonts w:cstheme="minorHAnsi"/>
                <w:szCs w:val="20"/>
              </w:rPr>
            </w:pPr>
            <w:r w:rsidRPr="008F586B">
              <w:rPr>
                <w:rFonts w:cstheme="minorHAnsi"/>
                <w:b/>
                <w:szCs w:val="20"/>
              </w:rPr>
              <w:t>Choropleth maps</w:t>
            </w:r>
            <w:r w:rsidRPr="008F586B">
              <w:rPr>
                <w:rFonts w:cstheme="minorHAnsi"/>
                <w:szCs w:val="20"/>
              </w:rPr>
              <w:t>: Emissions by country normalised per capita or per GDP (never map raw counts without normalisation).</w:t>
            </w:r>
          </w:p>
          <w:p w14:paraId="33B39D82" w14:textId="6221978A" w:rsidR="008F586B" w:rsidRPr="008F586B" w:rsidRDefault="008F586B" w:rsidP="00E661A9">
            <w:pPr>
              <w:numPr>
                <w:ilvl w:val="0"/>
                <w:numId w:val="272"/>
              </w:numPr>
              <w:spacing w:line="259" w:lineRule="auto"/>
              <w:jc w:val="both"/>
              <w:rPr>
                <w:rFonts w:cstheme="minorHAnsi"/>
                <w:szCs w:val="20"/>
              </w:rPr>
            </w:pPr>
            <w:r w:rsidRPr="008F586B">
              <w:rPr>
                <w:rFonts w:cstheme="minorHAnsi"/>
                <w:b/>
                <w:szCs w:val="20"/>
              </w:rPr>
              <w:t>Proportional symbol maps</w:t>
            </w:r>
            <w:r w:rsidRPr="008F586B">
              <w:rPr>
                <w:rFonts w:cstheme="minorHAnsi"/>
                <w:szCs w:val="20"/>
              </w:rPr>
              <w:t xml:space="preserve">: </w:t>
            </w:r>
            <w:r w:rsidR="00D135B0" w:rsidRPr="008F586B">
              <w:rPr>
                <w:rFonts w:cstheme="minorHAnsi"/>
                <w:szCs w:val="20"/>
              </w:rPr>
              <w:t>Facility level</w:t>
            </w:r>
            <w:r w:rsidRPr="008F586B">
              <w:rPr>
                <w:rFonts w:cstheme="minorHAnsi"/>
                <w:szCs w:val="20"/>
              </w:rPr>
              <w:t xml:space="preserve"> emissions; size encodes magnitude.</w:t>
            </w:r>
          </w:p>
          <w:p w14:paraId="0CAE52D4" w14:textId="77777777" w:rsidR="008F586B" w:rsidRPr="008F586B" w:rsidRDefault="008F586B" w:rsidP="00E661A9">
            <w:pPr>
              <w:numPr>
                <w:ilvl w:val="0"/>
                <w:numId w:val="272"/>
              </w:numPr>
              <w:spacing w:line="259" w:lineRule="auto"/>
              <w:jc w:val="both"/>
              <w:rPr>
                <w:rFonts w:cstheme="minorHAnsi"/>
                <w:szCs w:val="20"/>
              </w:rPr>
            </w:pPr>
            <w:r w:rsidRPr="008F586B">
              <w:rPr>
                <w:rFonts w:cstheme="minorHAnsi"/>
                <w:b/>
                <w:szCs w:val="20"/>
              </w:rPr>
              <w:t>Cartograms/dot density</w:t>
            </w:r>
            <w:r w:rsidRPr="008F586B">
              <w:rPr>
                <w:rFonts w:cstheme="minorHAnsi"/>
                <w:szCs w:val="20"/>
              </w:rPr>
              <w:t>: Communicate concentration (e.g., supplier locations); add basemap context.</w:t>
            </w:r>
          </w:p>
          <w:p w14:paraId="16AC5740" w14:textId="77777777" w:rsidR="008F586B" w:rsidRPr="008F586B" w:rsidRDefault="008F586B" w:rsidP="00E661A9">
            <w:pPr>
              <w:jc w:val="both"/>
              <w:rPr>
                <w:rFonts w:cstheme="minorHAnsi"/>
                <w:b/>
                <w:szCs w:val="20"/>
              </w:rPr>
            </w:pPr>
            <w:r w:rsidRPr="008F586B">
              <w:rPr>
                <w:rFonts w:cstheme="minorHAnsi"/>
                <w:b/>
                <w:szCs w:val="20"/>
              </w:rPr>
              <w:t>Decision Table (Quick Guide)</w:t>
            </w:r>
          </w:p>
          <w:p w14:paraId="6C9BE99F" w14:textId="4A52A41C" w:rsidR="008F586B" w:rsidRPr="008F586B" w:rsidRDefault="008F586B" w:rsidP="00E661A9">
            <w:pPr>
              <w:jc w:val="both"/>
              <w:rPr>
                <w:rFonts w:cstheme="minorHAnsi"/>
                <w:szCs w:val="20"/>
              </w:rPr>
            </w:pPr>
            <w:r w:rsidRPr="008F586B">
              <w:rPr>
                <w:rFonts w:cstheme="minorHAnsi"/>
                <w:szCs w:val="20"/>
              </w:rPr>
              <w:t xml:space="preserve">Check the table </w:t>
            </w:r>
            <w:r w:rsidR="00D135B0">
              <w:rPr>
                <w:rFonts w:cstheme="minorHAnsi"/>
                <w:szCs w:val="20"/>
              </w:rPr>
              <w:t xml:space="preserve">9 </w:t>
            </w:r>
            <w:r w:rsidRPr="008F586B">
              <w:rPr>
                <w:rFonts w:cstheme="minorHAnsi"/>
                <w:szCs w:val="20"/>
              </w:rPr>
              <w:t>for examples on sustainability reporting and recommended charts.</w:t>
            </w:r>
          </w:p>
          <w:p w14:paraId="345E5B85" w14:textId="77777777" w:rsidR="008F586B" w:rsidRPr="008F586B" w:rsidRDefault="008F586B" w:rsidP="00CD130A">
            <w:pPr>
              <w:rPr>
                <w:rFonts w:cstheme="minorHAnsi"/>
                <w:b/>
                <w:szCs w:val="20"/>
              </w:rPr>
            </w:pPr>
          </w:p>
          <w:p w14:paraId="22E9C061" w14:textId="1C462E31" w:rsidR="008F586B" w:rsidRPr="008F586B" w:rsidRDefault="005755BD" w:rsidP="008F586B">
            <w:pPr>
              <w:rPr>
                <w:rFonts w:cstheme="minorHAnsi"/>
                <w:color w:val="009889" w:themeColor="accent2"/>
                <w:sz w:val="18"/>
                <w:szCs w:val="18"/>
              </w:rPr>
            </w:pPr>
            <w:r>
              <w:rPr>
                <w:rFonts w:cstheme="minorHAnsi"/>
                <w:color w:val="009889" w:themeColor="accent2"/>
                <w:sz w:val="18"/>
                <w:szCs w:val="18"/>
              </w:rPr>
              <w:t xml:space="preserve"> </w:t>
            </w:r>
          </w:p>
          <w:p w14:paraId="3E4F7AF9" w14:textId="34A8EEB3" w:rsidR="005755BD" w:rsidRDefault="00957ED1" w:rsidP="005755BD">
            <w:pPr>
              <w:pStyle w:val="Caption"/>
              <w:keepNext/>
            </w:pPr>
            <w:r>
              <w:t xml:space="preserve"> </w:t>
            </w:r>
          </w:p>
          <w:p w14:paraId="6BC20320" w14:textId="4A092628" w:rsidR="00957ED1" w:rsidRPr="00957ED1" w:rsidRDefault="00957ED1" w:rsidP="00957ED1">
            <w:pPr>
              <w:pStyle w:val="Caption"/>
              <w:keepNext/>
              <w:rPr>
                <w:b w:val="0"/>
                <w:bCs w:val="0"/>
              </w:rPr>
            </w:pPr>
            <w:bookmarkStart w:id="51" w:name="_Toc227739603"/>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9</w:t>
            </w:r>
            <w:r w:rsidRPr="00957ED1">
              <w:rPr>
                <w:b w:val="0"/>
                <w:bCs w:val="0"/>
              </w:rPr>
              <w:fldChar w:fldCharType="end"/>
            </w:r>
            <w:r w:rsidRPr="00957ED1">
              <w:rPr>
                <w:b w:val="0"/>
                <w:bCs w:val="0"/>
              </w:rPr>
              <w:t>. Examples of sustainability reporting and recommended charts (source: Author)</w:t>
            </w:r>
            <w:bookmarkEnd w:id="51"/>
          </w:p>
          <w:tbl>
            <w:tblPr>
              <w:tblStyle w:val="Bordered"/>
              <w:tblW w:w="0" w:type="auto"/>
              <w:tblLook w:val="04A0" w:firstRow="1" w:lastRow="0" w:firstColumn="1" w:lastColumn="0" w:noHBand="0" w:noVBand="1"/>
            </w:tblPr>
            <w:tblGrid>
              <w:gridCol w:w="2650"/>
              <w:gridCol w:w="2586"/>
              <w:gridCol w:w="4076"/>
            </w:tblGrid>
            <w:tr w:rsidR="008F586B" w:rsidRPr="008F586B" w14:paraId="10D12E0E" w14:textId="77777777" w:rsidTr="008F5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61284" w14:textId="77777777" w:rsidR="008F586B" w:rsidRPr="008F586B" w:rsidRDefault="008F586B" w:rsidP="00CD130A">
                  <w:pPr>
                    <w:rPr>
                      <w:rFonts w:asciiTheme="minorHAnsi" w:hAnsiTheme="minorHAnsi" w:cstheme="minorHAnsi"/>
                      <w:b/>
                      <w:szCs w:val="20"/>
                    </w:rPr>
                  </w:pPr>
                  <w:r w:rsidRPr="008F586B">
                    <w:rPr>
                      <w:rFonts w:asciiTheme="minorHAnsi" w:hAnsiTheme="minorHAnsi" w:cstheme="minorHAnsi"/>
                      <w:b/>
                      <w:szCs w:val="20"/>
                    </w:rPr>
                    <w:t>Task</w:t>
                  </w:r>
                </w:p>
              </w:tc>
              <w:tc>
                <w:tcPr>
                  <w:tcW w:w="0" w:type="auto"/>
                </w:tcPr>
                <w:p w14:paraId="3E814485" w14:textId="77777777" w:rsidR="008F586B" w:rsidRPr="008F586B" w:rsidRDefault="008F586B" w:rsidP="00CD130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8F586B">
                    <w:rPr>
                      <w:rFonts w:asciiTheme="minorHAnsi" w:hAnsiTheme="minorHAnsi" w:cstheme="minorHAnsi"/>
                      <w:b/>
                      <w:szCs w:val="20"/>
                    </w:rPr>
                    <w:t>Recommended Chart</w:t>
                  </w:r>
                </w:p>
              </w:tc>
              <w:tc>
                <w:tcPr>
                  <w:tcW w:w="0" w:type="auto"/>
                </w:tcPr>
                <w:p w14:paraId="002E71D2" w14:textId="77777777" w:rsidR="008F586B" w:rsidRPr="008F586B" w:rsidRDefault="008F586B" w:rsidP="00CD130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8F586B">
                    <w:rPr>
                      <w:rFonts w:asciiTheme="minorHAnsi" w:hAnsiTheme="minorHAnsi" w:cstheme="minorHAnsi"/>
                      <w:b/>
                      <w:szCs w:val="20"/>
                    </w:rPr>
                    <w:t>Notes</w:t>
                  </w:r>
                </w:p>
              </w:tc>
            </w:tr>
            <w:tr w:rsidR="008F586B" w:rsidRPr="008F586B" w14:paraId="48E0BD73" w14:textId="77777777" w:rsidTr="008F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07B5F"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Rank emissions intensity</w:t>
                  </w:r>
                </w:p>
              </w:tc>
              <w:tc>
                <w:tcPr>
                  <w:tcW w:w="0" w:type="auto"/>
                </w:tcPr>
                <w:p w14:paraId="15E9BAC5"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Horizontal bar / dot plot</w:t>
                  </w:r>
                </w:p>
              </w:tc>
              <w:tc>
                <w:tcPr>
                  <w:tcW w:w="0" w:type="auto"/>
                </w:tcPr>
                <w:p w14:paraId="42AED9A7"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Order descending; show units</w:t>
                  </w:r>
                </w:p>
              </w:tc>
            </w:tr>
            <w:tr w:rsidR="008F586B" w:rsidRPr="008F586B" w14:paraId="68ABD8D0" w14:textId="77777777" w:rsidTr="008F586B">
              <w:tc>
                <w:tcPr>
                  <w:cnfStyle w:val="001000000000" w:firstRow="0" w:lastRow="0" w:firstColumn="1" w:lastColumn="0" w:oddVBand="0" w:evenVBand="0" w:oddHBand="0" w:evenHBand="0" w:firstRowFirstColumn="0" w:firstRowLastColumn="0" w:lastRowFirstColumn="0" w:lastRowLastColumn="0"/>
                  <w:tcW w:w="0" w:type="auto"/>
                </w:tcPr>
                <w:p w14:paraId="70D0C030"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Trend to targets</w:t>
                  </w:r>
                </w:p>
              </w:tc>
              <w:tc>
                <w:tcPr>
                  <w:tcW w:w="0" w:type="auto"/>
                </w:tcPr>
                <w:p w14:paraId="1369E25C"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Line + target band</w:t>
                  </w:r>
                </w:p>
              </w:tc>
              <w:tc>
                <w:tcPr>
                  <w:tcW w:w="0" w:type="auto"/>
                </w:tcPr>
                <w:p w14:paraId="601D8CB5"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Highlight current year; annotate target</w:t>
                  </w:r>
                </w:p>
              </w:tc>
            </w:tr>
            <w:tr w:rsidR="008F586B" w:rsidRPr="008F586B" w14:paraId="139204A9" w14:textId="77777777" w:rsidTr="008F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99455"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Scope 3 composition</w:t>
                  </w:r>
                </w:p>
              </w:tc>
              <w:tc>
                <w:tcPr>
                  <w:tcW w:w="0" w:type="auto"/>
                </w:tcPr>
                <w:p w14:paraId="3BAC4284"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100% stacked bars</w:t>
                  </w:r>
                </w:p>
              </w:tc>
              <w:tc>
                <w:tcPr>
                  <w:tcW w:w="0" w:type="auto"/>
                </w:tcPr>
                <w:p w14:paraId="5A80A049"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Limit segments; sort by size</w:t>
                  </w:r>
                </w:p>
              </w:tc>
            </w:tr>
            <w:tr w:rsidR="008F586B" w:rsidRPr="008F586B" w14:paraId="7FC6F252" w14:textId="77777777" w:rsidTr="008F586B">
              <w:tc>
                <w:tcPr>
                  <w:cnfStyle w:val="001000000000" w:firstRow="0" w:lastRow="0" w:firstColumn="1" w:lastColumn="0" w:oddVBand="0" w:evenVBand="0" w:oddHBand="0" w:evenHBand="0" w:firstRowFirstColumn="0" w:firstRowLastColumn="0" w:lastRowFirstColumn="0" w:lastRowLastColumn="0"/>
                  <w:tcW w:w="0" w:type="auto"/>
                </w:tcPr>
                <w:p w14:paraId="63C98FB3"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Pay gap distribution</w:t>
                  </w:r>
                </w:p>
              </w:tc>
              <w:tc>
                <w:tcPr>
                  <w:tcW w:w="0" w:type="auto"/>
                </w:tcPr>
                <w:p w14:paraId="469AAABB"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Box/violin</w:t>
                  </w:r>
                </w:p>
              </w:tc>
              <w:tc>
                <w:tcPr>
                  <w:tcW w:w="0" w:type="auto"/>
                </w:tcPr>
                <w:p w14:paraId="3694A692"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Show sample size, median, IQR</w:t>
                  </w:r>
                </w:p>
              </w:tc>
            </w:tr>
            <w:tr w:rsidR="008F586B" w:rsidRPr="008F586B" w14:paraId="4E2E4536" w14:textId="77777777" w:rsidTr="008F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B3857"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Risk vs return</w:t>
                  </w:r>
                </w:p>
              </w:tc>
              <w:tc>
                <w:tcPr>
                  <w:tcW w:w="0" w:type="auto"/>
                </w:tcPr>
                <w:p w14:paraId="76BD2184"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Scatter with fit</w:t>
                  </w:r>
                </w:p>
              </w:tc>
              <w:tc>
                <w:tcPr>
                  <w:tcW w:w="0" w:type="auto"/>
                </w:tcPr>
                <w:p w14:paraId="50BBC2D5" w14:textId="77777777" w:rsidR="008F586B" w:rsidRPr="008F586B" w:rsidRDefault="008F586B" w:rsidP="00CD13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Consider log scales if skewed</w:t>
                  </w:r>
                </w:p>
              </w:tc>
            </w:tr>
            <w:tr w:rsidR="008F586B" w:rsidRPr="008F586B" w14:paraId="64C8C0EF" w14:textId="77777777" w:rsidTr="008F586B">
              <w:tc>
                <w:tcPr>
                  <w:cnfStyle w:val="001000000000" w:firstRow="0" w:lastRow="0" w:firstColumn="1" w:lastColumn="0" w:oddVBand="0" w:evenVBand="0" w:oddHBand="0" w:evenHBand="0" w:firstRowFirstColumn="0" w:firstRowLastColumn="0" w:lastRowFirstColumn="0" w:lastRowLastColumn="0"/>
                  <w:tcW w:w="0" w:type="auto"/>
                </w:tcPr>
                <w:p w14:paraId="60220EAB" w14:textId="77777777" w:rsidR="008F586B" w:rsidRPr="008F586B" w:rsidRDefault="008F586B" w:rsidP="00CD130A">
                  <w:pPr>
                    <w:rPr>
                      <w:rFonts w:asciiTheme="minorHAnsi" w:hAnsiTheme="minorHAnsi" w:cstheme="minorHAnsi"/>
                      <w:szCs w:val="20"/>
                    </w:rPr>
                  </w:pPr>
                  <w:r w:rsidRPr="008F586B">
                    <w:rPr>
                      <w:rFonts w:asciiTheme="minorHAnsi" w:hAnsiTheme="minorHAnsi" w:cstheme="minorHAnsi"/>
                      <w:szCs w:val="20"/>
                    </w:rPr>
                    <w:t>Facility map</w:t>
                  </w:r>
                </w:p>
              </w:tc>
              <w:tc>
                <w:tcPr>
                  <w:tcW w:w="0" w:type="auto"/>
                </w:tcPr>
                <w:p w14:paraId="15999F19"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Proportional symbols</w:t>
                  </w:r>
                </w:p>
              </w:tc>
              <w:tc>
                <w:tcPr>
                  <w:tcW w:w="0" w:type="auto"/>
                </w:tcPr>
                <w:p w14:paraId="417947EA" w14:textId="77777777" w:rsidR="008F586B" w:rsidRPr="008F586B" w:rsidRDefault="008F586B" w:rsidP="00CD130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Include legend, zoom, and clustering</w:t>
                  </w:r>
                </w:p>
              </w:tc>
            </w:tr>
          </w:tbl>
          <w:p w14:paraId="049E845E" w14:textId="77777777" w:rsidR="008F586B" w:rsidRPr="008F586B" w:rsidRDefault="008F586B" w:rsidP="00CD130A">
            <w:pPr>
              <w:rPr>
                <w:rFonts w:cstheme="minorHAnsi"/>
                <w:szCs w:val="20"/>
              </w:rPr>
            </w:pPr>
            <w:r w:rsidRPr="008F586B">
              <w:rPr>
                <w:rFonts w:cstheme="minorHAnsi"/>
                <w:noProof/>
                <w:szCs w:val="20"/>
              </w:rPr>
              <mc:AlternateContent>
                <mc:Choice Requires="wps">
                  <w:drawing>
                    <wp:inline distT="0" distB="0" distL="0" distR="0" wp14:anchorId="61133813" wp14:editId="395B2B7C">
                      <wp:extent cx="0" cy="19050"/>
                      <wp:effectExtent l="0" t="0" r="0" b="0"/>
                      <wp:docPr id="56" name="_x0000_i103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3B1A59E3" id="_x0000_i10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169059A4" w14:textId="0A5F4E52" w:rsidR="008F586B" w:rsidRPr="008F586B" w:rsidRDefault="008F586B" w:rsidP="00CD130A">
            <w:pPr>
              <w:rPr>
                <w:rFonts w:cstheme="minorHAnsi"/>
                <w:b/>
                <w:color w:val="009889" w:themeColor="accent2"/>
                <w:szCs w:val="20"/>
              </w:rPr>
            </w:pPr>
            <w:r w:rsidRPr="008F586B">
              <w:rPr>
                <w:rFonts w:cstheme="minorHAnsi"/>
                <w:b/>
                <w:color w:val="009889" w:themeColor="accent2"/>
                <w:szCs w:val="20"/>
              </w:rPr>
              <w:t>Avoiding Misleading or Biased Visualisations</w:t>
            </w:r>
          </w:p>
          <w:p w14:paraId="1223AEDA" w14:textId="77777777" w:rsidR="008F586B" w:rsidRPr="008F586B" w:rsidRDefault="008F586B" w:rsidP="00CD130A">
            <w:pPr>
              <w:rPr>
                <w:rFonts w:cstheme="minorHAnsi"/>
                <w:b/>
                <w:szCs w:val="20"/>
              </w:rPr>
            </w:pPr>
            <w:r w:rsidRPr="008F586B">
              <w:rPr>
                <w:rFonts w:cstheme="minorHAnsi"/>
                <w:b/>
                <w:szCs w:val="20"/>
              </w:rPr>
              <w:t>Common Pitfalls</w:t>
            </w:r>
          </w:p>
          <w:p w14:paraId="7DF79677" w14:textId="77777777" w:rsidR="008F586B" w:rsidRPr="008F586B" w:rsidRDefault="008F586B" w:rsidP="008F586B">
            <w:pPr>
              <w:numPr>
                <w:ilvl w:val="0"/>
                <w:numId w:val="273"/>
              </w:numPr>
              <w:spacing w:line="259" w:lineRule="auto"/>
              <w:jc w:val="both"/>
              <w:rPr>
                <w:rFonts w:cstheme="minorHAnsi"/>
                <w:szCs w:val="20"/>
              </w:rPr>
            </w:pPr>
            <w:r w:rsidRPr="008F586B">
              <w:rPr>
                <w:rFonts w:cstheme="minorHAnsi"/>
                <w:b/>
                <w:szCs w:val="20"/>
              </w:rPr>
              <w:t>Truncated axes (</w:t>
            </w:r>
            <w:r w:rsidRPr="008F586B">
              <w:rPr>
                <w:rFonts w:cstheme="minorHAnsi"/>
                <w:b/>
                <w:bCs/>
                <w:szCs w:val="20"/>
              </w:rPr>
              <w:t>nonzero</w:t>
            </w:r>
            <w:r w:rsidRPr="008F586B">
              <w:rPr>
                <w:rFonts w:cstheme="minorHAnsi"/>
                <w:b/>
                <w:szCs w:val="20"/>
              </w:rPr>
              <w:t xml:space="preserve"> baseline) for bars</w:t>
            </w:r>
            <w:r w:rsidRPr="008F586B">
              <w:rPr>
                <w:rFonts w:cstheme="minorHAnsi"/>
                <w:szCs w:val="20"/>
              </w:rPr>
              <w:t xml:space="preserve"> exaggerate differences. Bars encode magnitude by </w:t>
            </w:r>
            <w:r w:rsidRPr="008F586B">
              <w:rPr>
                <w:rFonts w:cstheme="minorHAnsi"/>
                <w:i/>
                <w:szCs w:val="20"/>
              </w:rPr>
              <w:t>length</w:t>
            </w:r>
            <w:r w:rsidRPr="008F586B">
              <w:rPr>
                <w:rFonts w:cstheme="minorHAnsi"/>
                <w:szCs w:val="20"/>
              </w:rPr>
              <w:t xml:space="preserve">; keep baseline at zero. For lines, nonzero baselines may be acceptable </w:t>
            </w:r>
            <w:r w:rsidRPr="008F586B">
              <w:rPr>
                <w:rFonts w:cstheme="minorHAnsi"/>
                <w:i/>
                <w:szCs w:val="20"/>
              </w:rPr>
              <w:t>with explicit rationale and annotation</w:t>
            </w:r>
            <w:r w:rsidRPr="008F586B">
              <w:rPr>
                <w:rFonts w:cstheme="minorHAnsi"/>
                <w:szCs w:val="20"/>
              </w:rPr>
              <w:t>.</w:t>
            </w:r>
          </w:p>
          <w:p w14:paraId="1E54590E" w14:textId="77777777" w:rsidR="008F586B" w:rsidRPr="008F586B" w:rsidRDefault="008F586B" w:rsidP="008F586B">
            <w:pPr>
              <w:numPr>
                <w:ilvl w:val="0"/>
                <w:numId w:val="273"/>
              </w:numPr>
              <w:spacing w:line="259" w:lineRule="auto"/>
              <w:jc w:val="both"/>
              <w:rPr>
                <w:rFonts w:cstheme="minorHAnsi"/>
                <w:szCs w:val="20"/>
              </w:rPr>
            </w:pPr>
            <w:r w:rsidRPr="008F586B">
              <w:rPr>
                <w:rFonts w:cstheme="minorHAnsi"/>
                <w:b/>
                <w:szCs w:val="20"/>
              </w:rPr>
              <w:lastRenderedPageBreak/>
              <w:t>Dual axes</w:t>
            </w:r>
            <w:r w:rsidRPr="008F586B">
              <w:rPr>
                <w:rFonts w:cstheme="minorHAnsi"/>
                <w:szCs w:val="20"/>
              </w:rPr>
              <w:t xml:space="preserve"> can create spurious correlations. If necessary, normalise both series to an index (e.g., 100=2018) and label clearly.</w:t>
            </w:r>
          </w:p>
          <w:p w14:paraId="24E93173" w14:textId="77777777" w:rsidR="008F586B" w:rsidRPr="008F586B" w:rsidRDefault="008F586B" w:rsidP="008F586B">
            <w:pPr>
              <w:numPr>
                <w:ilvl w:val="0"/>
                <w:numId w:val="273"/>
              </w:numPr>
              <w:spacing w:line="259" w:lineRule="auto"/>
              <w:jc w:val="both"/>
              <w:rPr>
                <w:rFonts w:cstheme="minorHAnsi"/>
                <w:szCs w:val="20"/>
              </w:rPr>
            </w:pPr>
            <w:r w:rsidRPr="008F586B">
              <w:rPr>
                <w:rFonts w:cstheme="minorHAnsi"/>
                <w:b/>
                <w:szCs w:val="20"/>
              </w:rPr>
              <w:t>Inconsistent scales</w:t>
            </w:r>
            <w:r w:rsidRPr="008F586B">
              <w:rPr>
                <w:rFonts w:cstheme="minorHAnsi"/>
                <w:szCs w:val="20"/>
              </w:rPr>
              <w:t xml:space="preserve"> across small multiples mislead. Keep identical ranges unless you state differences visibly.</w:t>
            </w:r>
          </w:p>
          <w:p w14:paraId="211AC792" w14:textId="1A77E337" w:rsidR="008F586B" w:rsidRPr="008F586B" w:rsidRDefault="00D135B0" w:rsidP="008F586B">
            <w:pPr>
              <w:numPr>
                <w:ilvl w:val="0"/>
                <w:numId w:val="273"/>
              </w:numPr>
              <w:spacing w:line="259" w:lineRule="auto"/>
              <w:jc w:val="both"/>
              <w:rPr>
                <w:rFonts w:cstheme="minorHAnsi"/>
                <w:szCs w:val="20"/>
              </w:rPr>
            </w:pPr>
            <w:r w:rsidRPr="008F586B">
              <w:rPr>
                <w:rFonts w:cstheme="minorHAnsi"/>
                <w:b/>
                <w:bCs/>
                <w:szCs w:val="20"/>
              </w:rPr>
              <w:t>Cherry-picking</w:t>
            </w:r>
            <w:r w:rsidR="008F586B" w:rsidRPr="008F586B">
              <w:rPr>
                <w:rFonts w:cstheme="minorHAnsi"/>
                <w:b/>
                <w:szCs w:val="20"/>
              </w:rPr>
              <w:t xml:space="preserve"> time windows</w:t>
            </w:r>
            <w:r w:rsidR="008F586B" w:rsidRPr="008F586B">
              <w:rPr>
                <w:rFonts w:cstheme="minorHAnsi"/>
                <w:szCs w:val="20"/>
              </w:rPr>
              <w:t xml:space="preserve"> can show desired narratives. Provide context (pre and </w:t>
            </w:r>
            <w:r w:rsidRPr="008F586B">
              <w:rPr>
                <w:rFonts w:cstheme="minorHAnsi"/>
                <w:szCs w:val="20"/>
              </w:rPr>
              <w:t>post periods</w:t>
            </w:r>
            <w:r w:rsidR="008F586B" w:rsidRPr="008F586B">
              <w:rPr>
                <w:rFonts w:cstheme="minorHAnsi"/>
                <w:szCs w:val="20"/>
              </w:rPr>
              <w:t>) or explain selection criteria.</w:t>
            </w:r>
          </w:p>
          <w:p w14:paraId="1B66E7C2" w14:textId="77777777" w:rsidR="008F586B" w:rsidRPr="008F586B" w:rsidRDefault="008F586B" w:rsidP="008F586B">
            <w:pPr>
              <w:numPr>
                <w:ilvl w:val="0"/>
                <w:numId w:val="273"/>
              </w:numPr>
              <w:spacing w:line="259" w:lineRule="auto"/>
              <w:jc w:val="both"/>
              <w:rPr>
                <w:rFonts w:cstheme="minorHAnsi"/>
                <w:szCs w:val="20"/>
              </w:rPr>
            </w:pPr>
            <w:r w:rsidRPr="008F586B">
              <w:rPr>
                <w:rFonts w:cstheme="minorHAnsi"/>
                <w:b/>
                <w:szCs w:val="20"/>
              </w:rPr>
              <w:t>Improper aggregation</w:t>
            </w:r>
            <w:r w:rsidRPr="008F586B">
              <w:rPr>
                <w:rFonts w:cstheme="minorHAnsi"/>
                <w:szCs w:val="20"/>
              </w:rPr>
              <w:t xml:space="preserve"> (e.g., Simpson’s paradox) can hide disparities—show subgroup views when relevant (e.g., pay gap by job family).</w:t>
            </w:r>
          </w:p>
          <w:p w14:paraId="55D5CE66" w14:textId="77777777" w:rsidR="008F586B" w:rsidRPr="008F586B" w:rsidRDefault="008F586B" w:rsidP="008F586B">
            <w:pPr>
              <w:numPr>
                <w:ilvl w:val="0"/>
                <w:numId w:val="273"/>
              </w:numPr>
              <w:spacing w:line="259" w:lineRule="auto"/>
              <w:jc w:val="both"/>
              <w:rPr>
                <w:rFonts w:cstheme="minorHAnsi"/>
                <w:szCs w:val="20"/>
              </w:rPr>
            </w:pPr>
            <w:r w:rsidRPr="008F586B">
              <w:rPr>
                <w:rFonts w:cstheme="minorHAnsi"/>
                <w:b/>
                <w:szCs w:val="20"/>
              </w:rPr>
              <w:t>Area encodings for precise comparison</w:t>
            </w:r>
            <w:r w:rsidRPr="008F586B">
              <w:rPr>
                <w:rFonts w:cstheme="minorHAnsi"/>
                <w:szCs w:val="20"/>
              </w:rPr>
              <w:t xml:space="preserve"> (bubble sizes) are hard to judge accurately—prefer length or aligned position where precision matters.</w:t>
            </w:r>
          </w:p>
          <w:p w14:paraId="065BFF7E" w14:textId="77777777" w:rsidR="008F586B" w:rsidRPr="008F586B" w:rsidRDefault="008F586B" w:rsidP="008F586B">
            <w:pPr>
              <w:jc w:val="both"/>
              <w:rPr>
                <w:rFonts w:cstheme="minorHAnsi"/>
                <w:b/>
                <w:szCs w:val="20"/>
              </w:rPr>
            </w:pPr>
            <w:r w:rsidRPr="008F586B">
              <w:rPr>
                <w:rFonts w:cstheme="minorHAnsi"/>
                <w:b/>
                <w:szCs w:val="20"/>
              </w:rPr>
              <w:t>Bias &amp; Equity Considerations</w:t>
            </w:r>
          </w:p>
          <w:p w14:paraId="12652F7C" w14:textId="77777777" w:rsidR="008F586B" w:rsidRPr="008F586B" w:rsidRDefault="008F586B" w:rsidP="008F586B">
            <w:pPr>
              <w:numPr>
                <w:ilvl w:val="0"/>
                <w:numId w:val="274"/>
              </w:numPr>
              <w:spacing w:line="259" w:lineRule="auto"/>
              <w:jc w:val="both"/>
              <w:rPr>
                <w:rFonts w:cstheme="minorHAnsi"/>
                <w:szCs w:val="20"/>
              </w:rPr>
            </w:pPr>
            <w:r w:rsidRPr="008F586B">
              <w:rPr>
                <w:rFonts w:cstheme="minorHAnsi"/>
                <w:b/>
                <w:szCs w:val="20"/>
              </w:rPr>
              <w:t>Representation bias:</w:t>
            </w:r>
            <w:r w:rsidRPr="008F586B">
              <w:rPr>
                <w:rFonts w:cstheme="minorHAnsi"/>
                <w:szCs w:val="20"/>
              </w:rPr>
              <w:t xml:space="preserve"> Ensure categories and regions are fairly represented; avoid suppressing minority groups via aggregation.</w:t>
            </w:r>
          </w:p>
          <w:p w14:paraId="4EDB700D" w14:textId="77777777" w:rsidR="008F586B" w:rsidRPr="008F586B" w:rsidRDefault="008F586B" w:rsidP="008F586B">
            <w:pPr>
              <w:numPr>
                <w:ilvl w:val="0"/>
                <w:numId w:val="274"/>
              </w:numPr>
              <w:spacing w:line="259" w:lineRule="auto"/>
              <w:jc w:val="both"/>
              <w:rPr>
                <w:rFonts w:cstheme="minorHAnsi"/>
                <w:szCs w:val="20"/>
              </w:rPr>
            </w:pPr>
            <w:r w:rsidRPr="008F586B">
              <w:rPr>
                <w:rFonts w:cstheme="minorHAnsi"/>
                <w:b/>
                <w:szCs w:val="20"/>
              </w:rPr>
              <w:t>Scale bias:</w:t>
            </w:r>
            <w:r w:rsidRPr="008F586B">
              <w:rPr>
                <w:rFonts w:cstheme="minorHAnsi"/>
                <w:szCs w:val="20"/>
              </w:rPr>
              <w:t xml:space="preserve"> Normalise appropriately (per FTE, per revenue, per output) to avoid favouring large entities.</w:t>
            </w:r>
          </w:p>
          <w:p w14:paraId="536691EA" w14:textId="39B5EE72" w:rsidR="008F586B" w:rsidRPr="008F586B" w:rsidRDefault="008F586B" w:rsidP="008F586B">
            <w:pPr>
              <w:numPr>
                <w:ilvl w:val="0"/>
                <w:numId w:val="274"/>
              </w:numPr>
              <w:spacing w:line="259" w:lineRule="auto"/>
              <w:jc w:val="both"/>
              <w:rPr>
                <w:rFonts w:cstheme="minorHAnsi"/>
                <w:szCs w:val="20"/>
              </w:rPr>
            </w:pPr>
            <w:r w:rsidRPr="008F586B">
              <w:rPr>
                <w:rFonts w:cstheme="minorHAnsi"/>
                <w:b/>
                <w:szCs w:val="20"/>
              </w:rPr>
              <w:t>Colour bias:</w:t>
            </w:r>
            <w:r w:rsidRPr="008F586B">
              <w:rPr>
                <w:rFonts w:cstheme="minorHAnsi"/>
                <w:szCs w:val="20"/>
              </w:rPr>
              <w:t xml:space="preserve"> Avoid cultural missteps (e.g., red/green for audiences with COLOUR-BLIND </w:t>
            </w:r>
            <w:r w:rsidR="00D135B0" w:rsidRPr="008F586B">
              <w:rPr>
                <w:rFonts w:cstheme="minorHAnsi"/>
                <w:szCs w:val="20"/>
              </w:rPr>
              <w:t>FRIENDLY or</w:t>
            </w:r>
            <w:r w:rsidRPr="008F586B">
              <w:rPr>
                <w:rFonts w:cstheme="minorHAnsi"/>
                <w:szCs w:val="20"/>
              </w:rPr>
              <w:t xml:space="preserve"> cultures where colours carry unintended connotations). Provide alternatives and legends.</w:t>
            </w:r>
          </w:p>
          <w:p w14:paraId="20F8AD21" w14:textId="77777777" w:rsidR="008F586B" w:rsidRPr="008F586B" w:rsidRDefault="008F586B" w:rsidP="008F586B">
            <w:pPr>
              <w:numPr>
                <w:ilvl w:val="0"/>
                <w:numId w:val="274"/>
              </w:numPr>
              <w:spacing w:line="259" w:lineRule="auto"/>
              <w:jc w:val="both"/>
              <w:rPr>
                <w:rFonts w:cstheme="minorHAnsi"/>
                <w:szCs w:val="20"/>
              </w:rPr>
            </w:pPr>
            <w:r w:rsidRPr="008F586B">
              <w:rPr>
                <w:rFonts w:cstheme="minorHAnsi"/>
                <w:b/>
                <w:szCs w:val="20"/>
              </w:rPr>
              <w:t>Algorithmic opacity:</w:t>
            </w:r>
            <w:r w:rsidRPr="008F586B">
              <w:rPr>
                <w:rFonts w:cstheme="minorHAnsi"/>
                <w:szCs w:val="20"/>
              </w:rPr>
              <w:t xml:space="preserve"> When visualising model outputs (e.g., supplier risk scores), disclose features, limitations, and confidence.</w:t>
            </w:r>
          </w:p>
          <w:p w14:paraId="7F168CC6" w14:textId="77777777" w:rsidR="008F586B" w:rsidRPr="008F586B" w:rsidRDefault="008F586B" w:rsidP="008F586B">
            <w:pPr>
              <w:jc w:val="both"/>
              <w:rPr>
                <w:rFonts w:cstheme="minorHAnsi"/>
                <w:b/>
                <w:szCs w:val="20"/>
              </w:rPr>
            </w:pPr>
            <w:r w:rsidRPr="008F586B">
              <w:rPr>
                <w:rFonts w:cstheme="minorHAnsi"/>
                <w:b/>
                <w:szCs w:val="20"/>
              </w:rPr>
              <w:t>Transparency &amp; Traceability</w:t>
            </w:r>
          </w:p>
          <w:p w14:paraId="1F237434" w14:textId="77777777" w:rsidR="008F586B" w:rsidRPr="008F586B" w:rsidRDefault="008F586B" w:rsidP="008F586B">
            <w:pPr>
              <w:numPr>
                <w:ilvl w:val="0"/>
                <w:numId w:val="275"/>
              </w:numPr>
              <w:spacing w:line="259" w:lineRule="auto"/>
              <w:jc w:val="both"/>
              <w:rPr>
                <w:rFonts w:cstheme="minorHAnsi"/>
                <w:szCs w:val="20"/>
              </w:rPr>
            </w:pPr>
            <w:r w:rsidRPr="008F586B">
              <w:rPr>
                <w:rFonts w:cstheme="minorHAnsi"/>
                <w:szCs w:val="20"/>
              </w:rPr>
              <w:t>Cite data sources, units, coverage, and date of extraction.</w:t>
            </w:r>
          </w:p>
          <w:p w14:paraId="2E2DB480" w14:textId="77777777" w:rsidR="008F586B" w:rsidRPr="008F586B" w:rsidRDefault="008F586B" w:rsidP="008F586B">
            <w:pPr>
              <w:numPr>
                <w:ilvl w:val="0"/>
                <w:numId w:val="275"/>
              </w:numPr>
              <w:spacing w:line="259" w:lineRule="auto"/>
              <w:jc w:val="both"/>
              <w:rPr>
                <w:rFonts w:cstheme="minorHAnsi"/>
                <w:szCs w:val="20"/>
              </w:rPr>
            </w:pPr>
            <w:r w:rsidRPr="008F586B">
              <w:rPr>
                <w:rFonts w:cstheme="minorHAnsi"/>
                <w:szCs w:val="20"/>
              </w:rPr>
              <w:t>Declare imputation methods, scope boundaries (e.g., which Scope 3 categories), and whether figures are audited.</w:t>
            </w:r>
          </w:p>
          <w:p w14:paraId="2A726286" w14:textId="77777777" w:rsidR="008F586B" w:rsidRPr="008F586B" w:rsidRDefault="008F586B" w:rsidP="008F586B">
            <w:pPr>
              <w:numPr>
                <w:ilvl w:val="0"/>
                <w:numId w:val="275"/>
              </w:numPr>
              <w:spacing w:line="259" w:lineRule="auto"/>
              <w:jc w:val="both"/>
              <w:rPr>
                <w:rFonts w:cstheme="minorHAnsi"/>
                <w:szCs w:val="20"/>
              </w:rPr>
            </w:pPr>
            <w:r w:rsidRPr="008F586B">
              <w:rPr>
                <w:rFonts w:cstheme="minorHAnsi"/>
                <w:szCs w:val="20"/>
              </w:rPr>
              <w:t>Provide footnotes and a data dictionary for recurring dashboards.</w:t>
            </w:r>
          </w:p>
          <w:p w14:paraId="013A8839" w14:textId="77777777" w:rsidR="008F586B" w:rsidRPr="008F586B" w:rsidRDefault="008F586B" w:rsidP="00CD130A">
            <w:pPr>
              <w:rPr>
                <w:rFonts w:cstheme="minorHAnsi"/>
                <w:szCs w:val="20"/>
              </w:rPr>
            </w:pPr>
            <w:r w:rsidRPr="008F586B">
              <w:rPr>
                <w:rFonts w:cstheme="minorHAnsi"/>
                <w:noProof/>
                <w:szCs w:val="20"/>
              </w:rPr>
              <mc:AlternateContent>
                <mc:Choice Requires="wps">
                  <w:drawing>
                    <wp:inline distT="0" distB="0" distL="0" distR="0" wp14:anchorId="79A0142D" wp14:editId="0D330447">
                      <wp:extent cx="0" cy="19050"/>
                      <wp:effectExtent l="0" t="0" r="0" b="0"/>
                      <wp:docPr id="57" name="_x0000_i103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518010CA" id="_x0000_i10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3347F311" w14:textId="49B26AC3" w:rsidR="008F586B" w:rsidRPr="008F586B" w:rsidRDefault="008F586B" w:rsidP="00CD130A">
            <w:pPr>
              <w:rPr>
                <w:rFonts w:cstheme="minorHAnsi"/>
                <w:b/>
                <w:color w:val="009889" w:themeColor="accent2"/>
                <w:szCs w:val="20"/>
              </w:rPr>
            </w:pPr>
            <w:r w:rsidRPr="008F586B">
              <w:rPr>
                <w:rFonts w:cstheme="minorHAnsi"/>
                <w:b/>
                <w:color w:val="009889" w:themeColor="accent2"/>
                <w:szCs w:val="20"/>
              </w:rPr>
              <w:t>Best Practices in Layout, Colour, and Readability</w:t>
            </w:r>
          </w:p>
          <w:p w14:paraId="3EB546BD" w14:textId="77777777" w:rsidR="008F586B" w:rsidRPr="008F586B" w:rsidRDefault="008F586B" w:rsidP="00CD130A">
            <w:pPr>
              <w:rPr>
                <w:rFonts w:cstheme="minorHAnsi"/>
                <w:b/>
                <w:szCs w:val="20"/>
              </w:rPr>
            </w:pPr>
            <w:r w:rsidRPr="008F586B">
              <w:rPr>
                <w:rFonts w:cstheme="minorHAnsi"/>
                <w:b/>
                <w:szCs w:val="20"/>
              </w:rPr>
              <w:t>Layout &amp; Hierarchy</w:t>
            </w:r>
          </w:p>
          <w:p w14:paraId="4B6798DA" w14:textId="7875E7B8" w:rsidR="008F586B" w:rsidRPr="008F586B" w:rsidRDefault="008F586B" w:rsidP="008F586B">
            <w:pPr>
              <w:numPr>
                <w:ilvl w:val="0"/>
                <w:numId w:val="276"/>
              </w:numPr>
              <w:spacing w:line="259" w:lineRule="auto"/>
              <w:rPr>
                <w:rFonts w:cstheme="minorHAnsi"/>
                <w:szCs w:val="20"/>
              </w:rPr>
            </w:pPr>
            <w:r w:rsidRPr="008F586B">
              <w:rPr>
                <w:rFonts w:cstheme="minorHAnsi"/>
                <w:b/>
                <w:bCs/>
                <w:szCs w:val="20"/>
              </w:rPr>
              <w:t>Message</w:t>
            </w:r>
            <w:r w:rsidR="00E661A9">
              <w:rPr>
                <w:rFonts w:cstheme="minorHAnsi"/>
                <w:b/>
                <w:bCs/>
                <w:szCs w:val="20"/>
              </w:rPr>
              <w:t xml:space="preserve"> </w:t>
            </w:r>
            <w:r w:rsidRPr="008F586B">
              <w:rPr>
                <w:rFonts w:cstheme="minorHAnsi"/>
                <w:b/>
                <w:bCs/>
                <w:szCs w:val="20"/>
              </w:rPr>
              <w:t>first</w:t>
            </w:r>
            <w:r w:rsidRPr="008F586B">
              <w:rPr>
                <w:rFonts w:cstheme="minorHAnsi"/>
                <w:b/>
                <w:szCs w:val="20"/>
              </w:rPr>
              <w:t xml:space="preserve"> titles:</w:t>
            </w:r>
            <w:r w:rsidRPr="008F586B">
              <w:rPr>
                <w:rFonts w:cstheme="minorHAnsi"/>
                <w:szCs w:val="20"/>
              </w:rPr>
              <w:t xml:space="preserve"> Turn chart titles into takeaways: </w:t>
            </w:r>
            <w:r w:rsidRPr="008F586B">
              <w:rPr>
                <w:rFonts w:cstheme="minorHAnsi"/>
                <w:i/>
                <w:szCs w:val="20"/>
              </w:rPr>
              <w:t>“Supplier A accounts for 38% of Scope 3 Cat. 1 emissions.”</w:t>
            </w:r>
          </w:p>
          <w:p w14:paraId="605FB504" w14:textId="77777777" w:rsidR="008F586B" w:rsidRPr="008F586B" w:rsidRDefault="008F586B" w:rsidP="008F586B">
            <w:pPr>
              <w:numPr>
                <w:ilvl w:val="0"/>
                <w:numId w:val="276"/>
              </w:numPr>
              <w:spacing w:line="259" w:lineRule="auto"/>
              <w:rPr>
                <w:rFonts w:cstheme="minorHAnsi"/>
                <w:szCs w:val="20"/>
              </w:rPr>
            </w:pPr>
            <w:r w:rsidRPr="008F586B">
              <w:rPr>
                <w:rFonts w:cstheme="minorHAnsi"/>
                <w:b/>
                <w:szCs w:val="20"/>
              </w:rPr>
              <w:t>Visual hierarchy:</w:t>
            </w:r>
            <w:r w:rsidRPr="008F586B">
              <w:rPr>
                <w:rFonts w:cstheme="minorHAnsi"/>
                <w:szCs w:val="20"/>
              </w:rPr>
              <w:t xml:space="preserve"> Use size, weight, and spacing to guide scanning—title </w:t>
            </w:r>
            <w:r w:rsidRPr="008F586B">
              <w:rPr>
                <w:rFonts w:ascii="Times New Roman" w:hAnsi="Times New Roman" w:cs="Times New Roman"/>
                <w:szCs w:val="20"/>
              </w:rPr>
              <w:t>→</w:t>
            </w:r>
            <w:r w:rsidRPr="008F586B">
              <w:rPr>
                <w:rFonts w:cstheme="minorHAnsi"/>
                <w:szCs w:val="20"/>
              </w:rPr>
              <w:t xml:space="preserve"> key figure </w:t>
            </w:r>
            <w:r w:rsidRPr="008F586B">
              <w:rPr>
                <w:rFonts w:ascii="Times New Roman" w:hAnsi="Times New Roman" w:cs="Times New Roman"/>
                <w:szCs w:val="20"/>
              </w:rPr>
              <w:t>→</w:t>
            </w:r>
            <w:r w:rsidRPr="008F586B">
              <w:rPr>
                <w:rFonts w:cstheme="minorHAnsi"/>
                <w:szCs w:val="20"/>
              </w:rPr>
              <w:t xml:space="preserve"> chart </w:t>
            </w:r>
            <w:r w:rsidRPr="008F586B">
              <w:rPr>
                <w:rFonts w:ascii="Times New Roman" w:hAnsi="Times New Roman" w:cs="Times New Roman"/>
                <w:szCs w:val="20"/>
              </w:rPr>
              <w:t>→</w:t>
            </w:r>
            <w:r w:rsidRPr="008F586B">
              <w:rPr>
                <w:rFonts w:cstheme="minorHAnsi"/>
                <w:szCs w:val="20"/>
              </w:rPr>
              <w:t xml:space="preserve"> footnotes.</w:t>
            </w:r>
          </w:p>
          <w:p w14:paraId="52B041C7" w14:textId="77777777" w:rsidR="008F586B" w:rsidRPr="008F586B" w:rsidRDefault="008F586B" w:rsidP="008F586B">
            <w:pPr>
              <w:numPr>
                <w:ilvl w:val="0"/>
                <w:numId w:val="276"/>
              </w:numPr>
              <w:spacing w:line="259" w:lineRule="auto"/>
              <w:jc w:val="both"/>
              <w:rPr>
                <w:rFonts w:cstheme="minorHAnsi"/>
                <w:szCs w:val="20"/>
              </w:rPr>
            </w:pPr>
            <w:r w:rsidRPr="008F586B">
              <w:rPr>
                <w:rFonts w:cstheme="minorHAnsi"/>
                <w:b/>
                <w:szCs w:val="20"/>
              </w:rPr>
              <w:t>Whitespace:</w:t>
            </w:r>
            <w:r w:rsidRPr="008F586B">
              <w:rPr>
                <w:rFonts w:cstheme="minorHAnsi"/>
                <w:szCs w:val="20"/>
              </w:rPr>
              <w:t xml:space="preserve"> Increase legibility and reduce crowding; avoid enclosing borders unless separation is needed.</w:t>
            </w:r>
          </w:p>
          <w:p w14:paraId="4ED85BA4" w14:textId="77777777" w:rsidR="008F586B" w:rsidRPr="008F586B" w:rsidRDefault="008F586B" w:rsidP="008F586B">
            <w:pPr>
              <w:numPr>
                <w:ilvl w:val="0"/>
                <w:numId w:val="276"/>
              </w:numPr>
              <w:spacing w:line="259" w:lineRule="auto"/>
              <w:jc w:val="both"/>
              <w:rPr>
                <w:rFonts w:cstheme="minorHAnsi"/>
                <w:szCs w:val="20"/>
              </w:rPr>
            </w:pPr>
            <w:r w:rsidRPr="008F586B">
              <w:rPr>
                <w:rFonts w:cstheme="minorHAnsi"/>
                <w:b/>
                <w:szCs w:val="20"/>
              </w:rPr>
              <w:t>Grid &amp; alignment:</w:t>
            </w:r>
            <w:r w:rsidRPr="008F586B">
              <w:rPr>
                <w:rFonts w:cstheme="minorHAnsi"/>
                <w:szCs w:val="20"/>
              </w:rPr>
              <w:t xml:space="preserve"> Align axes and numbers; use small multiples for repeated comparisons.</w:t>
            </w:r>
          </w:p>
          <w:p w14:paraId="5D406F14" w14:textId="77777777" w:rsidR="008F586B" w:rsidRPr="008F586B" w:rsidRDefault="008F586B" w:rsidP="008F586B">
            <w:pPr>
              <w:jc w:val="both"/>
              <w:rPr>
                <w:rFonts w:cstheme="minorHAnsi"/>
                <w:b/>
                <w:szCs w:val="20"/>
              </w:rPr>
            </w:pPr>
            <w:r w:rsidRPr="008F586B">
              <w:rPr>
                <w:rFonts w:cstheme="minorHAnsi"/>
                <w:b/>
                <w:szCs w:val="20"/>
              </w:rPr>
              <w:t>Colour Strategy</w:t>
            </w:r>
          </w:p>
          <w:p w14:paraId="0BF23D91" w14:textId="77777777" w:rsidR="008F586B" w:rsidRPr="008F586B" w:rsidRDefault="008F586B" w:rsidP="008F586B">
            <w:pPr>
              <w:numPr>
                <w:ilvl w:val="0"/>
                <w:numId w:val="277"/>
              </w:numPr>
              <w:spacing w:line="259" w:lineRule="auto"/>
              <w:jc w:val="both"/>
              <w:rPr>
                <w:rFonts w:cstheme="minorHAnsi"/>
                <w:szCs w:val="20"/>
              </w:rPr>
            </w:pPr>
            <w:r w:rsidRPr="008F586B">
              <w:rPr>
                <w:rFonts w:cstheme="minorHAnsi"/>
                <w:b/>
                <w:szCs w:val="20"/>
              </w:rPr>
              <w:t>Purposeful palettes:</w:t>
            </w:r>
          </w:p>
          <w:p w14:paraId="67309B58" w14:textId="77777777" w:rsidR="008F586B" w:rsidRPr="008F586B" w:rsidRDefault="008F586B" w:rsidP="008F586B">
            <w:pPr>
              <w:numPr>
                <w:ilvl w:val="1"/>
                <w:numId w:val="277"/>
              </w:numPr>
              <w:spacing w:line="259" w:lineRule="auto"/>
              <w:jc w:val="both"/>
              <w:rPr>
                <w:rFonts w:cstheme="minorHAnsi"/>
                <w:szCs w:val="20"/>
              </w:rPr>
            </w:pPr>
            <w:r w:rsidRPr="008F586B">
              <w:rPr>
                <w:rFonts w:cstheme="minorHAnsi"/>
                <w:i/>
                <w:szCs w:val="20"/>
              </w:rPr>
              <w:t>Categorical</w:t>
            </w:r>
            <w:r w:rsidRPr="008F586B">
              <w:rPr>
                <w:rFonts w:cstheme="minorHAnsi"/>
                <w:szCs w:val="20"/>
              </w:rPr>
              <w:t xml:space="preserve"> (distinct hues) for ESG pillars or sectors.</w:t>
            </w:r>
          </w:p>
          <w:p w14:paraId="4EC47D99" w14:textId="77777777" w:rsidR="008F586B" w:rsidRPr="008F586B" w:rsidRDefault="008F586B" w:rsidP="008F586B">
            <w:pPr>
              <w:numPr>
                <w:ilvl w:val="1"/>
                <w:numId w:val="277"/>
              </w:numPr>
              <w:spacing w:line="259" w:lineRule="auto"/>
              <w:jc w:val="both"/>
              <w:rPr>
                <w:rFonts w:cstheme="minorHAnsi"/>
                <w:szCs w:val="20"/>
              </w:rPr>
            </w:pPr>
            <w:r w:rsidRPr="008F586B">
              <w:rPr>
                <w:rFonts w:cstheme="minorHAnsi"/>
                <w:i/>
                <w:szCs w:val="20"/>
              </w:rPr>
              <w:t>Sequential</w:t>
            </w:r>
            <w:r w:rsidRPr="008F586B">
              <w:rPr>
                <w:rFonts w:cstheme="minorHAnsi"/>
                <w:szCs w:val="20"/>
              </w:rPr>
              <w:t xml:space="preserve"> (</w:t>
            </w:r>
            <w:proofErr w:type="spellStart"/>
            <w:r w:rsidRPr="008F586B">
              <w:rPr>
                <w:rFonts w:cstheme="minorHAnsi"/>
                <w:szCs w:val="20"/>
              </w:rPr>
              <w:t>light</w:t>
            </w:r>
            <w:r w:rsidRPr="008F586B">
              <w:rPr>
                <w:rFonts w:ascii="Times New Roman" w:hAnsi="Times New Roman" w:cs="Times New Roman"/>
                <w:szCs w:val="20"/>
              </w:rPr>
              <w:t>→</w:t>
            </w:r>
            <w:r w:rsidRPr="008F586B">
              <w:rPr>
                <w:rFonts w:cstheme="minorHAnsi"/>
                <w:szCs w:val="20"/>
              </w:rPr>
              <w:t>dark</w:t>
            </w:r>
            <w:proofErr w:type="spellEnd"/>
            <w:r w:rsidRPr="008F586B">
              <w:rPr>
                <w:rFonts w:cstheme="minorHAnsi"/>
                <w:szCs w:val="20"/>
              </w:rPr>
              <w:t>) for ordered values (e.g., risk scores).</w:t>
            </w:r>
          </w:p>
          <w:p w14:paraId="63132F5F" w14:textId="77777777" w:rsidR="008F586B" w:rsidRPr="008F586B" w:rsidRDefault="008F586B" w:rsidP="008F586B">
            <w:pPr>
              <w:numPr>
                <w:ilvl w:val="1"/>
                <w:numId w:val="277"/>
              </w:numPr>
              <w:spacing w:line="259" w:lineRule="auto"/>
              <w:jc w:val="both"/>
              <w:rPr>
                <w:rFonts w:cstheme="minorHAnsi"/>
                <w:szCs w:val="20"/>
              </w:rPr>
            </w:pPr>
            <w:r w:rsidRPr="008F586B">
              <w:rPr>
                <w:rFonts w:cstheme="minorHAnsi"/>
                <w:i/>
                <w:szCs w:val="20"/>
              </w:rPr>
              <w:t>Diverging</w:t>
            </w:r>
            <w:r w:rsidRPr="008F586B">
              <w:rPr>
                <w:rFonts w:cstheme="minorHAnsi"/>
                <w:szCs w:val="20"/>
              </w:rPr>
              <w:t xml:space="preserve"> (two hues from a neutral midpoint) for deviations from target or zero.</w:t>
            </w:r>
          </w:p>
          <w:p w14:paraId="720D32B7" w14:textId="481ACE11" w:rsidR="008F586B" w:rsidRPr="008F586B" w:rsidRDefault="008F586B" w:rsidP="008F586B">
            <w:pPr>
              <w:numPr>
                <w:ilvl w:val="0"/>
                <w:numId w:val="277"/>
              </w:numPr>
              <w:spacing w:line="259" w:lineRule="auto"/>
              <w:jc w:val="both"/>
              <w:rPr>
                <w:rFonts w:cstheme="minorHAnsi"/>
                <w:szCs w:val="20"/>
              </w:rPr>
            </w:pPr>
            <w:r w:rsidRPr="008F586B">
              <w:rPr>
                <w:rFonts w:cstheme="minorHAnsi"/>
                <w:b/>
                <w:szCs w:val="20"/>
              </w:rPr>
              <w:t>Accessibility:</w:t>
            </w:r>
            <w:r w:rsidRPr="008F586B">
              <w:rPr>
                <w:rFonts w:cstheme="minorHAnsi"/>
                <w:szCs w:val="20"/>
              </w:rPr>
              <w:t xml:space="preserve"> Ensure contrast ratio ≥4.5:1 for text; use COLOUR-BLIND FRIENDLY safe palettes (e.g., </w:t>
            </w:r>
            <w:r w:rsidR="00D135B0" w:rsidRPr="008F586B">
              <w:rPr>
                <w:rFonts w:cstheme="minorHAnsi"/>
                <w:szCs w:val="20"/>
              </w:rPr>
              <w:t>blue</w:t>
            </w:r>
            <w:r w:rsidR="00D135B0">
              <w:rPr>
                <w:rFonts w:cstheme="minorHAnsi"/>
                <w:szCs w:val="20"/>
              </w:rPr>
              <w:t>-</w:t>
            </w:r>
            <w:r w:rsidR="00D135B0" w:rsidRPr="008F586B">
              <w:rPr>
                <w:rFonts w:cstheme="minorHAnsi"/>
                <w:szCs w:val="20"/>
              </w:rPr>
              <w:t>orange</w:t>
            </w:r>
            <w:r w:rsidRPr="008F586B">
              <w:rPr>
                <w:rFonts w:cstheme="minorHAnsi"/>
                <w:szCs w:val="20"/>
              </w:rPr>
              <w:t xml:space="preserve">, </w:t>
            </w:r>
            <w:r w:rsidR="00D135B0" w:rsidRPr="008F586B">
              <w:rPr>
                <w:rFonts w:cstheme="minorHAnsi"/>
                <w:szCs w:val="20"/>
              </w:rPr>
              <w:t>purple</w:t>
            </w:r>
            <w:r w:rsidR="00D135B0">
              <w:rPr>
                <w:rFonts w:cstheme="minorHAnsi"/>
                <w:szCs w:val="20"/>
              </w:rPr>
              <w:t>-</w:t>
            </w:r>
            <w:r w:rsidR="00D135B0" w:rsidRPr="008F586B">
              <w:rPr>
                <w:rFonts w:cstheme="minorHAnsi"/>
                <w:szCs w:val="20"/>
              </w:rPr>
              <w:t>green</w:t>
            </w:r>
            <w:r w:rsidRPr="008F586B">
              <w:rPr>
                <w:rFonts w:cstheme="minorHAnsi"/>
                <w:szCs w:val="20"/>
              </w:rPr>
              <w:t>). Add texture or shape when colour is insufficient.</w:t>
            </w:r>
          </w:p>
          <w:p w14:paraId="7F5F8333" w14:textId="4F927227" w:rsidR="008F586B" w:rsidRPr="008F586B" w:rsidRDefault="008F586B" w:rsidP="008F586B">
            <w:pPr>
              <w:numPr>
                <w:ilvl w:val="0"/>
                <w:numId w:val="277"/>
              </w:numPr>
              <w:spacing w:line="259" w:lineRule="auto"/>
              <w:jc w:val="both"/>
              <w:rPr>
                <w:rFonts w:cstheme="minorHAnsi"/>
                <w:szCs w:val="20"/>
              </w:rPr>
            </w:pPr>
            <w:r w:rsidRPr="008F586B">
              <w:rPr>
                <w:rFonts w:cstheme="minorHAnsi"/>
                <w:b/>
                <w:szCs w:val="20"/>
              </w:rPr>
              <w:lastRenderedPageBreak/>
              <w:t>Consistency:</w:t>
            </w:r>
            <w:r w:rsidRPr="008F586B">
              <w:rPr>
                <w:rFonts w:cstheme="minorHAnsi"/>
                <w:szCs w:val="20"/>
              </w:rPr>
              <w:t xml:space="preserve"> Keep the same colour meaning across pages (e.g., green always = “better/closer to target,” but be mindful of COLOUR-BLIND FRIENDLY</w:t>
            </w:r>
            <w:r w:rsidR="00D135B0">
              <w:rPr>
                <w:rFonts w:cstheme="minorHAnsi"/>
                <w:szCs w:val="20"/>
              </w:rPr>
              <w:t xml:space="preserve"> </w:t>
            </w:r>
            <w:r w:rsidRPr="008F586B">
              <w:rPr>
                <w:rFonts w:cstheme="minorHAnsi"/>
                <w:szCs w:val="20"/>
              </w:rPr>
              <w:t>and cultural contexts).</w:t>
            </w:r>
          </w:p>
          <w:p w14:paraId="0E392AF3" w14:textId="77777777" w:rsidR="008F586B" w:rsidRPr="008F586B" w:rsidRDefault="008F586B" w:rsidP="008F586B">
            <w:pPr>
              <w:jc w:val="both"/>
              <w:rPr>
                <w:rFonts w:cstheme="minorHAnsi"/>
                <w:b/>
                <w:szCs w:val="20"/>
              </w:rPr>
            </w:pPr>
            <w:r w:rsidRPr="008F586B">
              <w:rPr>
                <w:rFonts w:cstheme="minorHAnsi"/>
                <w:b/>
                <w:szCs w:val="20"/>
              </w:rPr>
              <w:t>Typography &amp; Labels</w:t>
            </w:r>
          </w:p>
          <w:p w14:paraId="423163A6" w14:textId="11A3247F" w:rsidR="008F586B" w:rsidRPr="008F586B" w:rsidRDefault="008F586B" w:rsidP="008F586B">
            <w:pPr>
              <w:numPr>
                <w:ilvl w:val="0"/>
                <w:numId w:val="278"/>
              </w:numPr>
              <w:spacing w:line="259" w:lineRule="auto"/>
              <w:jc w:val="both"/>
              <w:rPr>
                <w:rFonts w:cstheme="minorHAnsi"/>
                <w:szCs w:val="20"/>
              </w:rPr>
            </w:pPr>
            <w:r w:rsidRPr="008F586B">
              <w:rPr>
                <w:rFonts w:cstheme="minorHAnsi"/>
                <w:szCs w:val="20"/>
              </w:rPr>
              <w:t xml:space="preserve">Use </w:t>
            </w:r>
            <w:r w:rsidRPr="008F586B">
              <w:rPr>
                <w:rFonts w:cstheme="minorHAnsi"/>
                <w:b/>
                <w:szCs w:val="20"/>
              </w:rPr>
              <w:t>one or two typefaces</w:t>
            </w:r>
            <w:r w:rsidRPr="008F586B">
              <w:rPr>
                <w:rFonts w:cstheme="minorHAnsi"/>
                <w:szCs w:val="20"/>
              </w:rPr>
              <w:t xml:space="preserve"> (</w:t>
            </w:r>
            <w:r w:rsidR="00D135B0" w:rsidRPr="008F586B">
              <w:rPr>
                <w:rFonts w:cstheme="minorHAnsi"/>
                <w:szCs w:val="20"/>
              </w:rPr>
              <w:t>Sans serif</w:t>
            </w:r>
            <w:r w:rsidRPr="008F586B">
              <w:rPr>
                <w:rFonts w:cstheme="minorHAnsi"/>
                <w:szCs w:val="20"/>
              </w:rPr>
              <w:t xml:space="preserve"> for screens, serif for long print). Keep sizes ≥10–12pt for dense charts.</w:t>
            </w:r>
          </w:p>
          <w:p w14:paraId="7BC8BA0F" w14:textId="77777777" w:rsidR="008F586B" w:rsidRPr="008F586B" w:rsidRDefault="008F586B" w:rsidP="008F586B">
            <w:pPr>
              <w:numPr>
                <w:ilvl w:val="0"/>
                <w:numId w:val="278"/>
              </w:numPr>
              <w:spacing w:line="259" w:lineRule="auto"/>
              <w:jc w:val="both"/>
              <w:rPr>
                <w:rFonts w:cstheme="minorHAnsi"/>
                <w:szCs w:val="20"/>
              </w:rPr>
            </w:pPr>
            <w:r w:rsidRPr="008F586B">
              <w:rPr>
                <w:rFonts w:cstheme="minorHAnsi"/>
                <w:szCs w:val="20"/>
              </w:rPr>
              <w:t xml:space="preserve">Prefer </w:t>
            </w:r>
            <w:r w:rsidRPr="008F586B">
              <w:rPr>
                <w:rFonts w:cstheme="minorHAnsi"/>
                <w:b/>
                <w:szCs w:val="20"/>
              </w:rPr>
              <w:t>direct labelling</w:t>
            </w:r>
            <w:r w:rsidRPr="008F586B">
              <w:rPr>
                <w:rFonts w:cstheme="minorHAnsi"/>
                <w:szCs w:val="20"/>
              </w:rPr>
              <w:t xml:space="preserve"> over legends; if legends are necessary, place them near the data.</w:t>
            </w:r>
          </w:p>
          <w:p w14:paraId="5E96BAB9" w14:textId="77777777" w:rsidR="008F586B" w:rsidRPr="008F586B" w:rsidRDefault="008F586B" w:rsidP="008F586B">
            <w:pPr>
              <w:numPr>
                <w:ilvl w:val="0"/>
                <w:numId w:val="278"/>
              </w:numPr>
              <w:spacing w:line="259" w:lineRule="auto"/>
              <w:jc w:val="both"/>
              <w:rPr>
                <w:rFonts w:cstheme="minorHAnsi"/>
                <w:szCs w:val="20"/>
              </w:rPr>
            </w:pPr>
            <w:r w:rsidRPr="008F586B">
              <w:rPr>
                <w:rFonts w:cstheme="minorHAnsi"/>
                <w:szCs w:val="20"/>
              </w:rPr>
              <w:t xml:space="preserve">Clarify </w:t>
            </w:r>
            <w:r w:rsidRPr="008F586B">
              <w:rPr>
                <w:rFonts w:cstheme="minorHAnsi"/>
                <w:b/>
                <w:szCs w:val="20"/>
              </w:rPr>
              <w:t>units</w:t>
            </w:r>
            <w:r w:rsidRPr="008F586B">
              <w:rPr>
                <w:rFonts w:cstheme="minorHAnsi"/>
                <w:szCs w:val="20"/>
              </w:rPr>
              <w:t xml:space="preserve"> (</w:t>
            </w:r>
            <w:proofErr w:type="spellStart"/>
            <w:r w:rsidRPr="008F586B">
              <w:rPr>
                <w:rFonts w:cstheme="minorHAnsi"/>
                <w:szCs w:val="20"/>
              </w:rPr>
              <w:t>tCO</w:t>
            </w:r>
            <w:r w:rsidRPr="008F586B">
              <w:rPr>
                <w:rFonts w:ascii="Cambria Math" w:hAnsi="Cambria Math" w:cs="Cambria Math"/>
                <w:szCs w:val="20"/>
              </w:rPr>
              <w:t>₂</w:t>
            </w:r>
            <w:r w:rsidRPr="008F586B">
              <w:rPr>
                <w:rFonts w:cstheme="minorHAnsi"/>
                <w:szCs w:val="20"/>
              </w:rPr>
              <w:t>e</w:t>
            </w:r>
            <w:proofErr w:type="spellEnd"/>
            <w:r w:rsidRPr="008F586B">
              <w:rPr>
                <w:rFonts w:cstheme="minorHAnsi"/>
                <w:szCs w:val="20"/>
              </w:rPr>
              <w:t xml:space="preserve">, % of headcount, incidents per 200k hours) and </w:t>
            </w:r>
            <w:r w:rsidRPr="008F586B">
              <w:rPr>
                <w:rFonts w:cstheme="minorHAnsi"/>
                <w:b/>
                <w:szCs w:val="20"/>
              </w:rPr>
              <w:t>timeframes</w:t>
            </w:r>
            <w:r w:rsidRPr="008F586B">
              <w:rPr>
                <w:rFonts w:cstheme="minorHAnsi"/>
                <w:szCs w:val="20"/>
              </w:rPr>
              <w:t>.</w:t>
            </w:r>
          </w:p>
          <w:p w14:paraId="57862CFD" w14:textId="77777777" w:rsidR="008F586B" w:rsidRPr="008F586B" w:rsidRDefault="008F586B" w:rsidP="008F586B">
            <w:pPr>
              <w:numPr>
                <w:ilvl w:val="0"/>
                <w:numId w:val="278"/>
              </w:numPr>
              <w:spacing w:line="259" w:lineRule="auto"/>
              <w:jc w:val="both"/>
              <w:rPr>
                <w:rFonts w:cstheme="minorHAnsi"/>
                <w:szCs w:val="20"/>
              </w:rPr>
            </w:pPr>
            <w:r w:rsidRPr="008F586B">
              <w:rPr>
                <w:rFonts w:cstheme="minorHAnsi"/>
                <w:szCs w:val="20"/>
              </w:rPr>
              <w:t>Avoid vertical text; rotate charts if needed (use horizontal bars).</w:t>
            </w:r>
          </w:p>
          <w:p w14:paraId="5178C152" w14:textId="77777777" w:rsidR="008F586B" w:rsidRPr="008F586B" w:rsidRDefault="008F586B" w:rsidP="008F586B">
            <w:pPr>
              <w:jc w:val="both"/>
              <w:rPr>
                <w:rFonts w:cstheme="minorHAnsi"/>
                <w:b/>
                <w:szCs w:val="20"/>
              </w:rPr>
            </w:pPr>
            <w:r w:rsidRPr="008F586B">
              <w:rPr>
                <w:rFonts w:cstheme="minorHAnsi"/>
                <w:b/>
                <w:szCs w:val="20"/>
              </w:rPr>
              <w:t>Interactivity (If Applicable)</w:t>
            </w:r>
          </w:p>
          <w:p w14:paraId="209D57B5" w14:textId="77777777" w:rsidR="008F586B" w:rsidRPr="008F586B" w:rsidRDefault="008F586B" w:rsidP="008F586B">
            <w:pPr>
              <w:numPr>
                <w:ilvl w:val="0"/>
                <w:numId w:val="279"/>
              </w:numPr>
              <w:spacing w:line="259" w:lineRule="auto"/>
              <w:jc w:val="both"/>
              <w:rPr>
                <w:rFonts w:cstheme="minorHAnsi"/>
                <w:szCs w:val="20"/>
              </w:rPr>
            </w:pPr>
            <w:r w:rsidRPr="008F586B">
              <w:rPr>
                <w:rFonts w:cstheme="minorHAnsi"/>
                <w:b/>
                <w:szCs w:val="20"/>
              </w:rPr>
              <w:t xml:space="preserve">Tooltips and </w:t>
            </w:r>
            <w:r w:rsidRPr="008F586B">
              <w:rPr>
                <w:rFonts w:cstheme="minorHAnsi"/>
                <w:b/>
                <w:bCs/>
                <w:szCs w:val="20"/>
              </w:rPr>
              <w:t>drilldowns</w:t>
            </w:r>
            <w:r w:rsidRPr="008F586B">
              <w:rPr>
                <w:rFonts w:cstheme="minorHAnsi"/>
                <w:szCs w:val="20"/>
              </w:rPr>
              <w:t xml:space="preserve"> reveal detail on demand without clutter.</w:t>
            </w:r>
          </w:p>
          <w:p w14:paraId="4F3A8A54" w14:textId="77777777" w:rsidR="008F586B" w:rsidRPr="008F586B" w:rsidRDefault="008F586B" w:rsidP="008F586B">
            <w:pPr>
              <w:numPr>
                <w:ilvl w:val="0"/>
                <w:numId w:val="279"/>
              </w:numPr>
              <w:spacing w:line="259" w:lineRule="auto"/>
              <w:jc w:val="both"/>
              <w:rPr>
                <w:rFonts w:cstheme="minorHAnsi"/>
                <w:szCs w:val="20"/>
              </w:rPr>
            </w:pPr>
            <w:r w:rsidRPr="008F586B">
              <w:rPr>
                <w:rFonts w:cstheme="minorHAnsi"/>
                <w:b/>
                <w:szCs w:val="20"/>
              </w:rPr>
              <w:t>Filters</w:t>
            </w:r>
            <w:r w:rsidRPr="008F586B">
              <w:rPr>
                <w:rFonts w:cstheme="minorHAnsi"/>
                <w:szCs w:val="20"/>
              </w:rPr>
              <w:t xml:space="preserve"> should match analytical tasks (e.g., filter by scope, region, sector).</w:t>
            </w:r>
          </w:p>
          <w:p w14:paraId="13D98E9C" w14:textId="77777777" w:rsidR="008F586B" w:rsidRPr="008F586B" w:rsidRDefault="008F586B" w:rsidP="008F586B">
            <w:pPr>
              <w:numPr>
                <w:ilvl w:val="0"/>
                <w:numId w:val="279"/>
              </w:numPr>
              <w:spacing w:line="259" w:lineRule="auto"/>
              <w:jc w:val="both"/>
              <w:rPr>
                <w:rFonts w:cstheme="minorHAnsi"/>
                <w:szCs w:val="20"/>
              </w:rPr>
            </w:pPr>
            <w:r w:rsidRPr="008F586B">
              <w:rPr>
                <w:rFonts w:cstheme="minorHAnsi"/>
                <w:b/>
                <w:szCs w:val="20"/>
              </w:rPr>
              <w:t>Annotations</w:t>
            </w:r>
            <w:r w:rsidRPr="008F586B">
              <w:rPr>
                <w:rFonts w:cstheme="minorHAnsi"/>
                <w:szCs w:val="20"/>
              </w:rPr>
              <w:t xml:space="preserve"> (goal lines, bands) help users orient themselves.</w:t>
            </w:r>
          </w:p>
          <w:p w14:paraId="1C40C533" w14:textId="77777777" w:rsidR="008F586B" w:rsidRPr="008F586B" w:rsidRDefault="008F586B" w:rsidP="008F586B">
            <w:pPr>
              <w:numPr>
                <w:ilvl w:val="0"/>
                <w:numId w:val="279"/>
              </w:numPr>
              <w:spacing w:line="259" w:lineRule="auto"/>
              <w:jc w:val="both"/>
              <w:rPr>
                <w:rFonts w:cstheme="minorHAnsi"/>
                <w:szCs w:val="20"/>
              </w:rPr>
            </w:pPr>
            <w:r w:rsidRPr="008F586B">
              <w:rPr>
                <w:rFonts w:cstheme="minorHAnsi"/>
                <w:szCs w:val="20"/>
              </w:rPr>
              <w:t xml:space="preserve">Provide </w:t>
            </w:r>
            <w:r w:rsidRPr="008F586B">
              <w:rPr>
                <w:rFonts w:cstheme="minorHAnsi"/>
                <w:b/>
                <w:szCs w:val="20"/>
              </w:rPr>
              <w:t>export</w:t>
            </w:r>
            <w:r w:rsidRPr="008F586B">
              <w:rPr>
                <w:rFonts w:cstheme="minorHAnsi"/>
                <w:szCs w:val="20"/>
              </w:rPr>
              <w:t xml:space="preserve"> and </w:t>
            </w:r>
            <w:r w:rsidRPr="008F586B">
              <w:rPr>
                <w:rFonts w:cstheme="minorHAnsi"/>
                <w:b/>
                <w:szCs w:val="20"/>
              </w:rPr>
              <w:t>source</w:t>
            </w:r>
            <w:r w:rsidRPr="008F586B">
              <w:rPr>
                <w:rFonts w:cstheme="minorHAnsi"/>
                <w:szCs w:val="20"/>
              </w:rPr>
              <w:t xml:space="preserve"> links for transparency.</w:t>
            </w:r>
          </w:p>
          <w:p w14:paraId="7BD9F6C9" w14:textId="77777777" w:rsidR="008F586B" w:rsidRPr="008F586B" w:rsidRDefault="008F586B" w:rsidP="00CD130A">
            <w:pPr>
              <w:rPr>
                <w:rFonts w:cstheme="minorHAnsi"/>
                <w:szCs w:val="20"/>
              </w:rPr>
            </w:pPr>
            <w:r w:rsidRPr="008F586B">
              <w:rPr>
                <w:rFonts w:cstheme="minorHAnsi"/>
                <w:noProof/>
                <w:szCs w:val="20"/>
              </w:rPr>
              <mc:AlternateContent>
                <mc:Choice Requires="wps">
                  <w:drawing>
                    <wp:inline distT="0" distB="0" distL="0" distR="0" wp14:anchorId="7937CA11" wp14:editId="6C4FE9CE">
                      <wp:extent cx="0" cy="19050"/>
                      <wp:effectExtent l="0" t="0" r="0" b="0"/>
                      <wp:docPr id="58" name="_x0000_i103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05E76F6" id="_x0000_i10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73DD853D" w14:textId="77777777" w:rsidR="008F586B" w:rsidRPr="008F586B" w:rsidRDefault="008F586B" w:rsidP="00CD130A">
            <w:pPr>
              <w:rPr>
                <w:rFonts w:cstheme="minorHAnsi"/>
                <w:b/>
                <w:color w:val="009889" w:themeColor="accent2"/>
                <w:szCs w:val="20"/>
              </w:rPr>
            </w:pPr>
            <w:r w:rsidRPr="008F586B">
              <w:rPr>
                <w:rFonts w:cstheme="minorHAnsi"/>
                <w:b/>
                <w:color w:val="009889" w:themeColor="accent2"/>
                <w:szCs w:val="20"/>
              </w:rPr>
              <w:t>Designing for Different Audiences</w:t>
            </w:r>
          </w:p>
          <w:p w14:paraId="144D57B2" w14:textId="173B15D9" w:rsidR="008F586B" w:rsidRPr="008F586B" w:rsidRDefault="008F586B" w:rsidP="008F586B">
            <w:pPr>
              <w:numPr>
                <w:ilvl w:val="0"/>
                <w:numId w:val="280"/>
              </w:numPr>
              <w:spacing w:line="259" w:lineRule="auto"/>
              <w:jc w:val="both"/>
              <w:rPr>
                <w:rFonts w:cstheme="minorHAnsi"/>
                <w:szCs w:val="20"/>
              </w:rPr>
            </w:pPr>
            <w:r w:rsidRPr="008F586B">
              <w:rPr>
                <w:rFonts w:cstheme="minorHAnsi"/>
                <w:b/>
                <w:szCs w:val="20"/>
              </w:rPr>
              <w:t>Executives/boards:</w:t>
            </w:r>
            <w:r w:rsidRPr="008F586B">
              <w:rPr>
                <w:rFonts w:cstheme="minorHAnsi"/>
                <w:szCs w:val="20"/>
              </w:rPr>
              <w:t xml:space="preserve"> </w:t>
            </w:r>
            <w:r w:rsidR="00D135B0" w:rsidRPr="008F586B">
              <w:rPr>
                <w:rFonts w:cstheme="minorHAnsi"/>
                <w:szCs w:val="20"/>
              </w:rPr>
              <w:t>High-level</w:t>
            </w:r>
            <w:r w:rsidRPr="008F586B">
              <w:rPr>
                <w:rFonts w:cstheme="minorHAnsi"/>
                <w:szCs w:val="20"/>
              </w:rPr>
              <w:t xml:space="preserve"> KPIs, targets vs. actuals, scenario impacts; 1–2 visuals per decision.</w:t>
            </w:r>
          </w:p>
          <w:p w14:paraId="7629F5BE" w14:textId="77777777" w:rsidR="008F586B" w:rsidRPr="008F586B" w:rsidRDefault="008F586B" w:rsidP="008F586B">
            <w:pPr>
              <w:numPr>
                <w:ilvl w:val="0"/>
                <w:numId w:val="280"/>
              </w:numPr>
              <w:spacing w:line="259" w:lineRule="auto"/>
              <w:jc w:val="both"/>
              <w:rPr>
                <w:rFonts w:cstheme="minorHAnsi"/>
                <w:szCs w:val="20"/>
              </w:rPr>
            </w:pPr>
            <w:r w:rsidRPr="008F586B">
              <w:rPr>
                <w:rFonts w:cstheme="minorHAnsi"/>
                <w:b/>
                <w:szCs w:val="20"/>
              </w:rPr>
              <w:t>Operational managers:</w:t>
            </w:r>
            <w:r w:rsidRPr="008F586B">
              <w:rPr>
                <w:rFonts w:cstheme="minorHAnsi"/>
                <w:szCs w:val="20"/>
              </w:rPr>
              <w:t xml:space="preserve"> Granular breakdowns by plant/supplier; diagnostics and benchmarks.</w:t>
            </w:r>
          </w:p>
          <w:p w14:paraId="42C56F10" w14:textId="77777777" w:rsidR="008F586B" w:rsidRPr="008F586B" w:rsidRDefault="008F586B" w:rsidP="008F586B">
            <w:pPr>
              <w:numPr>
                <w:ilvl w:val="0"/>
                <w:numId w:val="280"/>
              </w:numPr>
              <w:spacing w:line="259" w:lineRule="auto"/>
              <w:jc w:val="both"/>
              <w:rPr>
                <w:rFonts w:cstheme="minorHAnsi"/>
                <w:szCs w:val="20"/>
              </w:rPr>
            </w:pPr>
            <w:r w:rsidRPr="008F586B">
              <w:rPr>
                <w:rFonts w:cstheme="minorHAnsi"/>
                <w:b/>
                <w:szCs w:val="20"/>
              </w:rPr>
              <w:t>External stakeholders (investors, NGOs):</w:t>
            </w:r>
            <w:r w:rsidRPr="008F586B">
              <w:rPr>
                <w:rFonts w:cstheme="minorHAnsi"/>
                <w:szCs w:val="20"/>
              </w:rPr>
              <w:t xml:space="preserve"> Methodology, assumptions, and audit trail; scenario and sensitivity.</w:t>
            </w:r>
          </w:p>
          <w:p w14:paraId="2B42882A" w14:textId="77777777" w:rsidR="008F586B" w:rsidRPr="008F586B" w:rsidRDefault="008F586B" w:rsidP="008F586B">
            <w:pPr>
              <w:numPr>
                <w:ilvl w:val="0"/>
                <w:numId w:val="280"/>
              </w:numPr>
              <w:spacing w:line="259" w:lineRule="auto"/>
              <w:jc w:val="both"/>
              <w:rPr>
                <w:rFonts w:cstheme="minorHAnsi"/>
                <w:szCs w:val="20"/>
              </w:rPr>
            </w:pPr>
            <w:r w:rsidRPr="008F586B">
              <w:rPr>
                <w:rFonts w:cstheme="minorHAnsi"/>
                <w:b/>
                <w:szCs w:val="20"/>
              </w:rPr>
              <w:t>General public:</w:t>
            </w:r>
            <w:r w:rsidRPr="008F586B">
              <w:rPr>
                <w:rFonts w:cstheme="minorHAnsi"/>
                <w:szCs w:val="20"/>
              </w:rPr>
              <w:t xml:space="preserve"> Plain language, simple comparisons, contextual narratives.</w:t>
            </w:r>
          </w:p>
          <w:p w14:paraId="326E7472" w14:textId="77777777" w:rsidR="008F586B" w:rsidRPr="008F586B" w:rsidRDefault="008F586B" w:rsidP="008F586B">
            <w:pPr>
              <w:jc w:val="both"/>
              <w:rPr>
                <w:rFonts w:cstheme="minorHAnsi"/>
                <w:szCs w:val="20"/>
              </w:rPr>
            </w:pPr>
            <w:r w:rsidRPr="008F586B">
              <w:rPr>
                <w:rFonts w:cstheme="minorHAnsi"/>
                <w:b/>
                <w:szCs w:val="20"/>
              </w:rPr>
              <w:t>Rule of One:</w:t>
            </w:r>
            <w:r w:rsidRPr="008F586B">
              <w:rPr>
                <w:rFonts w:cstheme="minorHAnsi"/>
                <w:szCs w:val="20"/>
              </w:rPr>
              <w:t xml:space="preserve"> One main message per chart; one main chart per slide/page where possible.</w:t>
            </w:r>
          </w:p>
          <w:p w14:paraId="5276144D" w14:textId="77777777" w:rsidR="008F586B" w:rsidRPr="008F586B" w:rsidRDefault="008F586B" w:rsidP="008F586B">
            <w:pPr>
              <w:jc w:val="both"/>
              <w:rPr>
                <w:rFonts w:cstheme="minorHAnsi"/>
                <w:szCs w:val="20"/>
              </w:rPr>
            </w:pPr>
            <w:r w:rsidRPr="008F586B">
              <w:rPr>
                <w:rFonts w:cstheme="minorHAnsi"/>
                <w:noProof/>
                <w:szCs w:val="20"/>
              </w:rPr>
              <mc:AlternateContent>
                <mc:Choice Requires="wps">
                  <w:drawing>
                    <wp:inline distT="0" distB="0" distL="0" distR="0" wp14:anchorId="50C978F3" wp14:editId="5C31D885">
                      <wp:extent cx="0" cy="19050"/>
                      <wp:effectExtent l="0" t="0" r="0" b="0"/>
                      <wp:docPr id="59" name="_x0000_i1033"/>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59A0EF0A" id="_x0000_i10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r w:rsidRPr="008F586B">
              <w:rPr>
                <w:rFonts w:cstheme="minorHAnsi"/>
                <w:noProof/>
                <w:szCs w:val="20"/>
              </w:rPr>
              <mc:AlternateContent>
                <mc:Choice Requires="wps">
                  <w:drawing>
                    <wp:inline distT="0" distB="0" distL="0" distR="0" wp14:anchorId="7F4C42C6" wp14:editId="2BAAABAE">
                      <wp:extent cx="0" cy="19050"/>
                      <wp:effectExtent l="0" t="0" r="0" b="0"/>
                      <wp:docPr id="60" name="_x0000_i1034"/>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08243B35" id="_x0000_i10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0BA86D43" w14:textId="577464AD" w:rsidR="008F586B" w:rsidRPr="008F586B" w:rsidRDefault="008F586B" w:rsidP="008F586B">
            <w:pPr>
              <w:jc w:val="both"/>
              <w:rPr>
                <w:rFonts w:cstheme="minorHAnsi"/>
                <w:b/>
                <w:color w:val="009889" w:themeColor="accent2"/>
                <w:szCs w:val="20"/>
              </w:rPr>
            </w:pPr>
            <w:r w:rsidRPr="008F586B">
              <w:rPr>
                <w:rFonts w:cstheme="minorHAnsi"/>
                <w:b/>
                <w:color w:val="009889" w:themeColor="accent2"/>
                <w:szCs w:val="20"/>
              </w:rPr>
              <w:t>Workflow for Building Trustworthy Visuals</w:t>
            </w:r>
          </w:p>
          <w:p w14:paraId="6B197260"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Define the question</w:t>
            </w:r>
            <w:r w:rsidRPr="008F586B">
              <w:rPr>
                <w:rFonts w:cstheme="minorHAnsi"/>
                <w:szCs w:val="20"/>
              </w:rPr>
              <w:t>: What decision will this graphic inform?</w:t>
            </w:r>
          </w:p>
          <w:p w14:paraId="4A45C6B5" w14:textId="458E28CE"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List variables &amp; units</w:t>
            </w:r>
            <w:r w:rsidRPr="008F586B">
              <w:rPr>
                <w:rFonts w:cstheme="minorHAnsi"/>
                <w:szCs w:val="20"/>
              </w:rPr>
              <w:t xml:space="preserve">: Clarify definitions (e.g., “Scope 2 </w:t>
            </w:r>
            <w:r w:rsidR="00D135B0" w:rsidRPr="008F586B">
              <w:rPr>
                <w:rFonts w:cstheme="minorHAnsi"/>
                <w:szCs w:val="20"/>
              </w:rPr>
              <w:t>market based</w:t>
            </w:r>
            <w:r w:rsidRPr="008F586B">
              <w:rPr>
                <w:rFonts w:cstheme="minorHAnsi"/>
                <w:szCs w:val="20"/>
              </w:rPr>
              <w:t xml:space="preserve">, </w:t>
            </w:r>
            <w:proofErr w:type="spellStart"/>
            <w:r w:rsidRPr="008F586B">
              <w:rPr>
                <w:rFonts w:cstheme="minorHAnsi"/>
                <w:szCs w:val="20"/>
              </w:rPr>
              <w:t>tCO</w:t>
            </w:r>
            <w:r w:rsidRPr="008F586B">
              <w:rPr>
                <w:rFonts w:ascii="Cambria Math" w:hAnsi="Cambria Math" w:cs="Cambria Math"/>
                <w:szCs w:val="20"/>
              </w:rPr>
              <w:t>₂</w:t>
            </w:r>
            <w:r w:rsidRPr="008F586B">
              <w:rPr>
                <w:rFonts w:cstheme="minorHAnsi"/>
                <w:szCs w:val="20"/>
              </w:rPr>
              <w:t>e</w:t>
            </w:r>
            <w:proofErr w:type="spellEnd"/>
            <w:r w:rsidRPr="008F586B">
              <w:rPr>
                <w:rFonts w:cstheme="minorHAnsi"/>
                <w:szCs w:val="20"/>
              </w:rPr>
              <w:t>”).</w:t>
            </w:r>
          </w:p>
          <w:p w14:paraId="71E4F514"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Choose the task</w:t>
            </w:r>
            <w:r w:rsidRPr="008F586B">
              <w:rPr>
                <w:rFonts w:cstheme="minorHAnsi"/>
                <w:szCs w:val="20"/>
              </w:rPr>
              <w:t>: Compare, trend, distribution, composition or relationship.</w:t>
            </w:r>
          </w:p>
          <w:p w14:paraId="779AEC9C"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Select chart</w:t>
            </w:r>
            <w:r w:rsidRPr="008F586B">
              <w:rPr>
                <w:rFonts w:cstheme="minorHAnsi"/>
                <w:szCs w:val="20"/>
              </w:rPr>
              <w:t xml:space="preserve"> that matches the task (see Section 3).</w:t>
            </w:r>
          </w:p>
          <w:p w14:paraId="0D740FB1"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Sketch</w:t>
            </w:r>
            <w:r w:rsidRPr="008F586B">
              <w:rPr>
                <w:rFonts w:cstheme="minorHAnsi"/>
                <w:szCs w:val="20"/>
              </w:rPr>
              <w:t xml:space="preserve"> (paper or wireframe) the layout and hierarchy.</w:t>
            </w:r>
          </w:p>
          <w:p w14:paraId="388AA5E2"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Prototype</w:t>
            </w:r>
            <w:r w:rsidRPr="008F586B">
              <w:rPr>
                <w:rFonts w:cstheme="minorHAnsi"/>
                <w:szCs w:val="20"/>
              </w:rPr>
              <w:t xml:space="preserve"> with realistic data; test edge cases (zeros, negatives, missing, outliers).</w:t>
            </w:r>
          </w:p>
          <w:p w14:paraId="3A0AABDD"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Annotate</w:t>
            </w:r>
            <w:r w:rsidRPr="008F586B">
              <w:rPr>
                <w:rFonts w:cstheme="minorHAnsi"/>
                <w:szCs w:val="20"/>
              </w:rPr>
              <w:t>: titles, subtitles, sources, notes, methods.</w:t>
            </w:r>
          </w:p>
          <w:p w14:paraId="4670122E"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Accessibility check</w:t>
            </w:r>
            <w:r w:rsidRPr="008F586B">
              <w:rPr>
                <w:rFonts w:cstheme="minorHAnsi"/>
                <w:szCs w:val="20"/>
              </w:rPr>
              <w:t>: colour contrast, colour-blind friendly palettes, font size, keyboard navigation (for web dashboards).</w:t>
            </w:r>
          </w:p>
          <w:p w14:paraId="547640D5" w14:textId="77777777" w:rsidR="008F586B" w:rsidRPr="008F586B" w:rsidRDefault="008F586B" w:rsidP="00E661A9">
            <w:pPr>
              <w:numPr>
                <w:ilvl w:val="0"/>
                <w:numId w:val="281"/>
              </w:numPr>
              <w:spacing w:line="259" w:lineRule="auto"/>
              <w:jc w:val="both"/>
              <w:rPr>
                <w:rFonts w:cstheme="minorHAnsi"/>
                <w:szCs w:val="20"/>
              </w:rPr>
            </w:pPr>
            <w:r w:rsidRPr="008F586B">
              <w:rPr>
                <w:rFonts w:cstheme="minorHAnsi"/>
                <w:b/>
                <w:szCs w:val="20"/>
              </w:rPr>
              <w:t>Peer review</w:t>
            </w:r>
            <w:r w:rsidRPr="008F586B">
              <w:rPr>
                <w:rFonts w:cstheme="minorHAnsi"/>
                <w:szCs w:val="20"/>
              </w:rPr>
              <w:t>: ask a colleague unfamiliar with the data to explain what they see.</w:t>
            </w:r>
          </w:p>
          <w:p w14:paraId="57A20837" w14:textId="77777777" w:rsidR="008F586B" w:rsidRDefault="008F586B" w:rsidP="00E661A9">
            <w:pPr>
              <w:numPr>
                <w:ilvl w:val="0"/>
                <w:numId w:val="281"/>
              </w:numPr>
              <w:spacing w:line="259" w:lineRule="auto"/>
              <w:jc w:val="both"/>
              <w:rPr>
                <w:rFonts w:cstheme="minorHAnsi"/>
                <w:szCs w:val="20"/>
              </w:rPr>
            </w:pPr>
            <w:r w:rsidRPr="008F586B">
              <w:rPr>
                <w:rFonts w:cstheme="minorHAnsi"/>
                <w:b/>
                <w:szCs w:val="20"/>
              </w:rPr>
              <w:t>Publish with metadata</w:t>
            </w:r>
            <w:r w:rsidRPr="008F586B">
              <w:rPr>
                <w:rFonts w:cstheme="minorHAnsi"/>
                <w:szCs w:val="20"/>
              </w:rPr>
              <w:t>: date, version, and contact for questions.</w:t>
            </w:r>
          </w:p>
          <w:p w14:paraId="0F9B1D9E" w14:textId="77777777" w:rsidR="008F586B" w:rsidRDefault="008F586B" w:rsidP="008F586B">
            <w:pPr>
              <w:spacing w:line="259" w:lineRule="auto"/>
              <w:ind w:left="720"/>
              <w:rPr>
                <w:rFonts w:cstheme="minorHAnsi"/>
                <w:szCs w:val="20"/>
              </w:rPr>
            </w:pPr>
          </w:p>
          <w:p w14:paraId="6541740F" w14:textId="77777777" w:rsidR="00900767" w:rsidRPr="008F586B" w:rsidRDefault="00900767" w:rsidP="008F586B">
            <w:pPr>
              <w:spacing w:line="259" w:lineRule="auto"/>
              <w:ind w:left="720"/>
              <w:rPr>
                <w:rFonts w:cstheme="minorHAnsi"/>
                <w:szCs w:val="20"/>
              </w:rPr>
            </w:pPr>
          </w:p>
          <w:p w14:paraId="7E2201D7" w14:textId="77777777" w:rsidR="008F586B" w:rsidRPr="008F586B" w:rsidRDefault="008F586B" w:rsidP="00CD130A">
            <w:pPr>
              <w:rPr>
                <w:rFonts w:cstheme="minorHAnsi"/>
                <w:color w:val="009889" w:themeColor="accent2"/>
                <w:szCs w:val="20"/>
              </w:rPr>
            </w:pPr>
            <w:r w:rsidRPr="008F586B">
              <w:rPr>
                <w:rFonts w:cstheme="minorHAnsi"/>
                <w:noProof/>
                <w:color w:val="009889" w:themeColor="accent2"/>
                <w:szCs w:val="20"/>
              </w:rPr>
              <mc:AlternateContent>
                <mc:Choice Requires="wps">
                  <w:drawing>
                    <wp:inline distT="0" distB="0" distL="0" distR="0" wp14:anchorId="4D88EE87" wp14:editId="1933935A">
                      <wp:extent cx="0" cy="19050"/>
                      <wp:effectExtent l="0" t="0" r="0" b="0"/>
                      <wp:docPr id="61" name="_x0000_i103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478C0640" id="_x0000_i10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r w:rsidRPr="008F586B">
              <w:rPr>
                <w:rFonts w:cstheme="minorHAnsi"/>
                <w:b/>
                <w:color w:val="009889" w:themeColor="accent2"/>
                <w:szCs w:val="20"/>
              </w:rPr>
              <w:t>Checklists &amp; Heuristics</w:t>
            </w:r>
          </w:p>
          <w:p w14:paraId="79AD8977" w14:textId="77777777" w:rsidR="008F586B" w:rsidRPr="008F586B" w:rsidRDefault="008F586B" w:rsidP="00CD130A">
            <w:pPr>
              <w:rPr>
                <w:rFonts w:cstheme="minorHAnsi"/>
                <w:b/>
                <w:szCs w:val="20"/>
              </w:rPr>
            </w:pPr>
            <w:r w:rsidRPr="008F586B">
              <w:rPr>
                <w:rFonts w:cstheme="minorHAnsi"/>
                <w:b/>
                <w:szCs w:val="20"/>
              </w:rPr>
              <w:t>One</w:t>
            </w:r>
            <w:r w:rsidRPr="008F586B">
              <w:rPr>
                <w:rFonts w:cstheme="minorHAnsi"/>
                <w:b/>
                <w:bCs/>
                <w:szCs w:val="20"/>
              </w:rPr>
              <w:t>-</w:t>
            </w:r>
            <w:r w:rsidRPr="008F586B">
              <w:rPr>
                <w:rFonts w:cstheme="minorHAnsi"/>
                <w:b/>
                <w:szCs w:val="20"/>
              </w:rPr>
              <w:t>Minute Clarity Check</w:t>
            </w:r>
          </w:p>
          <w:p w14:paraId="117F9DE2" w14:textId="77777777" w:rsidR="008F586B" w:rsidRPr="008F586B" w:rsidRDefault="008F586B" w:rsidP="008F586B">
            <w:pPr>
              <w:numPr>
                <w:ilvl w:val="0"/>
                <w:numId w:val="282"/>
              </w:numPr>
              <w:spacing w:line="259" w:lineRule="auto"/>
              <w:rPr>
                <w:rFonts w:cstheme="minorHAnsi"/>
                <w:szCs w:val="20"/>
              </w:rPr>
            </w:pPr>
            <w:r w:rsidRPr="008F586B">
              <w:rPr>
                <w:rFonts w:cstheme="minorHAnsi"/>
                <w:szCs w:val="20"/>
              </w:rPr>
              <w:t>Can a new reader state the main message in one sentence?</w:t>
            </w:r>
          </w:p>
          <w:p w14:paraId="67D8A01F" w14:textId="77777777" w:rsidR="008F586B" w:rsidRPr="008F586B" w:rsidRDefault="008F586B" w:rsidP="008F586B">
            <w:pPr>
              <w:numPr>
                <w:ilvl w:val="0"/>
                <w:numId w:val="282"/>
              </w:numPr>
              <w:spacing w:line="259" w:lineRule="auto"/>
              <w:rPr>
                <w:rFonts w:cstheme="minorHAnsi"/>
                <w:szCs w:val="20"/>
              </w:rPr>
            </w:pPr>
            <w:r w:rsidRPr="008F586B">
              <w:rPr>
                <w:rFonts w:cstheme="minorHAnsi"/>
                <w:szCs w:val="20"/>
              </w:rPr>
              <w:t>Are units/timeframes immediately visible?</w:t>
            </w:r>
          </w:p>
          <w:p w14:paraId="7C83A7DD" w14:textId="77777777" w:rsidR="008F586B" w:rsidRPr="008F586B" w:rsidRDefault="008F586B" w:rsidP="008F586B">
            <w:pPr>
              <w:numPr>
                <w:ilvl w:val="0"/>
                <w:numId w:val="282"/>
              </w:numPr>
              <w:spacing w:line="259" w:lineRule="auto"/>
              <w:rPr>
                <w:rFonts w:cstheme="minorHAnsi"/>
                <w:szCs w:val="20"/>
              </w:rPr>
            </w:pPr>
            <w:r w:rsidRPr="008F586B">
              <w:rPr>
                <w:rFonts w:cstheme="minorHAnsi"/>
                <w:szCs w:val="20"/>
              </w:rPr>
              <w:t>Is the most important element visually salient?</w:t>
            </w:r>
          </w:p>
          <w:p w14:paraId="61CBCAFC" w14:textId="77777777" w:rsidR="008F586B" w:rsidRPr="008F586B" w:rsidRDefault="008F586B" w:rsidP="00CD130A">
            <w:pPr>
              <w:rPr>
                <w:rFonts w:cstheme="minorHAnsi"/>
                <w:b/>
                <w:szCs w:val="20"/>
              </w:rPr>
            </w:pPr>
            <w:r w:rsidRPr="008F586B">
              <w:rPr>
                <w:rFonts w:cstheme="minorHAnsi"/>
                <w:b/>
                <w:szCs w:val="20"/>
              </w:rPr>
              <w:lastRenderedPageBreak/>
              <w:t>Integrity Check</w:t>
            </w:r>
          </w:p>
          <w:p w14:paraId="62370F92" w14:textId="77777777" w:rsidR="008F586B" w:rsidRPr="008F586B" w:rsidRDefault="008F586B" w:rsidP="008F586B">
            <w:pPr>
              <w:numPr>
                <w:ilvl w:val="0"/>
                <w:numId w:val="283"/>
              </w:numPr>
              <w:spacing w:line="259" w:lineRule="auto"/>
              <w:rPr>
                <w:rFonts w:cstheme="minorHAnsi"/>
                <w:szCs w:val="20"/>
              </w:rPr>
            </w:pPr>
            <w:r w:rsidRPr="008F586B">
              <w:rPr>
                <w:rFonts w:cstheme="minorHAnsi"/>
                <w:szCs w:val="20"/>
              </w:rPr>
              <w:t>Zero baseline for bars? If not, clearly justified?</w:t>
            </w:r>
          </w:p>
          <w:p w14:paraId="755D2EB3" w14:textId="77777777" w:rsidR="008F586B" w:rsidRPr="008F586B" w:rsidRDefault="008F586B" w:rsidP="008F586B">
            <w:pPr>
              <w:numPr>
                <w:ilvl w:val="0"/>
                <w:numId w:val="283"/>
              </w:numPr>
              <w:spacing w:line="259" w:lineRule="auto"/>
              <w:rPr>
                <w:rFonts w:cstheme="minorHAnsi"/>
                <w:szCs w:val="20"/>
              </w:rPr>
            </w:pPr>
            <w:r w:rsidRPr="008F586B">
              <w:rPr>
                <w:rFonts w:cstheme="minorHAnsi"/>
                <w:szCs w:val="20"/>
              </w:rPr>
              <w:t>Any dual axes? If yes, can you replace with indexing or small multiples?</w:t>
            </w:r>
          </w:p>
          <w:p w14:paraId="12D580FE" w14:textId="77777777" w:rsidR="008F586B" w:rsidRPr="008F586B" w:rsidRDefault="008F586B" w:rsidP="008F586B">
            <w:pPr>
              <w:numPr>
                <w:ilvl w:val="0"/>
                <w:numId w:val="283"/>
              </w:numPr>
              <w:spacing w:line="259" w:lineRule="auto"/>
              <w:rPr>
                <w:rFonts w:cstheme="minorHAnsi"/>
                <w:szCs w:val="20"/>
              </w:rPr>
            </w:pPr>
            <w:r w:rsidRPr="008F586B">
              <w:rPr>
                <w:rFonts w:cstheme="minorHAnsi"/>
                <w:szCs w:val="20"/>
              </w:rPr>
              <w:t>Are scales consistent across small multiples?</w:t>
            </w:r>
          </w:p>
          <w:p w14:paraId="23C23C69" w14:textId="77777777" w:rsidR="008F586B" w:rsidRPr="008F586B" w:rsidRDefault="008F586B" w:rsidP="008F586B">
            <w:pPr>
              <w:numPr>
                <w:ilvl w:val="0"/>
                <w:numId w:val="283"/>
              </w:numPr>
              <w:spacing w:line="259" w:lineRule="auto"/>
              <w:rPr>
                <w:rFonts w:cstheme="minorHAnsi"/>
                <w:szCs w:val="20"/>
              </w:rPr>
            </w:pPr>
            <w:r w:rsidRPr="008F586B">
              <w:rPr>
                <w:rFonts w:cstheme="minorHAnsi"/>
                <w:szCs w:val="20"/>
              </w:rPr>
              <w:t>Are sources, scope boundaries, and methods disclosed?</w:t>
            </w:r>
          </w:p>
          <w:p w14:paraId="6D943B18" w14:textId="77777777" w:rsidR="008F586B" w:rsidRPr="008F586B" w:rsidRDefault="008F586B" w:rsidP="00CD130A">
            <w:pPr>
              <w:rPr>
                <w:rFonts w:cstheme="minorHAnsi"/>
                <w:b/>
                <w:szCs w:val="20"/>
              </w:rPr>
            </w:pPr>
            <w:r w:rsidRPr="008F586B">
              <w:rPr>
                <w:rFonts w:cstheme="minorHAnsi"/>
                <w:b/>
                <w:szCs w:val="20"/>
              </w:rPr>
              <w:t>Accessibility Check</w:t>
            </w:r>
          </w:p>
          <w:p w14:paraId="6AABF556" w14:textId="77777777" w:rsidR="008F586B" w:rsidRPr="008F586B" w:rsidRDefault="008F586B" w:rsidP="008F586B">
            <w:pPr>
              <w:numPr>
                <w:ilvl w:val="0"/>
                <w:numId w:val="284"/>
              </w:numPr>
              <w:spacing w:line="259" w:lineRule="auto"/>
              <w:rPr>
                <w:rFonts w:cstheme="minorHAnsi"/>
                <w:szCs w:val="20"/>
              </w:rPr>
            </w:pPr>
            <w:r w:rsidRPr="008F586B">
              <w:rPr>
                <w:rFonts w:cstheme="minorHAnsi"/>
                <w:szCs w:val="20"/>
              </w:rPr>
              <w:t>Colour-blind friendly palette or alternative encodings present.</w:t>
            </w:r>
          </w:p>
          <w:p w14:paraId="61EFDA8D" w14:textId="77777777" w:rsidR="008F586B" w:rsidRPr="008F586B" w:rsidRDefault="008F586B" w:rsidP="008F586B">
            <w:pPr>
              <w:numPr>
                <w:ilvl w:val="0"/>
                <w:numId w:val="284"/>
              </w:numPr>
              <w:spacing w:line="259" w:lineRule="auto"/>
              <w:rPr>
                <w:rFonts w:cstheme="minorHAnsi"/>
                <w:szCs w:val="20"/>
              </w:rPr>
            </w:pPr>
            <w:r w:rsidRPr="008F586B">
              <w:rPr>
                <w:rFonts w:cstheme="minorHAnsi"/>
                <w:szCs w:val="20"/>
              </w:rPr>
              <w:t>Labels readable on small screens (min 12pt) or responsive UI provided.</w:t>
            </w:r>
          </w:p>
          <w:p w14:paraId="49A04C28" w14:textId="77777777" w:rsidR="008F586B" w:rsidRPr="008F586B" w:rsidRDefault="008F586B" w:rsidP="00CD130A">
            <w:pPr>
              <w:spacing w:line="259" w:lineRule="auto"/>
              <w:rPr>
                <w:rFonts w:cstheme="minorHAnsi"/>
                <w:szCs w:val="20"/>
              </w:rPr>
            </w:pPr>
          </w:p>
          <w:p w14:paraId="25967AD1" w14:textId="77777777" w:rsidR="008F586B" w:rsidRDefault="008F586B" w:rsidP="00CD130A">
            <w:pPr>
              <w:spacing w:line="259" w:lineRule="auto"/>
              <w:rPr>
                <w:rFonts w:cstheme="minorHAnsi"/>
                <w:szCs w:val="20"/>
              </w:rPr>
            </w:pPr>
            <w:r w:rsidRPr="008F586B">
              <w:rPr>
                <w:rFonts w:cstheme="minorHAnsi"/>
                <w:szCs w:val="20"/>
              </w:rPr>
              <w:t xml:space="preserve">Now you have learned in-depth about building a good data visualization. Check out this short video by </w:t>
            </w:r>
            <w:proofErr w:type="spellStart"/>
            <w:r w:rsidRPr="008F586B">
              <w:rPr>
                <w:rFonts w:cstheme="minorHAnsi"/>
                <w:szCs w:val="20"/>
              </w:rPr>
              <w:t>Jotform</w:t>
            </w:r>
            <w:proofErr w:type="spellEnd"/>
            <w:r w:rsidRPr="008F586B">
              <w:rPr>
                <w:rFonts w:cstheme="minorHAnsi"/>
                <w:szCs w:val="20"/>
              </w:rPr>
              <w:t xml:space="preserve"> to conclude this chapter: </w:t>
            </w:r>
          </w:p>
          <w:p w14:paraId="672D61BF" w14:textId="77777777" w:rsidR="002074FD" w:rsidRPr="008F586B" w:rsidRDefault="002074FD" w:rsidP="00CD130A">
            <w:pPr>
              <w:spacing w:line="259" w:lineRule="auto"/>
              <w:rPr>
                <w:rFonts w:cstheme="minorHAnsi"/>
                <w:szCs w:val="20"/>
              </w:rPr>
            </w:pPr>
          </w:p>
          <w:p w14:paraId="6AD8399D" w14:textId="77777777" w:rsidR="002074FD" w:rsidRPr="002074FD" w:rsidRDefault="002074FD" w:rsidP="002074FD">
            <w:pPr>
              <w:keepNext/>
              <w:spacing w:line="259" w:lineRule="auto"/>
              <w:jc w:val="center"/>
            </w:pPr>
            <w:r w:rsidRPr="002074FD">
              <w:rPr>
                <w:rFonts w:cstheme="minorHAnsi"/>
                <w:noProof/>
                <w:szCs w:val="20"/>
              </w:rPr>
              <w:drawing>
                <wp:inline distT="0" distB="0" distL="0" distR="0" wp14:anchorId="214682E1" wp14:editId="62C2020D">
                  <wp:extent cx="5383479" cy="4037610"/>
                  <wp:effectExtent l="0" t="0" r="8255" b="1270"/>
                  <wp:docPr id="110082565" name="Video 18" descr="6 Data Visualization Best Practice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2565" name="Video 18" descr="6 Data Visualization Best Practices">
                            <a:hlinkClick r:id="rId77"/>
                          </pic:cNvPr>
                          <pic:cNvPicPr/>
                        </pic:nvPicPr>
                        <pic:blipFill>
                          <a:blip r:embed="rId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kWxlkv0aTc?feature=oembed&quot; frameborder=&quot;0&quot; allow=&quot;accelerometer; autoplay; clipboard-write; encrypted-media; gyroscope; picture-in-picture; web-share&quot; referrerpolicy=&quot;strict-origin-when-cross-origin&quot; allowfullscreen=&quot;&quot; title=&quot;6 Data Visualization Best Practices&quot; sandbox=&quot;allow-scripts allow-same-origin allow-popups&quot;&gt;&lt;/iframe&gt;" h="113" w="200"/>
                              </a:ext>
                            </a:extLst>
                          </a:blip>
                          <a:stretch>
                            <a:fillRect/>
                          </a:stretch>
                        </pic:blipFill>
                        <pic:spPr>
                          <a:xfrm>
                            <a:off x="0" y="0"/>
                            <a:ext cx="5394009" cy="4045508"/>
                          </a:xfrm>
                          <a:prstGeom prst="rect">
                            <a:avLst/>
                          </a:prstGeom>
                        </pic:spPr>
                      </pic:pic>
                    </a:graphicData>
                  </a:graphic>
                </wp:inline>
              </w:drawing>
            </w:r>
          </w:p>
          <w:p w14:paraId="18F26710" w14:textId="5440F3DB" w:rsidR="008F586B" w:rsidRPr="002074FD" w:rsidRDefault="002074FD" w:rsidP="002074FD">
            <w:pPr>
              <w:pStyle w:val="Caption"/>
              <w:jc w:val="center"/>
              <w:rPr>
                <w:rFonts w:cstheme="minorHAnsi"/>
                <w:b w:val="0"/>
                <w:bCs w:val="0"/>
                <w:szCs w:val="20"/>
              </w:rPr>
            </w:pPr>
            <w:bookmarkStart w:id="52" w:name="_Toc227738766"/>
            <w:r w:rsidRPr="002074FD">
              <w:rPr>
                <w:b w:val="0"/>
                <w:bCs w:val="0"/>
              </w:rPr>
              <w:t xml:space="preserve">Video </w:t>
            </w:r>
            <w:r w:rsidRPr="002074FD">
              <w:rPr>
                <w:b w:val="0"/>
                <w:bCs w:val="0"/>
              </w:rPr>
              <w:fldChar w:fldCharType="begin"/>
            </w:r>
            <w:r w:rsidRPr="002074FD">
              <w:rPr>
                <w:b w:val="0"/>
                <w:bCs w:val="0"/>
              </w:rPr>
              <w:instrText xml:space="preserve"> SEQ Video \* ARABIC </w:instrText>
            </w:r>
            <w:r w:rsidRPr="002074FD">
              <w:rPr>
                <w:b w:val="0"/>
                <w:bCs w:val="0"/>
              </w:rPr>
              <w:fldChar w:fldCharType="separate"/>
            </w:r>
            <w:r>
              <w:rPr>
                <w:b w:val="0"/>
                <w:bCs w:val="0"/>
                <w:noProof/>
              </w:rPr>
              <w:t>9</w:t>
            </w:r>
            <w:r w:rsidRPr="002074FD">
              <w:rPr>
                <w:b w:val="0"/>
                <w:bCs w:val="0"/>
              </w:rPr>
              <w:fldChar w:fldCharType="end"/>
            </w:r>
            <w:r w:rsidRPr="002074FD">
              <w:rPr>
                <w:b w:val="0"/>
                <w:bCs w:val="0"/>
              </w:rPr>
              <w:t xml:space="preserve">. </w:t>
            </w:r>
            <w:r w:rsidRPr="002074FD">
              <w:rPr>
                <w:b w:val="0"/>
                <w:bCs w:val="0"/>
                <w:lang w:val="et-EE"/>
              </w:rPr>
              <w:t xml:space="preserve">Building a good data visualization </w:t>
            </w:r>
            <w:r w:rsidRPr="002074FD">
              <w:rPr>
                <w:b w:val="0"/>
                <w:bCs w:val="0"/>
              </w:rPr>
              <w:t xml:space="preserve"> (https://www.youtube.com/watch?v=ZkWxlkv0aTc)</w:t>
            </w:r>
            <w:bookmarkEnd w:id="52"/>
          </w:p>
          <w:p w14:paraId="2668A110" w14:textId="77777777" w:rsidR="008F586B" w:rsidRPr="008F586B" w:rsidRDefault="008F586B" w:rsidP="00CD130A">
            <w:pPr>
              <w:rPr>
                <w:rFonts w:cstheme="minorHAnsi"/>
                <w:b/>
                <w:color w:val="00AC4E" w:themeColor="accent1"/>
                <w:szCs w:val="20"/>
              </w:rPr>
            </w:pPr>
          </w:p>
          <w:p w14:paraId="701689BE" w14:textId="77777777" w:rsidR="008F586B" w:rsidRDefault="008F586B" w:rsidP="00CD130A">
            <w:pPr>
              <w:rPr>
                <w:rFonts w:cstheme="minorHAnsi"/>
                <w:b/>
                <w:color w:val="00AC4E" w:themeColor="accent1"/>
                <w:szCs w:val="20"/>
              </w:rPr>
            </w:pPr>
            <w:r w:rsidRPr="008F586B">
              <w:rPr>
                <w:rFonts w:cstheme="minorHAnsi"/>
                <w:b/>
                <w:color w:val="00AC4E" w:themeColor="accent1"/>
                <w:szCs w:val="20"/>
              </w:rPr>
              <w:t xml:space="preserve">Micro-activity: </w:t>
            </w:r>
          </w:p>
          <w:p w14:paraId="16F7AAE5" w14:textId="274729AD" w:rsidR="008F586B" w:rsidRPr="008F586B" w:rsidRDefault="008F586B" w:rsidP="00972D72">
            <w:pPr>
              <w:jc w:val="both"/>
              <w:rPr>
                <w:rFonts w:cstheme="minorHAnsi"/>
                <w:szCs w:val="20"/>
              </w:rPr>
            </w:pPr>
            <w:r w:rsidRPr="008F586B">
              <w:rPr>
                <w:rFonts w:cstheme="minorHAnsi"/>
                <w:szCs w:val="20"/>
              </w:rPr>
              <w:t xml:space="preserve">Find a sustainability or ESG chart published in a corporate annual report or sustainability report (any company). Using the checklist from this topic, identify at least two strengths and one weakness of the chart. Consider: Does it use the right chart type for the data? Is the baseline at zero (for bars)? Are units and sources clearly labelled? </w:t>
            </w:r>
          </w:p>
          <w:p w14:paraId="3663E2FE" w14:textId="77777777" w:rsidR="008F586B" w:rsidRPr="008F586B" w:rsidRDefault="008F586B" w:rsidP="00CD130A">
            <w:pPr>
              <w:rPr>
                <w:rFonts w:cstheme="minorHAnsi"/>
                <w:szCs w:val="20"/>
              </w:rPr>
            </w:pPr>
          </w:p>
          <w:p w14:paraId="3107EEE9" w14:textId="77777777" w:rsidR="008F586B" w:rsidRPr="008F586B" w:rsidRDefault="008F586B" w:rsidP="00CD130A">
            <w:pPr>
              <w:rPr>
                <w:rFonts w:cstheme="minorHAnsi"/>
                <w:szCs w:val="20"/>
              </w:rPr>
            </w:pPr>
            <w:r w:rsidRPr="008F586B">
              <w:rPr>
                <w:rFonts w:cstheme="minorHAnsi"/>
                <w:b/>
                <w:color w:val="00AC4E" w:themeColor="accent1"/>
                <w:szCs w:val="20"/>
              </w:rPr>
              <w:t xml:space="preserve">Additional reading: </w:t>
            </w:r>
          </w:p>
          <w:p w14:paraId="186522CF" w14:textId="77777777" w:rsidR="008F586B" w:rsidRPr="008F586B" w:rsidRDefault="008F586B" w:rsidP="008F586B">
            <w:pPr>
              <w:pStyle w:val="ListParagraph"/>
              <w:numPr>
                <w:ilvl w:val="0"/>
                <w:numId w:val="303"/>
              </w:numPr>
              <w:jc w:val="both"/>
              <w:rPr>
                <w:rFonts w:cstheme="minorHAnsi"/>
                <w:szCs w:val="20"/>
              </w:rPr>
            </w:pPr>
            <w:r w:rsidRPr="008F586B">
              <w:rPr>
                <w:rFonts w:cstheme="minorHAnsi"/>
                <w:szCs w:val="20"/>
              </w:rPr>
              <w:t xml:space="preserve">Polymer Research. 2024. Examples of Good and Bad Visualizations. </w:t>
            </w:r>
            <w:hyperlink r:id="rId79" w:tooltip="https://www.polymersearch.com/blog/10-good-and-bad-examples-of-data-visualization" w:history="1">
              <w:r w:rsidRPr="008F586B">
                <w:rPr>
                  <w:rStyle w:val="Hyperlink"/>
                  <w:rFonts w:cstheme="minorHAnsi"/>
                  <w:color w:val="auto"/>
                  <w:szCs w:val="20"/>
                </w:rPr>
                <w:t>https://www.polymersearch.com/blog/10-good-and-bad-examples-of-data-visualization</w:t>
              </w:r>
            </w:hyperlink>
            <w:r w:rsidRPr="008F586B">
              <w:rPr>
                <w:rFonts w:cstheme="minorHAnsi"/>
                <w:szCs w:val="20"/>
              </w:rPr>
              <w:t xml:space="preserve"> (Accessed: 04.03.2026)</w:t>
            </w:r>
          </w:p>
          <w:p w14:paraId="7AF52195" w14:textId="77777777" w:rsidR="008F586B" w:rsidRPr="008F586B" w:rsidRDefault="008F586B" w:rsidP="00CD130A">
            <w:pPr>
              <w:pStyle w:val="ListParagraph"/>
              <w:rPr>
                <w:rFonts w:cstheme="minorHAnsi"/>
                <w:szCs w:val="20"/>
              </w:rPr>
            </w:pPr>
          </w:p>
          <w:p w14:paraId="29164EC9" w14:textId="4CF5F1D7" w:rsidR="008F586B" w:rsidRPr="008F586B" w:rsidRDefault="008F586B" w:rsidP="00CD130A">
            <w:pPr>
              <w:rPr>
                <w:rFonts w:cstheme="minorHAnsi"/>
                <w:szCs w:val="20"/>
              </w:rPr>
            </w:pPr>
            <w:r w:rsidRPr="008F586B">
              <w:rPr>
                <w:rFonts w:cstheme="minorHAnsi"/>
                <w:b/>
                <w:color w:val="00AC4E" w:themeColor="accent1"/>
                <w:szCs w:val="20"/>
              </w:rPr>
              <w:lastRenderedPageBreak/>
              <w:t>Key Takeaways:</w:t>
            </w:r>
          </w:p>
          <w:p w14:paraId="57D94006" w14:textId="77777777" w:rsidR="008F586B" w:rsidRPr="008F586B" w:rsidRDefault="008F586B" w:rsidP="008F586B">
            <w:pPr>
              <w:pStyle w:val="ListParagraph"/>
              <w:numPr>
                <w:ilvl w:val="0"/>
                <w:numId w:val="262"/>
              </w:numPr>
              <w:jc w:val="both"/>
              <w:rPr>
                <w:rFonts w:cstheme="minorHAnsi"/>
                <w:szCs w:val="20"/>
              </w:rPr>
            </w:pPr>
            <w:r w:rsidRPr="008F586B">
              <w:rPr>
                <w:rFonts w:cstheme="minorHAnsi"/>
                <w:szCs w:val="20"/>
              </w:rPr>
              <w:t>Pre-attentive attributes (position, length, colour) are processed almost instantly; use them deliberately to direct attention to what matters most.</w:t>
            </w:r>
          </w:p>
          <w:p w14:paraId="4479F933" w14:textId="77777777" w:rsidR="008F586B" w:rsidRPr="008F586B" w:rsidRDefault="008F586B" w:rsidP="008F586B">
            <w:pPr>
              <w:pStyle w:val="ListParagraph"/>
              <w:numPr>
                <w:ilvl w:val="0"/>
                <w:numId w:val="262"/>
              </w:numPr>
              <w:jc w:val="both"/>
              <w:rPr>
                <w:rFonts w:cstheme="minorHAnsi"/>
                <w:szCs w:val="20"/>
              </w:rPr>
            </w:pPr>
            <w:r w:rsidRPr="008F586B">
              <w:rPr>
                <w:rFonts w:cstheme="minorHAnsi"/>
                <w:szCs w:val="20"/>
              </w:rPr>
              <w:t>Choose chart types based on the analytical task (compare, trend, distribution, part-to-whole, relationship) rather than aesthetics.</w:t>
            </w:r>
          </w:p>
          <w:p w14:paraId="1659FD43" w14:textId="77777777" w:rsidR="008F586B" w:rsidRPr="008F586B" w:rsidRDefault="008F586B" w:rsidP="008F586B">
            <w:pPr>
              <w:pStyle w:val="ListParagraph"/>
              <w:numPr>
                <w:ilvl w:val="0"/>
                <w:numId w:val="262"/>
              </w:numPr>
              <w:jc w:val="both"/>
              <w:rPr>
                <w:rFonts w:cstheme="minorHAnsi"/>
                <w:szCs w:val="20"/>
              </w:rPr>
            </w:pPr>
            <w:r w:rsidRPr="008F586B">
              <w:rPr>
                <w:rFonts w:cstheme="minorHAnsi"/>
                <w:szCs w:val="20"/>
              </w:rPr>
              <w:t>Integrity in ESG visuals requires zero-based bar axes, consistent scales, disclosed sources and methods.</w:t>
            </w:r>
          </w:p>
          <w:p w14:paraId="15559DC1" w14:textId="77777777" w:rsidR="008F586B" w:rsidRPr="008F586B" w:rsidRDefault="008F586B" w:rsidP="00CD130A">
            <w:pPr>
              <w:rPr>
                <w:rFonts w:cstheme="minorHAnsi"/>
                <w:b/>
                <w:color w:val="00AC4E" w:themeColor="accent1"/>
                <w:szCs w:val="20"/>
              </w:rPr>
            </w:pPr>
          </w:p>
          <w:p w14:paraId="1091A140" w14:textId="77777777" w:rsidR="008F586B" w:rsidRPr="008F586B" w:rsidRDefault="008F586B" w:rsidP="00CD130A">
            <w:pPr>
              <w:rPr>
                <w:rFonts w:cstheme="minorHAnsi"/>
                <w:szCs w:val="20"/>
              </w:rPr>
            </w:pPr>
            <w:r w:rsidRPr="008F586B">
              <w:rPr>
                <w:rFonts w:cstheme="minorHAnsi"/>
                <w:b/>
                <w:color w:val="00AC4E" w:themeColor="accent1"/>
                <w:szCs w:val="20"/>
              </w:rPr>
              <w:t xml:space="preserve">Quick Check: </w:t>
            </w:r>
          </w:p>
          <w:p w14:paraId="3DE3C734" w14:textId="77777777" w:rsidR="008F586B" w:rsidRPr="008F586B" w:rsidRDefault="008F586B" w:rsidP="008F586B">
            <w:pPr>
              <w:pStyle w:val="ListParagraph"/>
              <w:numPr>
                <w:ilvl w:val="0"/>
                <w:numId w:val="304"/>
              </w:numPr>
              <w:jc w:val="both"/>
              <w:rPr>
                <w:rFonts w:cstheme="minorHAnsi"/>
                <w:color w:val="009889" w:themeColor="accent2"/>
                <w:szCs w:val="20"/>
              </w:rPr>
            </w:pPr>
            <w:r w:rsidRPr="008F586B">
              <w:rPr>
                <w:rFonts w:cstheme="minorHAnsi"/>
                <w:color w:val="009889" w:themeColor="accent2"/>
                <w:szCs w:val="20"/>
              </w:rPr>
              <w:t>True or False: A bar chart’s baseline may start above zero to highlight small differences between values without any labelling or justification.</w:t>
            </w:r>
          </w:p>
          <w:p w14:paraId="665DDD25" w14:textId="77777777" w:rsidR="008F586B" w:rsidRPr="008F586B" w:rsidRDefault="008F586B" w:rsidP="00CD130A">
            <w:pPr>
              <w:pStyle w:val="ListParagraph"/>
              <w:rPr>
                <w:rFonts w:cstheme="minorHAnsi"/>
                <w:szCs w:val="20"/>
              </w:rPr>
            </w:pPr>
          </w:p>
          <w:p w14:paraId="39F9CAAE" w14:textId="77777777" w:rsidR="008F586B" w:rsidRPr="008F586B" w:rsidRDefault="008F586B" w:rsidP="008F586B">
            <w:pPr>
              <w:pStyle w:val="ListParagraph"/>
              <w:numPr>
                <w:ilvl w:val="0"/>
                <w:numId w:val="304"/>
              </w:numPr>
              <w:rPr>
                <w:rFonts w:cstheme="minorHAnsi"/>
                <w:szCs w:val="20"/>
              </w:rPr>
            </w:pPr>
            <w:r w:rsidRPr="008F586B">
              <w:rPr>
                <w:rFonts w:cstheme="minorHAnsi"/>
                <w:color w:val="009889" w:themeColor="accent2"/>
                <w:szCs w:val="20"/>
              </w:rPr>
              <w:t>Which chart type is most appropriate for displaying the distribution of gender pay gap values across 12 business units?</w:t>
            </w:r>
            <w:r w:rsidRPr="008F586B">
              <w:rPr>
                <w:rFonts w:cstheme="minorHAnsi"/>
                <w:color w:val="009889" w:themeColor="accent2"/>
                <w:szCs w:val="20"/>
              </w:rPr>
              <w:br/>
            </w:r>
            <w:r w:rsidRPr="008F586B">
              <w:rPr>
                <w:rFonts w:cstheme="minorHAnsi"/>
                <w:szCs w:val="20"/>
              </w:rPr>
              <w:t xml:space="preserve">a) Pie chart  </w:t>
            </w:r>
          </w:p>
          <w:p w14:paraId="3EE140D0" w14:textId="77777777" w:rsidR="008F586B" w:rsidRPr="008F586B" w:rsidRDefault="008F586B" w:rsidP="008F586B">
            <w:pPr>
              <w:pStyle w:val="ListParagraph"/>
              <w:ind w:left="360"/>
              <w:rPr>
                <w:rFonts w:cstheme="minorHAnsi"/>
                <w:szCs w:val="20"/>
              </w:rPr>
            </w:pPr>
            <w:r w:rsidRPr="008F586B">
              <w:rPr>
                <w:rFonts w:cstheme="minorHAnsi"/>
                <w:szCs w:val="20"/>
              </w:rPr>
              <w:t xml:space="preserve">b) Box/violin plot  </w:t>
            </w:r>
          </w:p>
          <w:p w14:paraId="62804FF7" w14:textId="77777777" w:rsidR="008F586B" w:rsidRPr="008F586B" w:rsidRDefault="008F586B" w:rsidP="008F586B">
            <w:pPr>
              <w:pStyle w:val="ListParagraph"/>
              <w:ind w:left="360"/>
              <w:rPr>
                <w:rFonts w:cstheme="minorHAnsi"/>
                <w:szCs w:val="20"/>
              </w:rPr>
            </w:pPr>
            <w:r w:rsidRPr="008F586B">
              <w:rPr>
                <w:rFonts w:cstheme="minorHAnsi"/>
                <w:szCs w:val="20"/>
              </w:rPr>
              <w:t xml:space="preserve">c) Line chart  </w:t>
            </w:r>
          </w:p>
          <w:p w14:paraId="6F889FDA" w14:textId="77777777" w:rsidR="008F586B" w:rsidRPr="008F586B" w:rsidRDefault="008F586B" w:rsidP="008F586B">
            <w:pPr>
              <w:pStyle w:val="ListParagraph"/>
              <w:ind w:left="360"/>
              <w:rPr>
                <w:rFonts w:cstheme="minorHAnsi"/>
                <w:szCs w:val="20"/>
              </w:rPr>
            </w:pPr>
            <w:r w:rsidRPr="008F586B">
              <w:rPr>
                <w:rFonts w:cstheme="minorHAnsi"/>
                <w:szCs w:val="20"/>
              </w:rPr>
              <w:t>d) Stacked bar chart</w:t>
            </w:r>
          </w:p>
          <w:p w14:paraId="67696854" w14:textId="77777777" w:rsidR="008F586B" w:rsidRPr="008F586B" w:rsidRDefault="008F586B" w:rsidP="00CD130A">
            <w:pPr>
              <w:pStyle w:val="ListParagraph"/>
              <w:rPr>
                <w:rFonts w:cstheme="minorHAnsi"/>
                <w:szCs w:val="20"/>
              </w:rPr>
            </w:pPr>
          </w:p>
          <w:p w14:paraId="51D43B5A" w14:textId="3AEBC51F" w:rsidR="008F586B" w:rsidRPr="008F586B" w:rsidRDefault="008F586B" w:rsidP="00CD130A">
            <w:pPr>
              <w:rPr>
                <w:rFonts w:cstheme="minorHAnsi"/>
                <w:szCs w:val="20"/>
              </w:rPr>
            </w:pPr>
            <w:r w:rsidRPr="008F586B">
              <w:rPr>
                <w:rFonts w:cstheme="minorHAnsi"/>
                <w:i/>
                <w:szCs w:val="20"/>
              </w:rPr>
              <w:t>Answer key: 1</w:t>
            </w:r>
            <w:r>
              <w:rPr>
                <w:rFonts w:cstheme="minorHAnsi"/>
                <w:i/>
                <w:szCs w:val="20"/>
              </w:rPr>
              <w:t>.</w:t>
            </w:r>
            <w:r w:rsidRPr="008F586B">
              <w:rPr>
                <w:rFonts w:cstheme="minorHAnsi"/>
                <w:i/>
                <w:szCs w:val="20"/>
              </w:rPr>
              <w:t xml:space="preserve"> False; 2</w:t>
            </w:r>
            <w:r>
              <w:rPr>
                <w:rFonts w:cstheme="minorHAnsi"/>
                <w:i/>
                <w:szCs w:val="20"/>
              </w:rPr>
              <w:t>.</w:t>
            </w:r>
            <w:r w:rsidRPr="008F586B">
              <w:rPr>
                <w:rFonts w:cstheme="minorHAnsi"/>
                <w:i/>
                <w:szCs w:val="20"/>
              </w:rPr>
              <w:t xml:space="preserve"> b)</w:t>
            </w:r>
          </w:p>
        </w:tc>
      </w:tr>
    </w:tbl>
    <w:p w14:paraId="5510FE0E" w14:textId="77777777" w:rsidR="00972D72" w:rsidRDefault="00972D72">
      <w:r>
        <w:lastRenderedPageBreak/>
        <w:br w:type="page"/>
      </w:r>
    </w:p>
    <w:tbl>
      <w:tblPr>
        <w:tblStyle w:val="TableGrid"/>
        <w:tblW w:w="0" w:type="auto"/>
        <w:tblLook w:val="04A0" w:firstRow="1" w:lastRow="0" w:firstColumn="1" w:lastColumn="0" w:noHBand="0" w:noVBand="1"/>
      </w:tblPr>
      <w:tblGrid>
        <w:gridCol w:w="9628"/>
      </w:tblGrid>
      <w:tr w:rsidR="00972D72" w:rsidRPr="008F586B" w14:paraId="56E7EF09" w14:textId="77777777" w:rsidTr="008F586B">
        <w:tc>
          <w:tcPr>
            <w:tcW w:w="9628" w:type="dxa"/>
          </w:tcPr>
          <w:p w14:paraId="3DD6076E" w14:textId="743DF32F" w:rsidR="00972D72" w:rsidRPr="008F586B" w:rsidRDefault="00972D72" w:rsidP="00972D72">
            <w:pPr>
              <w:pStyle w:val="Heading2"/>
              <w:numPr>
                <w:ilvl w:val="0"/>
                <w:numId w:val="0"/>
              </w:numPr>
              <w:jc w:val="both"/>
              <w:rPr>
                <w:rFonts w:cstheme="minorHAnsi"/>
                <w:b/>
                <w:color w:val="00AC4E" w:themeColor="accent1"/>
                <w:szCs w:val="20"/>
              </w:rPr>
            </w:pPr>
            <w:bookmarkStart w:id="53" w:name="_Toc227485174"/>
            <w:r w:rsidRPr="008F586B">
              <w:lastRenderedPageBreak/>
              <w:t>Topic 3.2: Building Interactive Dashboards with BI Tools (Power BI)</w:t>
            </w:r>
            <w:bookmarkEnd w:id="53"/>
          </w:p>
        </w:tc>
      </w:tr>
      <w:tr w:rsidR="00972D72" w:rsidRPr="008F586B" w14:paraId="285AF75F" w14:textId="77777777" w:rsidTr="00972D72">
        <w:tc>
          <w:tcPr>
            <w:tcW w:w="9628" w:type="dxa"/>
            <w:shd w:val="clear" w:color="auto" w:fill="D9D9D9" w:themeFill="background1" w:themeFillShade="D9"/>
          </w:tcPr>
          <w:p w14:paraId="0AACF5B6" w14:textId="09423A92" w:rsidR="00972D72" w:rsidRPr="00972D72" w:rsidRDefault="00972D72" w:rsidP="00972D72">
            <w:pPr>
              <w:jc w:val="both"/>
              <w:rPr>
                <w:rFonts w:cstheme="minorHAnsi"/>
                <w:b/>
                <w:szCs w:val="20"/>
              </w:rPr>
            </w:pPr>
            <w:r w:rsidRPr="00972D72">
              <w:rPr>
                <w:rFonts w:cstheme="minorHAnsi"/>
                <w:b/>
                <w:szCs w:val="20"/>
              </w:rPr>
              <w:t>Short introduction:</w:t>
            </w:r>
          </w:p>
        </w:tc>
      </w:tr>
      <w:tr w:rsidR="00972D72" w:rsidRPr="008F586B" w14:paraId="086CF656" w14:textId="77777777" w:rsidTr="008F586B">
        <w:tc>
          <w:tcPr>
            <w:tcW w:w="9628" w:type="dxa"/>
          </w:tcPr>
          <w:p w14:paraId="5CB632B7" w14:textId="77777777" w:rsidR="00972D72" w:rsidRPr="008F586B" w:rsidRDefault="00972D72" w:rsidP="00972D72">
            <w:pPr>
              <w:jc w:val="both"/>
              <w:rPr>
                <w:rFonts w:cstheme="minorHAnsi"/>
                <w:szCs w:val="20"/>
              </w:rPr>
            </w:pPr>
            <w:r w:rsidRPr="008F586B">
              <w:rPr>
                <w:rFonts w:cstheme="minorHAnsi"/>
                <w:szCs w:val="20"/>
              </w:rPr>
              <w:t>Business Intelligence tools such as Power BI allow sustainability professionals to build interactive, data-driven dashboards from multiple data sources. This topic provides a step-by-step guide to importing data, building data models, creating visuals, calculating KPIs with DAX, and sharing reports via the Power BI web service. Similar steps can be taken in other data visualization tools.</w:t>
            </w:r>
          </w:p>
          <w:p w14:paraId="0A23547D" w14:textId="77777777" w:rsidR="00972D72" w:rsidRPr="008F586B" w:rsidRDefault="00972D72" w:rsidP="00972D72">
            <w:pPr>
              <w:jc w:val="both"/>
              <w:rPr>
                <w:rFonts w:cstheme="minorHAnsi"/>
                <w:b/>
                <w:color w:val="00AC4E" w:themeColor="accent1"/>
                <w:szCs w:val="20"/>
              </w:rPr>
            </w:pPr>
          </w:p>
        </w:tc>
      </w:tr>
      <w:tr w:rsidR="00972D72" w:rsidRPr="008F586B" w14:paraId="72FCE0C4" w14:textId="77777777" w:rsidTr="00972D72">
        <w:tc>
          <w:tcPr>
            <w:tcW w:w="9628" w:type="dxa"/>
            <w:shd w:val="clear" w:color="auto" w:fill="D9D9D9" w:themeFill="background1" w:themeFillShade="D9"/>
          </w:tcPr>
          <w:p w14:paraId="13099DF1" w14:textId="4930B1EA" w:rsidR="00972D72" w:rsidRPr="00972D72" w:rsidRDefault="00972D72" w:rsidP="00972D72">
            <w:pPr>
              <w:jc w:val="both"/>
              <w:rPr>
                <w:rFonts w:cstheme="minorHAnsi"/>
                <w:b/>
                <w:szCs w:val="20"/>
              </w:rPr>
            </w:pPr>
            <w:r w:rsidRPr="00972D72">
              <w:rPr>
                <w:rFonts w:cstheme="minorHAnsi"/>
                <w:b/>
                <w:szCs w:val="20"/>
              </w:rPr>
              <w:t xml:space="preserve">Theory &amp; Knowledge: </w:t>
            </w:r>
          </w:p>
        </w:tc>
      </w:tr>
      <w:tr w:rsidR="008F586B" w:rsidRPr="008F586B" w14:paraId="57A6EE66" w14:textId="77777777" w:rsidTr="008F586B">
        <w:tc>
          <w:tcPr>
            <w:tcW w:w="9628" w:type="dxa"/>
          </w:tcPr>
          <w:p w14:paraId="310B6996" w14:textId="386B46C8" w:rsidR="008F586B" w:rsidRDefault="008F586B" w:rsidP="00972D72">
            <w:pPr>
              <w:jc w:val="both"/>
              <w:rPr>
                <w:rFonts w:cstheme="minorHAnsi"/>
                <w:szCs w:val="20"/>
              </w:rPr>
            </w:pPr>
            <w:r w:rsidRPr="008F586B">
              <w:rPr>
                <w:rFonts w:cstheme="minorHAnsi"/>
                <w:szCs w:val="20"/>
              </w:rPr>
              <w:t>Creating an interactive report includes 5 steps (see Figure 1</w:t>
            </w:r>
            <w:r w:rsidR="00972D72">
              <w:rPr>
                <w:rFonts w:cstheme="minorHAnsi"/>
                <w:szCs w:val="20"/>
              </w:rPr>
              <w:t>6</w:t>
            </w:r>
            <w:r w:rsidRPr="008F586B">
              <w:rPr>
                <w:rFonts w:cstheme="minorHAnsi"/>
                <w:szCs w:val="20"/>
              </w:rPr>
              <w:t>): importing data, building a data model, calculating KPIs, creating visuals and sharing the report.</w:t>
            </w:r>
          </w:p>
          <w:p w14:paraId="47B6AC45" w14:textId="77777777" w:rsidR="00D135B0" w:rsidRPr="008F586B" w:rsidRDefault="00D135B0" w:rsidP="00972D72">
            <w:pPr>
              <w:jc w:val="both"/>
              <w:rPr>
                <w:rFonts w:cstheme="minorHAnsi"/>
                <w:szCs w:val="20"/>
              </w:rPr>
            </w:pPr>
          </w:p>
          <w:p w14:paraId="12000005" w14:textId="77777777" w:rsidR="00D135B0" w:rsidRDefault="00D135B0" w:rsidP="00D135B0">
            <w:pPr>
              <w:keepNext/>
              <w:jc w:val="center"/>
            </w:pPr>
            <w:r>
              <w:rPr>
                <w:rFonts w:cstheme="minorHAnsi"/>
                <w:noProof/>
                <w:szCs w:val="20"/>
              </w:rPr>
              <w:drawing>
                <wp:inline distT="0" distB="0" distL="0" distR="0" wp14:anchorId="335E51EE" wp14:editId="7B30F259">
                  <wp:extent cx="5433060" cy="1043940"/>
                  <wp:effectExtent l="0" t="0" r="0" b="3810"/>
                  <wp:docPr id="346193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3569" name="Picture 346193569"/>
                          <pic:cNvPicPr/>
                        </pic:nvPicPr>
                        <pic:blipFill>
                          <a:blip r:embed="rId80">
                            <a:extLst>
                              <a:ext uri="{28A0092B-C50C-407E-A947-70E740481C1C}">
                                <a14:useLocalDpi xmlns:a14="http://schemas.microsoft.com/office/drawing/2010/main" val="0"/>
                              </a:ext>
                            </a:extLst>
                          </a:blip>
                          <a:stretch>
                            <a:fillRect/>
                          </a:stretch>
                        </pic:blipFill>
                        <pic:spPr>
                          <a:xfrm>
                            <a:off x="0" y="0"/>
                            <a:ext cx="5439150" cy="1045110"/>
                          </a:xfrm>
                          <a:prstGeom prst="rect">
                            <a:avLst/>
                          </a:prstGeom>
                        </pic:spPr>
                      </pic:pic>
                    </a:graphicData>
                  </a:graphic>
                </wp:inline>
              </w:drawing>
            </w:r>
          </w:p>
          <w:p w14:paraId="1DDE5F2F" w14:textId="79F0D4E0" w:rsidR="008F586B" w:rsidRPr="00957ED1" w:rsidRDefault="00D135B0" w:rsidP="00D135B0">
            <w:pPr>
              <w:pStyle w:val="Caption"/>
              <w:jc w:val="center"/>
              <w:rPr>
                <w:rFonts w:cstheme="minorHAnsi"/>
                <w:b w:val="0"/>
                <w:bCs w:val="0"/>
                <w:sz w:val="20"/>
                <w:szCs w:val="20"/>
              </w:rPr>
            </w:pPr>
            <w:bookmarkStart w:id="54" w:name="_Toc227486394"/>
            <w:r w:rsidRPr="00957ED1">
              <w:rPr>
                <w:b w:val="0"/>
                <w:bCs w:val="0"/>
              </w:rPr>
              <w:t xml:space="preserve">Figure </w:t>
            </w:r>
            <w:r w:rsidRPr="00957ED1">
              <w:rPr>
                <w:b w:val="0"/>
                <w:bCs w:val="0"/>
              </w:rPr>
              <w:fldChar w:fldCharType="begin"/>
            </w:r>
            <w:r w:rsidRPr="00957ED1">
              <w:rPr>
                <w:b w:val="0"/>
                <w:bCs w:val="0"/>
              </w:rPr>
              <w:instrText xml:space="preserve"> SEQ Figure \* ARABIC </w:instrText>
            </w:r>
            <w:r w:rsidRPr="00957ED1">
              <w:rPr>
                <w:b w:val="0"/>
                <w:bCs w:val="0"/>
              </w:rPr>
              <w:fldChar w:fldCharType="separate"/>
            </w:r>
            <w:r w:rsidRPr="00957ED1">
              <w:rPr>
                <w:b w:val="0"/>
                <w:bCs w:val="0"/>
                <w:noProof/>
              </w:rPr>
              <w:t>16</w:t>
            </w:r>
            <w:r w:rsidRPr="00957ED1">
              <w:rPr>
                <w:b w:val="0"/>
                <w:bCs w:val="0"/>
              </w:rPr>
              <w:fldChar w:fldCharType="end"/>
            </w:r>
            <w:r w:rsidRPr="00957ED1">
              <w:rPr>
                <w:b w:val="0"/>
                <w:bCs w:val="0"/>
              </w:rPr>
              <w:t>. Steps for building an interactive report. (Image source: created by author)</w:t>
            </w:r>
            <w:bookmarkEnd w:id="54"/>
          </w:p>
          <w:p w14:paraId="76F650AF" w14:textId="031224AE" w:rsidR="008F586B" w:rsidRPr="00972D72" w:rsidRDefault="00D135B0" w:rsidP="00972D72">
            <w:pPr>
              <w:jc w:val="center"/>
              <w:rPr>
                <w:rFonts w:eastAsia="Arial" w:cstheme="minorHAnsi"/>
                <w:color w:val="009889" w:themeColor="accent2"/>
                <w:sz w:val="18"/>
                <w:szCs w:val="18"/>
              </w:rPr>
            </w:pPr>
            <w:r>
              <w:rPr>
                <w:rFonts w:cstheme="minorHAnsi"/>
                <w:color w:val="009889" w:themeColor="accent2"/>
                <w:sz w:val="18"/>
                <w:szCs w:val="18"/>
              </w:rPr>
              <w:t xml:space="preserve"> </w:t>
            </w:r>
          </w:p>
          <w:p w14:paraId="628235C5" w14:textId="77777777" w:rsidR="008F586B" w:rsidRDefault="008F586B" w:rsidP="00972D72">
            <w:pPr>
              <w:jc w:val="both"/>
              <w:rPr>
                <w:rFonts w:eastAsia="Arial" w:cstheme="minorHAnsi"/>
                <w:i/>
                <w:szCs w:val="20"/>
              </w:rPr>
            </w:pPr>
            <w:r w:rsidRPr="008F586B">
              <w:rPr>
                <w:rFonts w:eastAsia="Arial" w:cstheme="minorHAnsi"/>
                <w:i/>
                <w:szCs w:val="20"/>
              </w:rPr>
              <w:t>Image description: The image shows a simple workflow diagram for a data analysis process. It consists of five connected steps arranged from left to right: Import Data, Build Data Model, Calculate KPIs, Create Visuals, and Share Report, illustrating the typical sequence for creating and delivering a data report or dashboard.</w:t>
            </w:r>
          </w:p>
          <w:p w14:paraId="28DD5828" w14:textId="77777777" w:rsidR="00972D72" w:rsidRPr="008F586B" w:rsidRDefault="00972D72" w:rsidP="00972D72">
            <w:pPr>
              <w:jc w:val="both"/>
              <w:rPr>
                <w:rFonts w:cstheme="minorHAnsi"/>
                <w:i/>
                <w:szCs w:val="20"/>
              </w:rPr>
            </w:pPr>
          </w:p>
          <w:p w14:paraId="3855AB7F" w14:textId="77777777" w:rsidR="008F586B" w:rsidRPr="008F586B" w:rsidRDefault="008F586B" w:rsidP="00972D72">
            <w:pPr>
              <w:jc w:val="both"/>
              <w:rPr>
                <w:rFonts w:cstheme="minorHAnsi"/>
                <w:b/>
                <w:szCs w:val="20"/>
              </w:rPr>
            </w:pPr>
            <w:r w:rsidRPr="008F586B">
              <w:rPr>
                <w:rFonts w:cstheme="minorHAnsi"/>
                <w:b/>
                <w:szCs w:val="20"/>
              </w:rPr>
              <w:t>Step 1: Importing Data with Power Query</w:t>
            </w:r>
          </w:p>
          <w:p w14:paraId="49A0F450" w14:textId="77777777" w:rsidR="008F586B" w:rsidRPr="008F586B" w:rsidRDefault="008F586B" w:rsidP="00972D72">
            <w:pPr>
              <w:jc w:val="both"/>
              <w:rPr>
                <w:rFonts w:cstheme="minorHAnsi"/>
                <w:szCs w:val="20"/>
              </w:rPr>
            </w:pPr>
            <w:r w:rsidRPr="008F586B">
              <w:rPr>
                <w:rFonts w:cstheme="minorHAnsi"/>
                <w:szCs w:val="20"/>
              </w:rPr>
              <w:t>Power BI connects to a wide range of data sources, including Excel files, CSV files, databases, SharePoint, and web APIs. Power Query is the built-in data transformation layer where you can: import data from Excel using queries; clean and reshape data (remove duplicates, rename columns, split fields, unpivot tables); and assess data quality using column profiling tools that display error rates, empty values, and value distributions. Apply correct data formatting for dates, currency, and numeric fields to ensure consistent display and calculation.</w:t>
            </w:r>
          </w:p>
          <w:p w14:paraId="3EC97E59" w14:textId="77777777" w:rsidR="008F586B" w:rsidRPr="008F586B" w:rsidRDefault="008F586B" w:rsidP="00972D72">
            <w:pPr>
              <w:jc w:val="both"/>
              <w:rPr>
                <w:rFonts w:cstheme="minorHAnsi"/>
                <w:b/>
                <w:szCs w:val="20"/>
              </w:rPr>
            </w:pPr>
            <w:r w:rsidRPr="008F586B">
              <w:rPr>
                <w:rFonts w:cstheme="minorHAnsi"/>
                <w:b/>
                <w:szCs w:val="20"/>
              </w:rPr>
              <w:t>Step 2: Building a Data Model</w:t>
            </w:r>
          </w:p>
          <w:p w14:paraId="5300FBA4" w14:textId="197CACCD" w:rsidR="008F586B" w:rsidRPr="008F586B" w:rsidRDefault="008F586B" w:rsidP="00972D72">
            <w:pPr>
              <w:jc w:val="both"/>
              <w:rPr>
                <w:rFonts w:cstheme="minorHAnsi"/>
                <w:szCs w:val="20"/>
              </w:rPr>
            </w:pPr>
            <w:r w:rsidRPr="008F586B">
              <w:rPr>
                <w:rFonts w:cstheme="minorHAnsi"/>
                <w:szCs w:val="20"/>
              </w:rPr>
              <w:t xml:space="preserve">A well-structured data model is essential for accurate KPI calculations. The data model is often referred to as the star schema (a central fact table surrounded by dimension tables for date, facility, category, etc.). See an example of Star Schema in Figure </w:t>
            </w:r>
            <w:r w:rsidR="00972D72">
              <w:rPr>
                <w:rFonts w:cstheme="minorHAnsi"/>
                <w:szCs w:val="20"/>
              </w:rPr>
              <w:t>17</w:t>
            </w:r>
            <w:r w:rsidRPr="008F586B">
              <w:rPr>
                <w:rFonts w:cstheme="minorHAnsi"/>
                <w:szCs w:val="20"/>
              </w:rPr>
              <w:t>. Define relationships between tables specifying cardinality (preferably one-to-many) and cross-filter direction.</w:t>
            </w:r>
          </w:p>
          <w:p w14:paraId="67C29E37" w14:textId="77777777" w:rsidR="008F586B" w:rsidRPr="008F586B" w:rsidRDefault="008F586B" w:rsidP="00972D72">
            <w:pPr>
              <w:jc w:val="both"/>
              <w:rPr>
                <w:rFonts w:cstheme="minorHAnsi"/>
                <w:szCs w:val="20"/>
              </w:rPr>
            </w:pPr>
          </w:p>
          <w:p w14:paraId="78911176" w14:textId="77777777" w:rsidR="00D135B0" w:rsidRDefault="008F586B" w:rsidP="00D135B0">
            <w:pPr>
              <w:keepNext/>
              <w:jc w:val="center"/>
            </w:pPr>
            <w:r w:rsidRPr="008F586B">
              <w:rPr>
                <w:rFonts w:cstheme="minorHAnsi"/>
                <w:noProof/>
                <w:szCs w:val="20"/>
              </w:rPr>
              <w:lastRenderedPageBreak/>
              <w:drawing>
                <wp:inline distT="0" distB="0" distL="0" distR="0" wp14:anchorId="48D108A9" wp14:editId="0F8CCEA5">
                  <wp:extent cx="5188180" cy="4190163"/>
                  <wp:effectExtent l="0" t="0" r="0" b="1270"/>
                  <wp:docPr id="64" name="Picture 4" descr="A diagram of the star schema (source: ib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of the star schema (source: ibm.com)"/>
                          <pic:cNvPicPr>
                            <a:picLocks noChangeAspect="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Lst>
                          </a:blip>
                          <a:stretch/>
                        </pic:blipFill>
                        <pic:spPr bwMode="auto">
                          <a:xfrm>
                            <a:off x="0" y="0"/>
                            <a:ext cx="5195110" cy="4195760"/>
                          </a:xfrm>
                          <a:prstGeom prst="rect">
                            <a:avLst/>
                          </a:prstGeom>
                          <a:noFill/>
                          <a:ln>
                            <a:noFill/>
                          </a:ln>
                        </pic:spPr>
                      </pic:pic>
                    </a:graphicData>
                  </a:graphic>
                </wp:inline>
              </w:drawing>
            </w:r>
          </w:p>
          <w:p w14:paraId="2280CFBF" w14:textId="77777777" w:rsidR="00D135B0" w:rsidRPr="00957ED1" w:rsidRDefault="00D135B0" w:rsidP="00D135B0">
            <w:pPr>
              <w:pStyle w:val="Caption"/>
              <w:jc w:val="center"/>
              <w:rPr>
                <w:b w:val="0"/>
                <w:bCs w:val="0"/>
              </w:rPr>
            </w:pPr>
            <w:bookmarkStart w:id="55" w:name="_Toc227486395"/>
            <w:r w:rsidRPr="00957ED1">
              <w:rPr>
                <w:b w:val="0"/>
                <w:bCs w:val="0"/>
              </w:rPr>
              <w:t xml:space="preserve">Figure </w:t>
            </w:r>
            <w:r w:rsidRPr="00957ED1">
              <w:rPr>
                <w:b w:val="0"/>
                <w:bCs w:val="0"/>
              </w:rPr>
              <w:fldChar w:fldCharType="begin"/>
            </w:r>
            <w:r w:rsidRPr="00957ED1">
              <w:rPr>
                <w:b w:val="0"/>
                <w:bCs w:val="0"/>
              </w:rPr>
              <w:instrText xml:space="preserve"> SEQ Figure \* ARABIC </w:instrText>
            </w:r>
            <w:r w:rsidRPr="00957ED1">
              <w:rPr>
                <w:b w:val="0"/>
                <w:bCs w:val="0"/>
              </w:rPr>
              <w:fldChar w:fldCharType="separate"/>
            </w:r>
            <w:r w:rsidRPr="00957ED1">
              <w:rPr>
                <w:b w:val="0"/>
                <w:bCs w:val="0"/>
                <w:noProof/>
              </w:rPr>
              <w:t>17</w:t>
            </w:r>
            <w:r w:rsidRPr="00957ED1">
              <w:rPr>
                <w:b w:val="0"/>
                <w:bCs w:val="0"/>
              </w:rPr>
              <w:fldChar w:fldCharType="end"/>
            </w:r>
            <w:r w:rsidRPr="00957ED1">
              <w:rPr>
                <w:b w:val="0"/>
                <w:bCs w:val="0"/>
              </w:rPr>
              <w:t xml:space="preserve">. Example of Star Schema (Source: </w:t>
            </w:r>
            <w:hyperlink r:id="rId83" w:tooltip="https://www.researchgate.net/figure/A-diagram-of-the-star-schema-source-ibmcom_fig1_237138345" w:history="1">
              <w:r w:rsidRPr="00957ED1">
                <w:rPr>
                  <w:rStyle w:val="Hyperlink"/>
                  <w:b w:val="0"/>
                  <w:bCs w:val="0"/>
                  <w:color w:val="009889" w:themeColor="accent2"/>
                </w:rPr>
                <w:t>Gallo, Bonis, Berilli, 2010</w:t>
              </w:r>
            </w:hyperlink>
            <w:r w:rsidRPr="00957ED1">
              <w:rPr>
                <w:b w:val="0"/>
                <w:bCs w:val="0"/>
              </w:rPr>
              <w:t>)</w:t>
            </w:r>
            <w:bookmarkEnd w:id="55"/>
          </w:p>
          <w:p w14:paraId="303C8371" w14:textId="42AE8A5C" w:rsidR="008F586B" w:rsidRPr="008F586B" w:rsidRDefault="008F586B" w:rsidP="00D135B0">
            <w:pPr>
              <w:pStyle w:val="Caption"/>
              <w:jc w:val="center"/>
              <w:rPr>
                <w:rFonts w:cstheme="minorHAnsi"/>
                <w:sz w:val="20"/>
                <w:szCs w:val="20"/>
              </w:rPr>
            </w:pPr>
          </w:p>
          <w:p w14:paraId="2686668F" w14:textId="69188D65" w:rsidR="008F586B" w:rsidRPr="00972D72" w:rsidRDefault="008F586B" w:rsidP="00D135B0">
            <w:pPr>
              <w:rPr>
                <w:rFonts w:cstheme="minorHAnsi"/>
                <w:color w:val="009889" w:themeColor="accent2"/>
                <w:sz w:val="18"/>
                <w:szCs w:val="18"/>
              </w:rPr>
            </w:pPr>
          </w:p>
          <w:p w14:paraId="0D193FEA" w14:textId="77777777" w:rsidR="008F586B" w:rsidRPr="008F586B" w:rsidRDefault="008F586B" w:rsidP="00972D72">
            <w:pPr>
              <w:jc w:val="both"/>
              <w:rPr>
                <w:rFonts w:cstheme="minorHAnsi"/>
                <w:szCs w:val="20"/>
              </w:rPr>
            </w:pPr>
          </w:p>
          <w:p w14:paraId="1CB59DD2" w14:textId="63365E24" w:rsidR="008F586B" w:rsidRPr="008F586B" w:rsidRDefault="008F586B" w:rsidP="00972D72">
            <w:pPr>
              <w:jc w:val="both"/>
              <w:rPr>
                <w:rFonts w:cstheme="minorHAnsi"/>
                <w:szCs w:val="20"/>
              </w:rPr>
            </w:pPr>
            <w:r w:rsidRPr="008F586B">
              <w:rPr>
                <w:rFonts w:eastAsia="Arial" w:cstheme="minorHAnsi"/>
                <w:i/>
                <w:szCs w:val="20"/>
              </w:rPr>
              <w:t xml:space="preserve">Image description: The image shows a star schema data model used in data warehousing. In the </w:t>
            </w:r>
            <w:proofErr w:type="spellStart"/>
            <w:r w:rsidRPr="008F586B">
              <w:rPr>
                <w:rFonts w:eastAsia="Arial" w:cstheme="minorHAnsi"/>
                <w:i/>
                <w:szCs w:val="20"/>
              </w:rPr>
              <w:t>center</w:t>
            </w:r>
            <w:proofErr w:type="spellEnd"/>
            <w:r w:rsidRPr="008F586B">
              <w:rPr>
                <w:rFonts w:eastAsia="Arial" w:cstheme="minorHAnsi"/>
                <w:i/>
                <w:szCs w:val="20"/>
              </w:rPr>
              <w:t xml:space="preserve"> is a Sales fact table, which is connected to several dimension tables: Customer, Product, Supplier, Geography, and Time. The diagram illustrates how the central fact table links to surrounding dimension tables to organize and </w:t>
            </w:r>
            <w:r w:rsidR="00972D72" w:rsidRPr="008F586B">
              <w:rPr>
                <w:rFonts w:eastAsia="Arial" w:cstheme="minorHAnsi"/>
                <w:i/>
                <w:szCs w:val="20"/>
              </w:rPr>
              <w:t>analyse</w:t>
            </w:r>
            <w:r w:rsidRPr="008F586B">
              <w:rPr>
                <w:rFonts w:eastAsia="Arial" w:cstheme="minorHAnsi"/>
                <w:i/>
                <w:szCs w:val="20"/>
              </w:rPr>
              <w:t xml:space="preserve"> sales data.</w:t>
            </w:r>
          </w:p>
          <w:p w14:paraId="7E744266" w14:textId="77777777" w:rsidR="008F586B" w:rsidRPr="008F586B" w:rsidRDefault="008F586B" w:rsidP="00972D72">
            <w:pPr>
              <w:jc w:val="both"/>
              <w:rPr>
                <w:rFonts w:cstheme="minorHAnsi"/>
                <w:szCs w:val="20"/>
              </w:rPr>
            </w:pPr>
          </w:p>
          <w:p w14:paraId="4D243D56" w14:textId="77777777" w:rsidR="008F586B" w:rsidRPr="008F586B" w:rsidRDefault="008F586B" w:rsidP="00972D72">
            <w:pPr>
              <w:jc w:val="both"/>
              <w:rPr>
                <w:rFonts w:cstheme="minorHAnsi"/>
                <w:b/>
                <w:szCs w:val="20"/>
              </w:rPr>
            </w:pPr>
            <w:r w:rsidRPr="008F586B">
              <w:rPr>
                <w:rFonts w:cstheme="minorHAnsi"/>
                <w:b/>
                <w:szCs w:val="20"/>
              </w:rPr>
              <w:t>Step 3: Calculating KPIs with DAX</w:t>
            </w:r>
          </w:p>
          <w:p w14:paraId="0251F6DF" w14:textId="77777777" w:rsidR="008F586B" w:rsidRPr="008F586B" w:rsidRDefault="008F586B" w:rsidP="00972D72">
            <w:pPr>
              <w:jc w:val="both"/>
              <w:rPr>
                <w:rFonts w:cstheme="minorHAnsi"/>
                <w:szCs w:val="20"/>
              </w:rPr>
            </w:pPr>
            <w:r w:rsidRPr="008F586B">
              <w:rPr>
                <w:rFonts w:cstheme="minorHAnsi"/>
                <w:szCs w:val="20"/>
              </w:rPr>
              <w:t xml:space="preserve">DAX (Data Analysis Expressions) is the formula language of Power BI. It enables calculated columns and measures for KPI calculations such as emissions intensity per revenue, year-over-year percentage change, target variance, and rolling averages. Key functions include CALCULATE (modifies filter context), SUMX (iterates rows), DIVIDE (safe division), and time intelligence functions such as SAMEPERIODLASTYEAR. </w:t>
            </w:r>
          </w:p>
          <w:p w14:paraId="1D786856" w14:textId="77777777" w:rsidR="008F586B" w:rsidRPr="008F586B" w:rsidRDefault="008F586B" w:rsidP="00972D72">
            <w:pPr>
              <w:jc w:val="both"/>
              <w:rPr>
                <w:rFonts w:cstheme="minorHAnsi"/>
                <w:b/>
                <w:szCs w:val="20"/>
              </w:rPr>
            </w:pPr>
            <w:r w:rsidRPr="008F586B">
              <w:rPr>
                <w:rFonts w:cstheme="minorHAnsi"/>
                <w:b/>
                <w:szCs w:val="20"/>
              </w:rPr>
              <w:t>Step 4: Creating a Report</w:t>
            </w:r>
          </w:p>
          <w:p w14:paraId="2F475BE0" w14:textId="5622231B" w:rsidR="008F586B" w:rsidRDefault="008F586B" w:rsidP="00972D72">
            <w:pPr>
              <w:jc w:val="both"/>
              <w:rPr>
                <w:rFonts w:cstheme="minorHAnsi"/>
                <w:szCs w:val="20"/>
              </w:rPr>
            </w:pPr>
            <w:r w:rsidRPr="008F586B">
              <w:rPr>
                <w:rFonts w:cstheme="minorHAnsi"/>
                <w:szCs w:val="20"/>
              </w:rPr>
              <w:t xml:space="preserve">Add visuals to the report canvas, </w:t>
            </w:r>
            <w:r w:rsidR="00972D72" w:rsidRPr="008F586B">
              <w:rPr>
                <w:rFonts w:cstheme="minorHAnsi"/>
                <w:szCs w:val="20"/>
              </w:rPr>
              <w:t>including</w:t>
            </w:r>
            <w:r w:rsidRPr="008F586B">
              <w:rPr>
                <w:rFonts w:cstheme="minorHAnsi"/>
                <w:szCs w:val="20"/>
              </w:rPr>
              <w:t xml:space="preserve"> column and bar charts for emissions comparisons by facility or year; line charts for trend analysis; pie charts for part-to-whole composition; KPI cards for headline metrics; waterfall charts to explain changes from baseline to current period; and tables for detailed data. Use slicers and filter panels to allow users to interact with the data. Apply conditional formatting to highlight values above or below thresholds (e.g., orange for off-track KPIs). Configure visual interactions so that selecting a value in one chart filters related visuals. Use bookmarks to create guided navigation paths or saved views for different audiences.</w:t>
            </w:r>
          </w:p>
          <w:p w14:paraId="2CED41E1" w14:textId="77777777" w:rsidR="00957ED1" w:rsidRPr="008F586B" w:rsidRDefault="00957ED1" w:rsidP="00972D72">
            <w:pPr>
              <w:jc w:val="both"/>
              <w:rPr>
                <w:rFonts w:cstheme="minorHAnsi"/>
                <w:szCs w:val="20"/>
              </w:rPr>
            </w:pPr>
          </w:p>
          <w:p w14:paraId="5F9C666E" w14:textId="77777777" w:rsidR="008F586B" w:rsidRPr="008F586B" w:rsidRDefault="008F586B" w:rsidP="00972D72">
            <w:pPr>
              <w:jc w:val="both"/>
              <w:rPr>
                <w:rFonts w:cstheme="minorHAnsi"/>
                <w:b/>
                <w:szCs w:val="20"/>
              </w:rPr>
            </w:pPr>
            <w:r w:rsidRPr="008F586B">
              <w:rPr>
                <w:rFonts w:cstheme="minorHAnsi"/>
                <w:b/>
                <w:szCs w:val="20"/>
              </w:rPr>
              <w:lastRenderedPageBreak/>
              <w:t>Step 5: Publishing and Sharing via Power BI Web Service</w:t>
            </w:r>
          </w:p>
          <w:p w14:paraId="0E1283CC" w14:textId="77777777" w:rsidR="008F586B" w:rsidRPr="008F586B" w:rsidRDefault="008F586B" w:rsidP="00972D72">
            <w:pPr>
              <w:jc w:val="both"/>
              <w:rPr>
                <w:rFonts w:cstheme="minorHAnsi"/>
                <w:szCs w:val="20"/>
              </w:rPr>
            </w:pPr>
            <w:r w:rsidRPr="008F586B">
              <w:rPr>
                <w:rFonts w:cstheme="minorHAnsi"/>
                <w:szCs w:val="20"/>
              </w:rPr>
              <w:t>Once a report is complete, publish it to the Power BI web service (app.powerbi.com). From there, you can share the report or dashboard with specific users or groups, configure row-level security (RLS) to restrict data access by role, and set up automatic data refresh schedules to keep the dashboard current.</w:t>
            </w:r>
          </w:p>
          <w:p w14:paraId="7756E9EB" w14:textId="77777777" w:rsidR="008F586B" w:rsidRPr="008F586B" w:rsidRDefault="008F586B" w:rsidP="00972D72">
            <w:pPr>
              <w:jc w:val="both"/>
              <w:rPr>
                <w:rFonts w:cstheme="minorHAnsi"/>
                <w:szCs w:val="20"/>
              </w:rPr>
            </w:pPr>
          </w:p>
          <w:p w14:paraId="5C58E125" w14:textId="77777777" w:rsidR="008F586B" w:rsidRPr="008F586B" w:rsidRDefault="008F586B" w:rsidP="00972D72">
            <w:pPr>
              <w:jc w:val="both"/>
              <w:rPr>
                <w:rFonts w:cstheme="minorHAnsi"/>
                <w:b/>
                <w:color w:val="00AC4E" w:themeColor="accent1"/>
                <w:szCs w:val="20"/>
              </w:rPr>
            </w:pPr>
            <w:r w:rsidRPr="008F586B">
              <w:rPr>
                <w:rFonts w:cstheme="minorHAnsi"/>
                <w:b/>
                <w:color w:val="00AC4E" w:themeColor="accent1"/>
                <w:szCs w:val="20"/>
              </w:rPr>
              <w:t xml:space="preserve">Additional reading: </w:t>
            </w:r>
          </w:p>
          <w:p w14:paraId="58C21D2F" w14:textId="2D521EB7" w:rsidR="008F586B" w:rsidRPr="00972D72" w:rsidRDefault="008F586B" w:rsidP="00972D72">
            <w:pPr>
              <w:pStyle w:val="ListParagraph"/>
              <w:numPr>
                <w:ilvl w:val="1"/>
                <w:numId w:val="303"/>
              </w:numPr>
              <w:jc w:val="both"/>
              <w:rPr>
                <w:rFonts w:cstheme="minorHAnsi"/>
                <w:szCs w:val="20"/>
              </w:rPr>
            </w:pPr>
            <w:r w:rsidRPr="00972D72">
              <w:rPr>
                <w:rFonts w:cstheme="minorHAnsi"/>
                <w:szCs w:val="20"/>
              </w:rPr>
              <w:t xml:space="preserve">Microsoft Power BI documentation: </w:t>
            </w:r>
            <w:hyperlink r:id="rId84" w:tooltip="https://learn.microsoft.com/en-us/power-bi/" w:history="1">
              <w:r w:rsidRPr="00972D72">
                <w:rPr>
                  <w:rStyle w:val="Hyperlink"/>
                  <w:rFonts w:cstheme="minorHAnsi"/>
                  <w:color w:val="auto"/>
                  <w:szCs w:val="20"/>
                </w:rPr>
                <w:t>https://learn.microsoft.com/en-us/power-bi/</w:t>
              </w:r>
            </w:hyperlink>
            <w:r w:rsidRPr="00972D72">
              <w:rPr>
                <w:rFonts w:cstheme="minorHAnsi"/>
                <w:szCs w:val="20"/>
              </w:rPr>
              <w:t xml:space="preserve"> </w:t>
            </w:r>
          </w:p>
          <w:p w14:paraId="29E67EA0" w14:textId="0541F485" w:rsidR="008F586B" w:rsidRPr="00972D72" w:rsidRDefault="008F586B" w:rsidP="00972D72">
            <w:pPr>
              <w:pStyle w:val="ListParagraph"/>
              <w:numPr>
                <w:ilvl w:val="1"/>
                <w:numId w:val="303"/>
              </w:numPr>
              <w:jc w:val="both"/>
              <w:rPr>
                <w:rFonts w:cstheme="minorHAnsi"/>
                <w:szCs w:val="20"/>
              </w:rPr>
            </w:pPr>
            <w:r w:rsidRPr="00972D72">
              <w:rPr>
                <w:rFonts w:cstheme="minorHAnsi"/>
                <w:szCs w:val="20"/>
              </w:rPr>
              <w:t xml:space="preserve">DAX Guide reference: </w:t>
            </w:r>
            <w:hyperlink r:id="rId85" w:tooltip="https://dax.guide/" w:history="1">
              <w:r w:rsidRPr="00972D72">
                <w:rPr>
                  <w:rStyle w:val="Hyperlink"/>
                  <w:rFonts w:cstheme="minorHAnsi"/>
                  <w:color w:val="auto"/>
                  <w:szCs w:val="20"/>
                </w:rPr>
                <w:t>https://dax.guide/</w:t>
              </w:r>
            </w:hyperlink>
            <w:r w:rsidRPr="00972D72">
              <w:rPr>
                <w:rFonts w:cstheme="minorHAnsi"/>
                <w:szCs w:val="20"/>
              </w:rPr>
              <w:t xml:space="preserve"> </w:t>
            </w:r>
          </w:p>
          <w:p w14:paraId="0A947ED8" w14:textId="77777777" w:rsidR="008F586B" w:rsidRPr="008F586B" w:rsidRDefault="008F586B" w:rsidP="00972D72">
            <w:pPr>
              <w:jc w:val="both"/>
              <w:rPr>
                <w:rFonts w:cstheme="minorHAnsi"/>
                <w:szCs w:val="20"/>
              </w:rPr>
            </w:pPr>
          </w:p>
          <w:p w14:paraId="7DD2D937" w14:textId="1CA97FBF" w:rsidR="008F586B" w:rsidRPr="008F586B" w:rsidRDefault="008F586B" w:rsidP="00972D72">
            <w:pPr>
              <w:jc w:val="both"/>
              <w:rPr>
                <w:rFonts w:cstheme="minorHAnsi"/>
                <w:szCs w:val="20"/>
              </w:rPr>
            </w:pPr>
            <w:r w:rsidRPr="008F586B">
              <w:rPr>
                <w:rFonts w:cstheme="minorHAnsi"/>
                <w:b/>
                <w:color w:val="00AC4E" w:themeColor="accent1"/>
                <w:szCs w:val="20"/>
              </w:rPr>
              <w:t>Key Takeaways:</w:t>
            </w:r>
          </w:p>
          <w:p w14:paraId="1CE40E64"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Creating an interactive report includes 5 steps: importing data, building a data model, calculating KPIs, creating visuals and sharing the report</w:t>
            </w:r>
          </w:p>
          <w:p w14:paraId="7408CC18"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In Power BI, Power Query is used for the first step of importing and cleaning data: clean and validate data before it enters the model to avoid errors downstream.</w:t>
            </w:r>
          </w:p>
          <w:p w14:paraId="108AB6A6"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A star schema data model with clearly defined relationships enables fast, accurate KPI calculations across filters and hierarchies.</w:t>
            </w:r>
          </w:p>
          <w:p w14:paraId="348DB095" w14:textId="77777777" w:rsidR="008F586B" w:rsidRPr="008F586B" w:rsidRDefault="008F586B" w:rsidP="00972D72">
            <w:pPr>
              <w:jc w:val="both"/>
              <w:rPr>
                <w:rFonts w:cstheme="minorHAnsi"/>
                <w:b/>
                <w:color w:val="00AC4E" w:themeColor="accent1"/>
                <w:szCs w:val="20"/>
              </w:rPr>
            </w:pPr>
          </w:p>
          <w:p w14:paraId="3ABC1966" w14:textId="77777777" w:rsidR="008F586B" w:rsidRPr="008F586B" w:rsidRDefault="008F586B" w:rsidP="00972D72">
            <w:pPr>
              <w:jc w:val="both"/>
              <w:rPr>
                <w:rFonts w:cstheme="minorHAnsi"/>
                <w:b/>
                <w:color w:val="00AC4E" w:themeColor="accent1"/>
                <w:szCs w:val="20"/>
              </w:rPr>
            </w:pPr>
            <w:r w:rsidRPr="008F586B">
              <w:rPr>
                <w:rFonts w:cstheme="minorHAnsi"/>
                <w:b/>
                <w:color w:val="00AC4E" w:themeColor="accent1"/>
                <w:szCs w:val="20"/>
              </w:rPr>
              <w:t xml:space="preserve">Quick Check: </w:t>
            </w:r>
          </w:p>
          <w:p w14:paraId="5D272CA7" w14:textId="77777777" w:rsidR="008F586B" w:rsidRPr="00972D72" w:rsidRDefault="008F586B" w:rsidP="00972D72">
            <w:pPr>
              <w:pStyle w:val="ListParagraph"/>
              <w:numPr>
                <w:ilvl w:val="0"/>
                <w:numId w:val="305"/>
              </w:numPr>
              <w:jc w:val="both"/>
              <w:rPr>
                <w:rFonts w:cstheme="minorHAnsi"/>
                <w:color w:val="009889" w:themeColor="accent2"/>
                <w:szCs w:val="20"/>
              </w:rPr>
            </w:pPr>
            <w:r w:rsidRPr="00972D72">
              <w:rPr>
                <w:rFonts w:cstheme="minorHAnsi"/>
                <w:color w:val="009889" w:themeColor="accent2"/>
                <w:szCs w:val="20"/>
              </w:rPr>
              <w:t>Which Power BI feature is used to restrict data access so that a regional manager only sees data for their own region?</w:t>
            </w:r>
          </w:p>
          <w:p w14:paraId="42E8F143" w14:textId="14F52254" w:rsidR="008F586B" w:rsidRPr="008F586B" w:rsidRDefault="008F586B" w:rsidP="00972D72">
            <w:pPr>
              <w:pStyle w:val="ListParagraph"/>
              <w:numPr>
                <w:ilvl w:val="1"/>
                <w:numId w:val="307"/>
              </w:numPr>
              <w:jc w:val="both"/>
              <w:rPr>
                <w:rFonts w:cstheme="minorHAnsi"/>
                <w:szCs w:val="20"/>
              </w:rPr>
            </w:pPr>
            <w:r w:rsidRPr="008F586B">
              <w:rPr>
                <w:rFonts w:cstheme="minorHAnsi"/>
                <w:szCs w:val="20"/>
              </w:rPr>
              <w:t xml:space="preserve">Power Query filter  </w:t>
            </w:r>
          </w:p>
          <w:p w14:paraId="7D7C7512" w14:textId="1B32AFC2" w:rsidR="008F586B" w:rsidRPr="008F586B" w:rsidRDefault="008F586B" w:rsidP="00972D72">
            <w:pPr>
              <w:pStyle w:val="ListParagraph"/>
              <w:numPr>
                <w:ilvl w:val="1"/>
                <w:numId w:val="307"/>
              </w:numPr>
              <w:jc w:val="both"/>
              <w:rPr>
                <w:rFonts w:cstheme="minorHAnsi"/>
                <w:szCs w:val="20"/>
              </w:rPr>
            </w:pPr>
            <w:r w:rsidRPr="008F586B">
              <w:rPr>
                <w:rFonts w:cstheme="minorHAnsi"/>
                <w:szCs w:val="20"/>
              </w:rPr>
              <w:t xml:space="preserve">Slicer  </w:t>
            </w:r>
          </w:p>
          <w:p w14:paraId="7E146EA8" w14:textId="77777777" w:rsidR="00972D72" w:rsidRDefault="008F586B" w:rsidP="00972D72">
            <w:pPr>
              <w:pStyle w:val="ListParagraph"/>
              <w:numPr>
                <w:ilvl w:val="1"/>
                <w:numId w:val="307"/>
              </w:numPr>
              <w:jc w:val="both"/>
              <w:rPr>
                <w:rFonts w:cstheme="minorHAnsi"/>
                <w:szCs w:val="20"/>
              </w:rPr>
            </w:pPr>
            <w:r w:rsidRPr="008F586B">
              <w:rPr>
                <w:rFonts w:cstheme="minorHAnsi"/>
                <w:szCs w:val="20"/>
              </w:rPr>
              <w:t xml:space="preserve">Row-Level Security (RLS) </w:t>
            </w:r>
          </w:p>
          <w:p w14:paraId="79B7E274" w14:textId="6F53D4B7" w:rsidR="008F586B" w:rsidRPr="00972D72" w:rsidRDefault="008F586B" w:rsidP="00972D72">
            <w:pPr>
              <w:pStyle w:val="ListParagraph"/>
              <w:numPr>
                <w:ilvl w:val="1"/>
                <w:numId w:val="307"/>
              </w:numPr>
              <w:jc w:val="both"/>
              <w:rPr>
                <w:rFonts w:cstheme="minorHAnsi"/>
                <w:szCs w:val="20"/>
              </w:rPr>
            </w:pPr>
            <w:r w:rsidRPr="00972D72">
              <w:rPr>
                <w:rFonts w:cstheme="minorHAnsi"/>
                <w:szCs w:val="20"/>
              </w:rPr>
              <w:t>Bookmark</w:t>
            </w:r>
          </w:p>
          <w:p w14:paraId="1E776BC9" w14:textId="77777777" w:rsidR="008F586B" w:rsidRPr="008F586B" w:rsidRDefault="008F586B" w:rsidP="00972D72">
            <w:pPr>
              <w:pStyle w:val="ListParagraph"/>
              <w:ind w:left="0"/>
              <w:jc w:val="both"/>
              <w:rPr>
                <w:rFonts w:cstheme="minorHAnsi"/>
                <w:szCs w:val="20"/>
              </w:rPr>
            </w:pPr>
          </w:p>
          <w:p w14:paraId="666ECA5F" w14:textId="77777777" w:rsidR="008F586B" w:rsidRPr="00972D72" w:rsidRDefault="008F586B" w:rsidP="00972D72">
            <w:pPr>
              <w:pStyle w:val="ListParagraph"/>
              <w:numPr>
                <w:ilvl w:val="0"/>
                <w:numId w:val="305"/>
              </w:numPr>
              <w:jc w:val="both"/>
              <w:rPr>
                <w:rFonts w:cstheme="minorHAnsi"/>
                <w:color w:val="009889" w:themeColor="accent2"/>
                <w:szCs w:val="20"/>
              </w:rPr>
            </w:pPr>
            <w:r w:rsidRPr="00972D72">
              <w:rPr>
                <w:rFonts w:cstheme="minorHAnsi"/>
                <w:color w:val="009889" w:themeColor="accent2"/>
                <w:szCs w:val="20"/>
              </w:rPr>
              <w:t>True or False: Power Query is the tool for importing and cleaning data.</w:t>
            </w:r>
          </w:p>
          <w:p w14:paraId="43567BDF" w14:textId="77777777" w:rsidR="008F586B" w:rsidRPr="008F586B" w:rsidRDefault="008F586B" w:rsidP="00972D72">
            <w:pPr>
              <w:jc w:val="both"/>
              <w:rPr>
                <w:rFonts w:cstheme="minorHAnsi"/>
                <w:szCs w:val="20"/>
              </w:rPr>
            </w:pPr>
          </w:p>
          <w:p w14:paraId="67DB0049" w14:textId="7503D587" w:rsidR="008F586B" w:rsidRPr="008F586B" w:rsidRDefault="008F586B" w:rsidP="00972D72">
            <w:pPr>
              <w:jc w:val="both"/>
              <w:rPr>
                <w:rFonts w:cstheme="minorHAnsi"/>
                <w:szCs w:val="20"/>
              </w:rPr>
            </w:pPr>
            <w:r w:rsidRPr="008F586B">
              <w:rPr>
                <w:rFonts w:cstheme="minorHAnsi"/>
                <w:i/>
                <w:szCs w:val="20"/>
              </w:rPr>
              <w:t>Answer key: 1</w:t>
            </w:r>
            <w:r w:rsidR="00972D72">
              <w:rPr>
                <w:rFonts w:cstheme="minorHAnsi"/>
                <w:i/>
                <w:szCs w:val="20"/>
              </w:rPr>
              <w:t>.</w:t>
            </w:r>
            <w:r w:rsidRPr="008F586B">
              <w:rPr>
                <w:rFonts w:cstheme="minorHAnsi"/>
                <w:i/>
                <w:szCs w:val="20"/>
              </w:rPr>
              <w:t xml:space="preserve"> c; 2</w:t>
            </w:r>
            <w:r w:rsidR="00972D72">
              <w:rPr>
                <w:rFonts w:cstheme="minorHAnsi"/>
                <w:i/>
                <w:szCs w:val="20"/>
              </w:rPr>
              <w:t>.</w:t>
            </w:r>
            <w:r w:rsidRPr="008F586B">
              <w:rPr>
                <w:rFonts w:cstheme="minorHAnsi"/>
                <w:i/>
                <w:szCs w:val="20"/>
              </w:rPr>
              <w:t xml:space="preserve"> True </w:t>
            </w:r>
          </w:p>
        </w:tc>
      </w:tr>
    </w:tbl>
    <w:p w14:paraId="5847BF5B" w14:textId="77777777" w:rsidR="00972D72" w:rsidRDefault="00972D72">
      <w:r>
        <w:lastRenderedPageBreak/>
        <w:br w:type="page"/>
      </w:r>
    </w:p>
    <w:tbl>
      <w:tblPr>
        <w:tblStyle w:val="TableGrid"/>
        <w:tblW w:w="0" w:type="auto"/>
        <w:tblLook w:val="04A0" w:firstRow="1" w:lastRow="0" w:firstColumn="1" w:lastColumn="0" w:noHBand="0" w:noVBand="1"/>
      </w:tblPr>
      <w:tblGrid>
        <w:gridCol w:w="9628"/>
      </w:tblGrid>
      <w:tr w:rsidR="00972D72" w:rsidRPr="008F586B" w14:paraId="69329580" w14:textId="77777777" w:rsidTr="008F586B">
        <w:tc>
          <w:tcPr>
            <w:tcW w:w="9628" w:type="dxa"/>
          </w:tcPr>
          <w:p w14:paraId="04C0881E" w14:textId="1E276BDA" w:rsidR="00972D72" w:rsidRPr="008F586B" w:rsidRDefault="00972D72" w:rsidP="002074FD">
            <w:pPr>
              <w:pStyle w:val="Heading2"/>
              <w:numPr>
                <w:ilvl w:val="0"/>
                <w:numId w:val="0"/>
              </w:numPr>
              <w:ind w:left="720" w:hanging="720"/>
            </w:pPr>
            <w:bookmarkStart w:id="56" w:name="_Toc227485175"/>
            <w:r w:rsidRPr="008F586B">
              <w:lastRenderedPageBreak/>
              <w:t>Topic 3.3: Communicating Sustainability Performance to</w:t>
            </w:r>
            <w:r>
              <w:t xml:space="preserve"> </w:t>
            </w:r>
            <w:r w:rsidRPr="008F586B">
              <w:t>Stakeholders</w:t>
            </w:r>
            <w:bookmarkEnd w:id="56"/>
          </w:p>
        </w:tc>
      </w:tr>
      <w:tr w:rsidR="00972D72" w:rsidRPr="008F586B" w14:paraId="141D7EA6" w14:textId="77777777" w:rsidTr="00972D72">
        <w:tc>
          <w:tcPr>
            <w:tcW w:w="9628" w:type="dxa"/>
            <w:shd w:val="clear" w:color="auto" w:fill="D9D9D9" w:themeFill="background1" w:themeFillShade="D9"/>
          </w:tcPr>
          <w:p w14:paraId="52AEB9DF" w14:textId="5BB3414F" w:rsidR="00972D72" w:rsidRPr="00972D72" w:rsidRDefault="00972D72" w:rsidP="00972D72">
            <w:pPr>
              <w:jc w:val="both"/>
              <w:rPr>
                <w:rFonts w:cstheme="minorHAnsi"/>
                <w:b/>
                <w:szCs w:val="20"/>
              </w:rPr>
            </w:pPr>
            <w:r w:rsidRPr="00972D72">
              <w:rPr>
                <w:rFonts w:cstheme="minorHAnsi"/>
                <w:b/>
                <w:szCs w:val="20"/>
              </w:rPr>
              <w:t>Short introduction:</w:t>
            </w:r>
          </w:p>
        </w:tc>
      </w:tr>
      <w:tr w:rsidR="00972D72" w:rsidRPr="008F586B" w14:paraId="28F785A6" w14:textId="77777777" w:rsidTr="008F586B">
        <w:tc>
          <w:tcPr>
            <w:tcW w:w="9628" w:type="dxa"/>
          </w:tcPr>
          <w:p w14:paraId="77BD01B5" w14:textId="69614D07" w:rsidR="00972D72" w:rsidRPr="00972D72" w:rsidRDefault="00972D72" w:rsidP="00972D72">
            <w:pPr>
              <w:jc w:val="both"/>
              <w:rPr>
                <w:rFonts w:cstheme="minorHAnsi"/>
                <w:szCs w:val="20"/>
              </w:rPr>
            </w:pPr>
            <w:r w:rsidRPr="008F586B">
              <w:rPr>
                <w:rFonts w:cstheme="minorHAnsi"/>
                <w:szCs w:val="20"/>
              </w:rPr>
              <w:t>Communicating sustainability performance effectively is both an art and a science. Organizations must combine robust ESG data with strategic storytelling, tailored dashboards, and insight-driven explanations to build trust, inform decisions, and strengthen social license to operate.</w:t>
            </w:r>
          </w:p>
        </w:tc>
      </w:tr>
      <w:tr w:rsidR="00972D72" w:rsidRPr="008F586B" w14:paraId="71576817" w14:textId="77777777" w:rsidTr="00972D72">
        <w:tc>
          <w:tcPr>
            <w:tcW w:w="9628" w:type="dxa"/>
            <w:shd w:val="clear" w:color="auto" w:fill="D9D9D9" w:themeFill="background1" w:themeFillShade="D9"/>
          </w:tcPr>
          <w:p w14:paraId="36979C64" w14:textId="2447C740" w:rsidR="00972D72" w:rsidRPr="00972D72" w:rsidRDefault="00972D72" w:rsidP="00972D72">
            <w:pPr>
              <w:jc w:val="both"/>
              <w:rPr>
                <w:rFonts w:cstheme="minorHAnsi"/>
                <w:szCs w:val="20"/>
              </w:rPr>
            </w:pPr>
            <w:r w:rsidRPr="00972D72">
              <w:rPr>
                <w:rFonts w:cstheme="minorHAnsi"/>
                <w:b/>
                <w:szCs w:val="20"/>
              </w:rPr>
              <w:t xml:space="preserve">Theory &amp; Knowledge: </w:t>
            </w:r>
          </w:p>
        </w:tc>
      </w:tr>
      <w:tr w:rsidR="008F586B" w:rsidRPr="008F586B" w14:paraId="24A1395B" w14:textId="77777777" w:rsidTr="008F586B">
        <w:tc>
          <w:tcPr>
            <w:tcW w:w="9628" w:type="dxa"/>
          </w:tcPr>
          <w:p w14:paraId="589F304B" w14:textId="77777777" w:rsidR="008F586B" w:rsidRPr="00972D72" w:rsidRDefault="008F586B" w:rsidP="00972D72">
            <w:pPr>
              <w:spacing w:line="259" w:lineRule="auto"/>
              <w:jc w:val="both"/>
              <w:rPr>
                <w:rFonts w:cstheme="minorHAnsi"/>
                <w:b/>
                <w:color w:val="009889" w:themeColor="accent2"/>
                <w:szCs w:val="20"/>
              </w:rPr>
            </w:pPr>
            <w:proofErr w:type="spellStart"/>
            <w:r w:rsidRPr="00972D72">
              <w:rPr>
                <w:rFonts w:cstheme="minorHAnsi"/>
                <w:b/>
                <w:bCs/>
                <w:color w:val="009889" w:themeColor="accent2"/>
                <w:szCs w:val="20"/>
              </w:rPr>
              <w:t>StakeholderOriented</w:t>
            </w:r>
            <w:proofErr w:type="spellEnd"/>
            <w:r w:rsidRPr="00972D72">
              <w:rPr>
                <w:rFonts w:cstheme="minorHAnsi"/>
                <w:b/>
                <w:color w:val="009889" w:themeColor="accent2"/>
                <w:szCs w:val="20"/>
              </w:rPr>
              <w:t xml:space="preserve"> Dashboard Customisation</w:t>
            </w:r>
          </w:p>
          <w:p w14:paraId="6E0C922C" w14:textId="77777777" w:rsidR="008F586B" w:rsidRPr="008F586B" w:rsidRDefault="008F586B" w:rsidP="00972D72">
            <w:pPr>
              <w:jc w:val="both"/>
              <w:rPr>
                <w:rFonts w:cstheme="minorHAnsi"/>
                <w:szCs w:val="20"/>
              </w:rPr>
            </w:pPr>
            <w:r w:rsidRPr="008F586B">
              <w:rPr>
                <w:rFonts w:cstheme="minorHAnsi"/>
                <w:szCs w:val="20"/>
              </w:rPr>
              <w:t>ESG dashboards are powerful tools that help organisations track KPIs, visualise progress, and communicate performance. But dashboards only succeed when they are purpose-built for the stakeholder groups that use them.</w:t>
            </w:r>
          </w:p>
          <w:p w14:paraId="73509585" w14:textId="77777777" w:rsidR="008F586B" w:rsidRPr="008F586B" w:rsidRDefault="008F586B" w:rsidP="00972D72">
            <w:pPr>
              <w:jc w:val="both"/>
              <w:rPr>
                <w:rFonts w:cstheme="minorHAnsi"/>
                <w:szCs w:val="20"/>
              </w:rPr>
            </w:pPr>
          </w:p>
          <w:p w14:paraId="7585131D" w14:textId="77777777" w:rsidR="008F586B" w:rsidRPr="008F586B" w:rsidRDefault="008F586B" w:rsidP="00972D72">
            <w:pPr>
              <w:spacing w:line="259" w:lineRule="auto"/>
              <w:jc w:val="both"/>
              <w:rPr>
                <w:rFonts w:cstheme="minorHAnsi"/>
                <w:b/>
                <w:szCs w:val="20"/>
              </w:rPr>
            </w:pPr>
            <w:r w:rsidRPr="008F586B">
              <w:rPr>
                <w:rFonts w:cstheme="minorHAnsi"/>
                <w:b/>
                <w:szCs w:val="20"/>
              </w:rPr>
              <w:t>Why Customisation Matters</w:t>
            </w:r>
          </w:p>
          <w:p w14:paraId="0D3B2CDC" w14:textId="77777777" w:rsidR="008F586B" w:rsidRPr="008F586B" w:rsidRDefault="008F586B" w:rsidP="00972D72">
            <w:pPr>
              <w:jc w:val="both"/>
              <w:rPr>
                <w:rFonts w:cstheme="minorHAnsi"/>
                <w:szCs w:val="20"/>
              </w:rPr>
            </w:pPr>
            <w:r w:rsidRPr="008F586B">
              <w:rPr>
                <w:rFonts w:cstheme="minorHAnsi"/>
                <w:szCs w:val="20"/>
              </w:rPr>
              <w:t>Different stakeholders have different:</w:t>
            </w:r>
          </w:p>
          <w:p w14:paraId="3234A800" w14:textId="77777777" w:rsidR="008F586B" w:rsidRPr="008F586B" w:rsidRDefault="008F586B" w:rsidP="00972D72">
            <w:pPr>
              <w:numPr>
                <w:ilvl w:val="0"/>
                <w:numId w:val="289"/>
              </w:numPr>
              <w:spacing w:line="259" w:lineRule="auto"/>
              <w:jc w:val="both"/>
              <w:rPr>
                <w:rFonts w:cstheme="minorHAnsi"/>
                <w:szCs w:val="20"/>
              </w:rPr>
            </w:pPr>
            <w:r w:rsidRPr="008F586B">
              <w:rPr>
                <w:rFonts w:cstheme="minorHAnsi"/>
                <w:b/>
                <w:szCs w:val="20"/>
              </w:rPr>
              <w:t>Objectives</w:t>
            </w:r>
          </w:p>
          <w:p w14:paraId="291DC4B2" w14:textId="77777777" w:rsidR="008F586B" w:rsidRPr="008F586B" w:rsidRDefault="008F586B" w:rsidP="00972D72">
            <w:pPr>
              <w:numPr>
                <w:ilvl w:val="0"/>
                <w:numId w:val="289"/>
              </w:numPr>
              <w:spacing w:line="259" w:lineRule="auto"/>
              <w:jc w:val="both"/>
              <w:rPr>
                <w:rFonts w:cstheme="minorHAnsi"/>
                <w:szCs w:val="20"/>
              </w:rPr>
            </w:pPr>
            <w:r w:rsidRPr="008F586B">
              <w:rPr>
                <w:rFonts w:cstheme="minorHAnsi"/>
                <w:b/>
                <w:szCs w:val="20"/>
              </w:rPr>
              <w:t>Information needs</w:t>
            </w:r>
          </w:p>
          <w:p w14:paraId="760F9915" w14:textId="77777777" w:rsidR="008F586B" w:rsidRPr="008F586B" w:rsidRDefault="008F586B" w:rsidP="00972D72">
            <w:pPr>
              <w:numPr>
                <w:ilvl w:val="0"/>
                <w:numId w:val="289"/>
              </w:numPr>
              <w:spacing w:line="259" w:lineRule="auto"/>
              <w:jc w:val="both"/>
              <w:rPr>
                <w:rFonts w:cstheme="minorHAnsi"/>
                <w:szCs w:val="20"/>
              </w:rPr>
            </w:pPr>
            <w:r w:rsidRPr="008F586B">
              <w:rPr>
                <w:rFonts w:cstheme="minorHAnsi"/>
                <w:b/>
                <w:szCs w:val="20"/>
              </w:rPr>
              <w:t>Technical understanding</w:t>
            </w:r>
          </w:p>
          <w:p w14:paraId="4F70B237" w14:textId="77777777" w:rsidR="008F586B" w:rsidRPr="008F586B" w:rsidRDefault="008F586B" w:rsidP="00972D72">
            <w:pPr>
              <w:numPr>
                <w:ilvl w:val="0"/>
                <w:numId w:val="289"/>
              </w:numPr>
              <w:spacing w:line="259" w:lineRule="auto"/>
              <w:jc w:val="both"/>
              <w:rPr>
                <w:rFonts w:cstheme="minorHAnsi"/>
                <w:szCs w:val="20"/>
              </w:rPr>
            </w:pPr>
            <w:r w:rsidRPr="008F586B">
              <w:rPr>
                <w:rFonts w:cstheme="minorHAnsi"/>
                <w:b/>
                <w:szCs w:val="20"/>
              </w:rPr>
              <w:t>Decision-making responsibilities</w:t>
            </w:r>
          </w:p>
          <w:p w14:paraId="3171BDED" w14:textId="77777777" w:rsidR="008F586B" w:rsidRDefault="008F586B" w:rsidP="00972D72">
            <w:pPr>
              <w:jc w:val="both"/>
              <w:rPr>
                <w:rFonts w:cstheme="minorHAnsi"/>
                <w:szCs w:val="20"/>
              </w:rPr>
            </w:pPr>
            <w:r w:rsidRPr="008F586B">
              <w:rPr>
                <w:rFonts w:cstheme="minorHAnsi"/>
                <w:szCs w:val="20"/>
              </w:rPr>
              <w:t xml:space="preserve">A single generic dashboard cannot effectively meet all these needs. Therefore, dashboards must be </w:t>
            </w:r>
            <w:r w:rsidRPr="008F586B">
              <w:rPr>
                <w:rFonts w:cstheme="minorHAnsi"/>
                <w:b/>
                <w:szCs w:val="20"/>
              </w:rPr>
              <w:t>segmented</w:t>
            </w:r>
            <w:r w:rsidRPr="008F586B">
              <w:rPr>
                <w:rFonts w:cstheme="minorHAnsi"/>
                <w:szCs w:val="20"/>
              </w:rPr>
              <w:t xml:space="preserve"> and adapted for each audience. See Table 1 for key stakeholder groups and their needs.</w:t>
            </w:r>
          </w:p>
          <w:p w14:paraId="43ACF68B" w14:textId="77777777" w:rsidR="00972D72" w:rsidRPr="008F586B" w:rsidRDefault="00972D72" w:rsidP="00972D72">
            <w:pPr>
              <w:jc w:val="both"/>
              <w:rPr>
                <w:rFonts w:cstheme="minorHAnsi"/>
                <w:szCs w:val="20"/>
              </w:rPr>
            </w:pPr>
          </w:p>
          <w:p w14:paraId="738FEDAF" w14:textId="6186B552" w:rsidR="008F586B" w:rsidRPr="00972D72" w:rsidRDefault="00D135B0" w:rsidP="00972D72">
            <w:pPr>
              <w:spacing w:line="259" w:lineRule="auto"/>
              <w:jc w:val="both"/>
              <w:rPr>
                <w:rFonts w:cstheme="minorHAnsi"/>
                <w:color w:val="009889" w:themeColor="accent2"/>
                <w:sz w:val="18"/>
                <w:szCs w:val="18"/>
              </w:rPr>
            </w:pPr>
            <w:r>
              <w:rPr>
                <w:rFonts w:cstheme="minorHAnsi"/>
                <w:color w:val="009889" w:themeColor="accent2"/>
                <w:sz w:val="18"/>
                <w:szCs w:val="18"/>
              </w:rPr>
              <w:t xml:space="preserve"> </w:t>
            </w:r>
          </w:p>
          <w:p w14:paraId="7AC9342F" w14:textId="05A7BEC3" w:rsidR="00D135B0" w:rsidRDefault="00D135B0" w:rsidP="00D135B0">
            <w:pPr>
              <w:pStyle w:val="Caption"/>
              <w:keepNext/>
            </w:pPr>
          </w:p>
          <w:p w14:paraId="40D62637" w14:textId="65612501" w:rsidR="00957ED1" w:rsidRPr="00957ED1" w:rsidRDefault="00957ED1" w:rsidP="00957ED1">
            <w:pPr>
              <w:pStyle w:val="Caption"/>
              <w:keepNext/>
              <w:rPr>
                <w:b w:val="0"/>
                <w:bCs w:val="0"/>
              </w:rPr>
            </w:pPr>
            <w:bookmarkStart w:id="57" w:name="_Toc227739604"/>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Pr>
                <w:b w:val="0"/>
                <w:bCs w:val="0"/>
                <w:noProof/>
              </w:rPr>
              <w:t>10</w:t>
            </w:r>
            <w:r w:rsidRPr="00957ED1">
              <w:rPr>
                <w:b w:val="0"/>
                <w:bCs w:val="0"/>
              </w:rPr>
              <w:fldChar w:fldCharType="end"/>
            </w:r>
            <w:r w:rsidRPr="00957ED1">
              <w:rPr>
                <w:b w:val="0"/>
                <w:bCs w:val="0"/>
              </w:rPr>
              <w:t>. Key Stakeholder Groups and Their Needs (source: Author)</w:t>
            </w:r>
            <w:bookmarkEnd w:id="57"/>
          </w:p>
          <w:tbl>
            <w:tblPr>
              <w:tblStyle w:val="Bordered"/>
              <w:tblW w:w="0" w:type="auto"/>
              <w:tblLook w:val="04A0" w:firstRow="1" w:lastRow="0" w:firstColumn="1" w:lastColumn="0" w:noHBand="0" w:noVBand="1"/>
            </w:tblPr>
            <w:tblGrid>
              <w:gridCol w:w="2236"/>
              <w:gridCol w:w="3737"/>
              <w:gridCol w:w="3429"/>
            </w:tblGrid>
            <w:tr w:rsidR="008F586B" w:rsidRPr="008F586B" w14:paraId="76424F0B" w14:textId="77777777" w:rsidTr="00972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9E4270" w14:textId="77777777" w:rsidR="008F586B" w:rsidRPr="008F586B" w:rsidRDefault="008F586B" w:rsidP="00972D72">
                  <w:pPr>
                    <w:rPr>
                      <w:rFonts w:asciiTheme="minorHAnsi" w:hAnsiTheme="minorHAnsi" w:cstheme="minorHAnsi"/>
                      <w:b/>
                      <w:szCs w:val="20"/>
                    </w:rPr>
                  </w:pPr>
                  <w:r w:rsidRPr="008F586B">
                    <w:rPr>
                      <w:rFonts w:asciiTheme="minorHAnsi" w:hAnsiTheme="minorHAnsi" w:cstheme="minorHAnsi"/>
                      <w:b/>
                      <w:szCs w:val="20"/>
                    </w:rPr>
                    <w:t>Key Stakeholder</w:t>
                  </w:r>
                </w:p>
              </w:tc>
              <w:tc>
                <w:tcPr>
                  <w:tcW w:w="0" w:type="auto"/>
                </w:tcPr>
                <w:p w14:paraId="1967CA3C" w14:textId="77777777" w:rsidR="008F586B" w:rsidRPr="008F586B" w:rsidRDefault="008F586B" w:rsidP="00972D7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8F586B">
                    <w:rPr>
                      <w:rFonts w:asciiTheme="minorHAnsi" w:hAnsiTheme="minorHAnsi" w:cstheme="minorHAnsi"/>
                      <w:b/>
                      <w:szCs w:val="20"/>
                    </w:rPr>
                    <w:t>Needs</w:t>
                  </w:r>
                </w:p>
              </w:tc>
              <w:tc>
                <w:tcPr>
                  <w:tcW w:w="0" w:type="auto"/>
                </w:tcPr>
                <w:p w14:paraId="3DC629E7" w14:textId="77777777" w:rsidR="008F586B" w:rsidRPr="008F586B" w:rsidRDefault="008F586B" w:rsidP="00972D7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8F586B">
                    <w:rPr>
                      <w:rFonts w:asciiTheme="minorHAnsi" w:hAnsiTheme="minorHAnsi" w:cstheme="minorHAnsi"/>
                      <w:b/>
                      <w:szCs w:val="20"/>
                    </w:rPr>
                    <w:t>Dashboard design</w:t>
                  </w:r>
                </w:p>
              </w:tc>
            </w:tr>
            <w:tr w:rsidR="008F586B" w:rsidRPr="008F586B" w14:paraId="0C4C95DE" w14:textId="77777777" w:rsidTr="00972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F47D0" w14:textId="77777777" w:rsidR="008F586B" w:rsidRPr="008F586B" w:rsidRDefault="008F586B" w:rsidP="00972D72">
                  <w:pPr>
                    <w:rPr>
                      <w:rFonts w:asciiTheme="minorHAnsi" w:hAnsiTheme="minorHAnsi" w:cstheme="minorHAnsi"/>
                      <w:szCs w:val="20"/>
                    </w:rPr>
                  </w:pPr>
                  <w:r w:rsidRPr="008F586B">
                    <w:rPr>
                      <w:rFonts w:asciiTheme="minorHAnsi" w:hAnsiTheme="minorHAnsi" w:cstheme="minorHAnsi"/>
                      <w:szCs w:val="20"/>
                    </w:rPr>
                    <w:t>Executives and Board Members</w:t>
                  </w:r>
                </w:p>
                <w:p w14:paraId="58D2E947" w14:textId="77777777" w:rsidR="008F586B" w:rsidRPr="008F586B" w:rsidRDefault="008F586B" w:rsidP="00972D72">
                  <w:pPr>
                    <w:rPr>
                      <w:rFonts w:asciiTheme="minorHAnsi" w:hAnsiTheme="minorHAnsi" w:cstheme="minorHAnsi"/>
                      <w:b/>
                      <w:szCs w:val="20"/>
                    </w:rPr>
                  </w:pPr>
                </w:p>
              </w:tc>
              <w:tc>
                <w:tcPr>
                  <w:tcW w:w="0" w:type="auto"/>
                </w:tcPr>
                <w:p w14:paraId="2E4C2628" w14:textId="1D64E22A"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 xml:space="preserve">Need </w:t>
                  </w:r>
                  <w:r w:rsidR="00972D72" w:rsidRPr="008F586B">
                    <w:rPr>
                      <w:rFonts w:asciiTheme="minorHAnsi" w:hAnsiTheme="minorHAnsi" w:cstheme="minorHAnsi"/>
                      <w:szCs w:val="20"/>
                    </w:rPr>
                    <w:t>high-level</w:t>
                  </w:r>
                  <w:r w:rsidRPr="008F586B">
                    <w:rPr>
                      <w:rFonts w:asciiTheme="minorHAnsi" w:hAnsiTheme="minorHAnsi" w:cstheme="minorHAnsi"/>
                      <w:szCs w:val="20"/>
                    </w:rPr>
                    <w:t xml:space="preserve"> aggregated KPIs</w:t>
                  </w:r>
                </w:p>
                <w:p w14:paraId="3A608C72" w14:textId="0ADAA68D"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 xml:space="preserve">Want </w:t>
                  </w:r>
                  <w:r w:rsidR="00972D72" w:rsidRPr="008F586B">
                    <w:rPr>
                      <w:rFonts w:asciiTheme="minorHAnsi" w:hAnsiTheme="minorHAnsi" w:cstheme="minorHAnsi"/>
                      <w:szCs w:val="20"/>
                    </w:rPr>
                    <w:t>risk oriented</w:t>
                  </w:r>
                  <w:r w:rsidRPr="008F586B">
                    <w:rPr>
                      <w:rFonts w:asciiTheme="minorHAnsi" w:hAnsiTheme="minorHAnsi" w:cstheme="minorHAnsi"/>
                      <w:szCs w:val="20"/>
                    </w:rPr>
                    <w:t xml:space="preserve"> and </w:t>
                  </w:r>
                  <w:r w:rsidR="00972D72" w:rsidRPr="008F586B">
                    <w:rPr>
                      <w:rFonts w:asciiTheme="minorHAnsi" w:hAnsiTheme="minorHAnsi" w:cstheme="minorHAnsi"/>
                      <w:szCs w:val="20"/>
                    </w:rPr>
                    <w:t>financial impact</w:t>
                  </w:r>
                  <w:r w:rsidRPr="008F586B">
                    <w:rPr>
                      <w:rFonts w:asciiTheme="minorHAnsi" w:hAnsiTheme="minorHAnsi" w:cstheme="minorHAnsi"/>
                      <w:szCs w:val="20"/>
                    </w:rPr>
                    <w:t xml:space="preserve"> insights</w:t>
                  </w:r>
                </w:p>
                <w:p w14:paraId="24F8C8EF" w14:textId="77777777"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Prefer concise visuals with trend lines and predictive indicators</w:t>
                  </w:r>
                </w:p>
              </w:tc>
              <w:tc>
                <w:tcPr>
                  <w:tcW w:w="0" w:type="auto"/>
                </w:tcPr>
                <w:p w14:paraId="7741324B" w14:textId="77777777" w:rsidR="008F586B" w:rsidRPr="008F586B" w:rsidRDefault="008F586B" w:rsidP="00972D72">
                  <w:pPr>
                    <w:pStyle w:val="ListParagraph"/>
                    <w:numPr>
                      <w:ilvl w:val="0"/>
                      <w:numId w:val="29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Materiality summary</w:t>
                  </w:r>
                </w:p>
                <w:p w14:paraId="1B334D4D" w14:textId="77777777" w:rsidR="008F586B" w:rsidRPr="008F586B" w:rsidRDefault="008F586B" w:rsidP="00972D72">
                  <w:pPr>
                    <w:pStyle w:val="ListParagraph"/>
                    <w:numPr>
                      <w:ilvl w:val="0"/>
                      <w:numId w:val="29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Risk heatmaps</w:t>
                  </w:r>
                </w:p>
                <w:p w14:paraId="1A2945BD" w14:textId="77777777" w:rsidR="008F586B" w:rsidRPr="008F586B" w:rsidRDefault="008F586B" w:rsidP="00972D72">
                  <w:pPr>
                    <w:pStyle w:val="ListParagraph"/>
                    <w:numPr>
                      <w:ilvl w:val="0"/>
                      <w:numId w:val="29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High-level GHG progress vs targets</w:t>
                  </w:r>
                </w:p>
                <w:p w14:paraId="3C651111" w14:textId="77777777" w:rsidR="008F586B" w:rsidRPr="008F586B" w:rsidRDefault="008F586B" w:rsidP="00972D72">
                  <w:pPr>
                    <w:pStyle w:val="ListParagraph"/>
                    <w:numPr>
                      <w:ilvl w:val="0"/>
                      <w:numId w:val="29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Strategic scenario modelling</w:t>
                  </w:r>
                </w:p>
              </w:tc>
            </w:tr>
            <w:tr w:rsidR="008F586B" w:rsidRPr="008F586B" w14:paraId="6CB077B8" w14:textId="77777777" w:rsidTr="00972D72">
              <w:tc>
                <w:tcPr>
                  <w:cnfStyle w:val="001000000000" w:firstRow="0" w:lastRow="0" w:firstColumn="1" w:lastColumn="0" w:oddVBand="0" w:evenVBand="0" w:oddHBand="0" w:evenHBand="0" w:firstRowFirstColumn="0" w:firstRowLastColumn="0" w:lastRowFirstColumn="0" w:lastRowLastColumn="0"/>
                  <w:tcW w:w="0" w:type="auto"/>
                </w:tcPr>
                <w:p w14:paraId="711E0D35" w14:textId="77777777" w:rsidR="008F586B" w:rsidRPr="008F586B" w:rsidRDefault="008F586B" w:rsidP="00972D72">
                  <w:pPr>
                    <w:rPr>
                      <w:rFonts w:asciiTheme="minorHAnsi" w:hAnsiTheme="minorHAnsi" w:cstheme="minorHAnsi"/>
                      <w:szCs w:val="20"/>
                    </w:rPr>
                  </w:pPr>
                  <w:r w:rsidRPr="008F586B">
                    <w:rPr>
                      <w:rFonts w:asciiTheme="minorHAnsi" w:hAnsiTheme="minorHAnsi" w:cstheme="minorHAnsi"/>
                      <w:szCs w:val="20"/>
                    </w:rPr>
                    <w:t>Investors and Analysts</w:t>
                  </w:r>
                </w:p>
                <w:p w14:paraId="28EDA6DD" w14:textId="77777777" w:rsidR="008F586B" w:rsidRPr="008F586B" w:rsidRDefault="008F586B" w:rsidP="00972D72">
                  <w:pPr>
                    <w:rPr>
                      <w:rFonts w:asciiTheme="minorHAnsi" w:hAnsiTheme="minorHAnsi" w:cstheme="minorHAnsi"/>
                      <w:szCs w:val="20"/>
                    </w:rPr>
                  </w:pPr>
                </w:p>
              </w:tc>
              <w:tc>
                <w:tcPr>
                  <w:tcW w:w="0" w:type="auto"/>
                </w:tcPr>
                <w:p w14:paraId="40272275" w14:textId="77777777" w:rsidR="008F586B" w:rsidRPr="008F586B" w:rsidRDefault="008F586B" w:rsidP="00972D72">
                  <w:pPr>
                    <w:pStyle w:val="ListParagraph"/>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Require accurate, auditable metrics</w:t>
                  </w:r>
                </w:p>
                <w:p w14:paraId="3861C8DB" w14:textId="77777777" w:rsidR="008F586B" w:rsidRPr="008F586B" w:rsidRDefault="008F586B" w:rsidP="00972D72">
                  <w:pPr>
                    <w:pStyle w:val="ListParagraph"/>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Want benchmarking and comparability across sectors</w:t>
                  </w:r>
                </w:p>
                <w:p w14:paraId="1A63580C" w14:textId="77777777" w:rsidR="008F586B" w:rsidRPr="008F586B" w:rsidRDefault="008F586B" w:rsidP="00972D72">
                  <w:pPr>
                    <w:pStyle w:val="ListParagraph"/>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Seek transparency on data quality and assumptions</w:t>
                  </w:r>
                </w:p>
              </w:tc>
              <w:tc>
                <w:tcPr>
                  <w:tcW w:w="0" w:type="auto"/>
                </w:tcPr>
                <w:p w14:paraId="703579B5" w14:textId="77777777" w:rsidR="008F586B" w:rsidRPr="008F586B" w:rsidRDefault="008F586B" w:rsidP="00972D72">
                  <w:pPr>
                    <w:pStyle w:val="ListParagraph"/>
                    <w:numPr>
                      <w:ilvl w:val="0"/>
                      <w:numId w:val="297"/>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Granular emissions data</w:t>
                  </w:r>
                </w:p>
                <w:p w14:paraId="4E8AFB2E" w14:textId="1B05C946" w:rsidR="008F586B" w:rsidRPr="008F586B" w:rsidRDefault="008F586B" w:rsidP="00972D72">
                  <w:pPr>
                    <w:pStyle w:val="ListParagraph"/>
                    <w:numPr>
                      <w:ilvl w:val="0"/>
                      <w:numId w:val="297"/>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Financial</w:t>
                  </w:r>
                  <w:r w:rsidR="00972D72">
                    <w:rPr>
                      <w:rFonts w:cstheme="minorHAnsi"/>
                      <w:szCs w:val="20"/>
                    </w:rPr>
                    <w:t xml:space="preserve"> </w:t>
                  </w:r>
                  <w:r w:rsidRPr="008F586B">
                    <w:rPr>
                      <w:rFonts w:cstheme="minorHAnsi"/>
                      <w:szCs w:val="20"/>
                    </w:rPr>
                    <w:t>ESG linkage metrics (e.g., carbon cost curves)</w:t>
                  </w:r>
                </w:p>
                <w:p w14:paraId="44D2F93D" w14:textId="77777777" w:rsidR="008F586B" w:rsidRPr="008F586B" w:rsidRDefault="008F586B" w:rsidP="00972D72">
                  <w:pPr>
                    <w:pStyle w:val="ListParagraph"/>
                    <w:numPr>
                      <w:ilvl w:val="0"/>
                      <w:numId w:val="297"/>
                    </w:numPr>
                    <w:cnfStyle w:val="000000000000" w:firstRow="0" w:lastRow="0" w:firstColumn="0" w:lastColumn="0" w:oddVBand="0" w:evenVBand="0" w:oddHBand="0" w:evenHBand="0" w:firstRowFirstColumn="0" w:firstRowLastColumn="0" w:lastRowFirstColumn="0" w:lastRowLastColumn="0"/>
                    <w:rPr>
                      <w:rFonts w:cstheme="minorHAnsi"/>
                      <w:b/>
                      <w:szCs w:val="20"/>
                    </w:rPr>
                  </w:pPr>
                  <w:r w:rsidRPr="008F586B">
                    <w:rPr>
                      <w:rFonts w:cstheme="minorHAnsi"/>
                      <w:szCs w:val="20"/>
                    </w:rPr>
                    <w:t>Historical and forecasted performance</w:t>
                  </w:r>
                </w:p>
              </w:tc>
            </w:tr>
            <w:tr w:rsidR="008F586B" w:rsidRPr="008F586B" w14:paraId="1EFC64D8" w14:textId="77777777" w:rsidTr="00972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DB086" w14:textId="77777777" w:rsidR="008F586B" w:rsidRPr="008F586B" w:rsidRDefault="008F586B" w:rsidP="00972D72">
                  <w:pPr>
                    <w:rPr>
                      <w:rFonts w:asciiTheme="minorHAnsi" w:hAnsiTheme="minorHAnsi" w:cstheme="minorHAnsi"/>
                      <w:szCs w:val="20"/>
                    </w:rPr>
                  </w:pPr>
                  <w:r w:rsidRPr="008F586B">
                    <w:rPr>
                      <w:rFonts w:asciiTheme="minorHAnsi" w:hAnsiTheme="minorHAnsi" w:cstheme="minorHAnsi"/>
                      <w:szCs w:val="20"/>
                    </w:rPr>
                    <w:t>Operational Managers</w:t>
                  </w:r>
                </w:p>
              </w:tc>
              <w:tc>
                <w:tcPr>
                  <w:tcW w:w="0" w:type="auto"/>
                </w:tcPr>
                <w:p w14:paraId="6199E70F" w14:textId="6B3CEABA"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 xml:space="preserve">Need </w:t>
                  </w:r>
                  <w:r w:rsidR="00972D72" w:rsidRPr="008F586B">
                    <w:rPr>
                      <w:rFonts w:asciiTheme="minorHAnsi" w:hAnsiTheme="minorHAnsi" w:cstheme="minorHAnsi"/>
                      <w:szCs w:val="20"/>
                    </w:rPr>
                    <w:t>day today</w:t>
                  </w:r>
                  <w:r w:rsidRPr="008F586B">
                    <w:rPr>
                      <w:rFonts w:asciiTheme="minorHAnsi" w:hAnsiTheme="minorHAnsi" w:cstheme="minorHAnsi"/>
                      <w:szCs w:val="20"/>
                    </w:rPr>
                    <w:t xml:space="preserve"> metrics</w:t>
                  </w:r>
                </w:p>
                <w:p w14:paraId="6842173E" w14:textId="77777777"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Require data at facility, process, or department level</w:t>
                  </w:r>
                </w:p>
                <w:p w14:paraId="4A829BD6" w14:textId="77777777" w:rsidR="008F586B" w:rsidRPr="008F586B" w:rsidRDefault="008F586B" w:rsidP="00972D72">
                  <w:pPr>
                    <w:pStyle w:val="ListParagraph"/>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Prefer actionable details</w:t>
                  </w:r>
                </w:p>
              </w:tc>
              <w:tc>
                <w:tcPr>
                  <w:tcW w:w="0" w:type="auto"/>
                </w:tcPr>
                <w:p w14:paraId="0FA13351" w14:textId="77777777" w:rsidR="008F586B" w:rsidRPr="008F586B" w:rsidRDefault="008F586B" w:rsidP="00972D72">
                  <w:pPr>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Realtime energy and waste data</w:t>
                  </w:r>
                </w:p>
                <w:p w14:paraId="363A6459" w14:textId="77777777" w:rsidR="008F586B" w:rsidRPr="008F586B" w:rsidRDefault="008F586B" w:rsidP="00972D72">
                  <w:pPr>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Threshold alerts</w:t>
                  </w:r>
                </w:p>
                <w:p w14:paraId="79286D77" w14:textId="77777777" w:rsidR="008F586B" w:rsidRPr="008F586B" w:rsidRDefault="008F586B" w:rsidP="00972D72">
                  <w:pPr>
                    <w:numPr>
                      <w:ilvl w:val="0"/>
                      <w:numId w:val="29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F586B">
                    <w:rPr>
                      <w:rFonts w:asciiTheme="minorHAnsi" w:hAnsiTheme="minorHAnsi" w:cstheme="minorHAnsi"/>
                      <w:szCs w:val="20"/>
                    </w:rPr>
                    <w:t>Performance-by-site breakdowns</w:t>
                  </w:r>
                </w:p>
              </w:tc>
            </w:tr>
            <w:tr w:rsidR="008F586B" w:rsidRPr="008F586B" w14:paraId="60CE8CCA" w14:textId="77777777" w:rsidTr="00972D72">
              <w:tc>
                <w:tcPr>
                  <w:cnfStyle w:val="001000000000" w:firstRow="0" w:lastRow="0" w:firstColumn="1" w:lastColumn="0" w:oddVBand="0" w:evenVBand="0" w:oddHBand="0" w:evenHBand="0" w:firstRowFirstColumn="0" w:firstRowLastColumn="0" w:lastRowFirstColumn="0" w:lastRowLastColumn="0"/>
                  <w:tcW w:w="0" w:type="auto"/>
                </w:tcPr>
                <w:p w14:paraId="53B57AA0" w14:textId="77777777" w:rsidR="008F586B" w:rsidRPr="008F586B" w:rsidRDefault="008F586B" w:rsidP="00972D72">
                  <w:pPr>
                    <w:rPr>
                      <w:rFonts w:asciiTheme="minorHAnsi" w:hAnsiTheme="minorHAnsi" w:cstheme="minorHAnsi"/>
                      <w:szCs w:val="20"/>
                    </w:rPr>
                  </w:pPr>
                  <w:r w:rsidRPr="008F586B">
                    <w:rPr>
                      <w:rFonts w:asciiTheme="minorHAnsi" w:hAnsiTheme="minorHAnsi" w:cstheme="minorHAnsi"/>
                      <w:szCs w:val="20"/>
                    </w:rPr>
                    <w:lastRenderedPageBreak/>
                    <w:t>Customers and the General Public</w:t>
                  </w:r>
                </w:p>
              </w:tc>
              <w:tc>
                <w:tcPr>
                  <w:tcW w:w="0" w:type="auto"/>
                </w:tcPr>
                <w:p w14:paraId="742E22E4"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Need accessible, nontechnical summaries</w:t>
                  </w:r>
                </w:p>
                <w:p w14:paraId="28FD6BB5"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Respond to storytelling and visuals</w:t>
                  </w:r>
                </w:p>
                <w:p w14:paraId="1D19C15E"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Want to understand the company's impact</w:t>
                  </w:r>
                </w:p>
              </w:tc>
              <w:tc>
                <w:tcPr>
                  <w:tcW w:w="0" w:type="auto"/>
                </w:tcPr>
                <w:p w14:paraId="001BF8FC"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Simple icons, infographics</w:t>
                  </w:r>
                </w:p>
                <w:p w14:paraId="4C2B9A1D"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Emphasis on positive outcomes and initiatives</w:t>
                  </w:r>
                </w:p>
                <w:p w14:paraId="3FC417B7" w14:textId="77777777" w:rsidR="008F586B" w:rsidRPr="008F586B" w:rsidRDefault="008F586B" w:rsidP="00972D72">
                  <w:pPr>
                    <w:numPr>
                      <w:ilvl w:val="0"/>
                      <w:numId w:val="29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8F586B">
                    <w:rPr>
                      <w:rFonts w:cstheme="minorHAnsi"/>
                      <w:szCs w:val="20"/>
                    </w:rPr>
                    <w:t>Accessible, visually appealing layouts</w:t>
                  </w:r>
                </w:p>
              </w:tc>
            </w:tr>
          </w:tbl>
          <w:p w14:paraId="6EFBFBE5" w14:textId="77777777" w:rsidR="008F586B" w:rsidRPr="008F586B" w:rsidRDefault="008F586B" w:rsidP="00972D72">
            <w:pPr>
              <w:jc w:val="both"/>
              <w:rPr>
                <w:rFonts w:cstheme="minorHAnsi"/>
                <w:b/>
                <w:szCs w:val="20"/>
              </w:rPr>
            </w:pPr>
          </w:p>
          <w:p w14:paraId="53FB6A37" w14:textId="77777777" w:rsidR="008F586B" w:rsidRPr="00972D72" w:rsidRDefault="008F586B" w:rsidP="00972D72">
            <w:pPr>
              <w:jc w:val="both"/>
              <w:rPr>
                <w:rFonts w:cstheme="minorHAnsi"/>
                <w:b/>
                <w:color w:val="009889" w:themeColor="accent2"/>
                <w:szCs w:val="20"/>
              </w:rPr>
            </w:pPr>
            <w:r w:rsidRPr="00972D72">
              <w:rPr>
                <w:rFonts w:cstheme="minorHAnsi"/>
                <w:b/>
                <w:color w:val="009889" w:themeColor="accent2"/>
                <w:szCs w:val="20"/>
              </w:rPr>
              <w:t xml:space="preserve"> Principles of Effective ESG Dashboard Customisation</w:t>
            </w:r>
          </w:p>
          <w:p w14:paraId="6F269AB7" w14:textId="77777777" w:rsidR="008F586B" w:rsidRPr="008F586B" w:rsidRDefault="008F586B" w:rsidP="00972D72">
            <w:pPr>
              <w:numPr>
                <w:ilvl w:val="0"/>
                <w:numId w:val="290"/>
              </w:numPr>
              <w:spacing w:line="259" w:lineRule="auto"/>
              <w:jc w:val="both"/>
              <w:rPr>
                <w:rFonts w:cstheme="minorHAnsi"/>
                <w:szCs w:val="20"/>
              </w:rPr>
            </w:pPr>
            <w:r w:rsidRPr="008F586B">
              <w:rPr>
                <w:rFonts w:cstheme="minorHAnsi"/>
                <w:b/>
                <w:szCs w:val="20"/>
              </w:rPr>
              <w:t>Materiality alignment</w:t>
            </w:r>
            <w:r w:rsidRPr="008F586B">
              <w:rPr>
                <w:rFonts w:cstheme="minorHAnsi"/>
                <w:szCs w:val="20"/>
              </w:rPr>
              <w:t>: dashboards should emphasise the ESG issues most critical to the stakeholder.</w:t>
            </w:r>
          </w:p>
          <w:p w14:paraId="370A5D69" w14:textId="77777777" w:rsidR="008F586B" w:rsidRPr="008F586B" w:rsidRDefault="008F586B" w:rsidP="00972D72">
            <w:pPr>
              <w:numPr>
                <w:ilvl w:val="0"/>
                <w:numId w:val="290"/>
              </w:numPr>
              <w:spacing w:line="259" w:lineRule="auto"/>
              <w:jc w:val="both"/>
              <w:rPr>
                <w:rFonts w:cstheme="minorHAnsi"/>
                <w:szCs w:val="20"/>
              </w:rPr>
            </w:pPr>
            <w:r w:rsidRPr="008F586B">
              <w:rPr>
                <w:rFonts w:cstheme="minorHAnsi"/>
                <w:b/>
                <w:szCs w:val="20"/>
              </w:rPr>
              <w:t>Modularity</w:t>
            </w:r>
            <w:r w:rsidRPr="008F586B">
              <w:rPr>
                <w:rFonts w:cstheme="minorHAnsi"/>
                <w:szCs w:val="20"/>
              </w:rPr>
              <w:t>: build dashboards using interchangeable components and filters.</w:t>
            </w:r>
          </w:p>
          <w:p w14:paraId="23AE5399" w14:textId="77777777" w:rsidR="008F586B" w:rsidRPr="008F586B" w:rsidRDefault="008F586B" w:rsidP="00972D72">
            <w:pPr>
              <w:numPr>
                <w:ilvl w:val="0"/>
                <w:numId w:val="290"/>
              </w:numPr>
              <w:spacing w:line="259" w:lineRule="auto"/>
              <w:jc w:val="both"/>
              <w:rPr>
                <w:rFonts w:cstheme="minorHAnsi"/>
                <w:szCs w:val="20"/>
              </w:rPr>
            </w:pPr>
            <w:r w:rsidRPr="008F586B">
              <w:rPr>
                <w:rFonts w:cstheme="minorHAnsi"/>
                <w:b/>
                <w:szCs w:val="20"/>
              </w:rPr>
              <w:t>Clarity</w:t>
            </w:r>
            <w:r w:rsidRPr="008F586B">
              <w:rPr>
                <w:rFonts w:cstheme="minorHAnsi"/>
                <w:szCs w:val="20"/>
              </w:rPr>
              <w:t>: avoid unnecessary metrics that clutter the view.</w:t>
            </w:r>
          </w:p>
          <w:p w14:paraId="71C9CEE0" w14:textId="77777777" w:rsidR="008F586B" w:rsidRPr="008F586B" w:rsidRDefault="008F586B" w:rsidP="00972D72">
            <w:pPr>
              <w:numPr>
                <w:ilvl w:val="0"/>
                <w:numId w:val="290"/>
              </w:numPr>
              <w:spacing w:line="259" w:lineRule="auto"/>
              <w:jc w:val="both"/>
              <w:rPr>
                <w:rFonts w:cstheme="minorHAnsi"/>
                <w:szCs w:val="20"/>
              </w:rPr>
            </w:pPr>
            <w:r w:rsidRPr="008F586B">
              <w:rPr>
                <w:rFonts w:cstheme="minorHAnsi"/>
                <w:b/>
                <w:szCs w:val="20"/>
              </w:rPr>
              <w:t>Interactivity</w:t>
            </w:r>
            <w:r w:rsidRPr="008F586B">
              <w:rPr>
                <w:rFonts w:cstheme="minorHAnsi"/>
                <w:szCs w:val="20"/>
              </w:rPr>
              <w:t>: allow stakeholders to drill down where needed.</w:t>
            </w:r>
          </w:p>
          <w:p w14:paraId="66124D5A" w14:textId="77777777" w:rsidR="008F586B" w:rsidRPr="008F586B" w:rsidRDefault="008F586B" w:rsidP="00972D72">
            <w:pPr>
              <w:numPr>
                <w:ilvl w:val="0"/>
                <w:numId w:val="290"/>
              </w:numPr>
              <w:spacing w:line="259" w:lineRule="auto"/>
              <w:jc w:val="both"/>
              <w:rPr>
                <w:rFonts w:cstheme="minorHAnsi"/>
                <w:szCs w:val="20"/>
              </w:rPr>
            </w:pPr>
            <w:r w:rsidRPr="008F586B">
              <w:rPr>
                <w:rFonts w:cstheme="minorHAnsi"/>
                <w:b/>
                <w:szCs w:val="20"/>
              </w:rPr>
              <w:t>Role-based access</w:t>
            </w:r>
            <w:r w:rsidRPr="008F586B">
              <w:rPr>
                <w:rFonts w:cstheme="minorHAnsi"/>
                <w:szCs w:val="20"/>
              </w:rPr>
              <w:t>: ensure the right information is accessible to the right users.</w:t>
            </w:r>
          </w:p>
          <w:p w14:paraId="672E57C6" w14:textId="77777777" w:rsidR="008F586B" w:rsidRPr="008F586B" w:rsidRDefault="008F586B" w:rsidP="00972D72">
            <w:pPr>
              <w:spacing w:line="259" w:lineRule="auto"/>
              <w:jc w:val="both"/>
              <w:rPr>
                <w:rFonts w:cstheme="minorHAnsi"/>
                <w:szCs w:val="20"/>
              </w:rPr>
            </w:pPr>
          </w:p>
          <w:p w14:paraId="77EA3E36" w14:textId="77777777" w:rsidR="008F586B" w:rsidRPr="008F586B" w:rsidRDefault="008F586B" w:rsidP="00972D72">
            <w:pPr>
              <w:spacing w:line="259" w:lineRule="auto"/>
              <w:jc w:val="both"/>
              <w:rPr>
                <w:rFonts w:cstheme="minorHAnsi"/>
                <w:szCs w:val="20"/>
              </w:rPr>
            </w:pPr>
            <w:r w:rsidRPr="008F586B">
              <w:rPr>
                <w:rFonts w:cstheme="minorHAnsi"/>
                <w:szCs w:val="20"/>
              </w:rPr>
              <w:t xml:space="preserve">Check out this video by Adam Finer on general tips to building an effective dashboard: </w:t>
            </w:r>
          </w:p>
          <w:p w14:paraId="6CA5A5F8" w14:textId="77777777" w:rsidR="002074FD" w:rsidRPr="002074FD" w:rsidRDefault="002074FD" w:rsidP="002074FD">
            <w:pPr>
              <w:keepNext/>
              <w:spacing w:line="259" w:lineRule="auto"/>
              <w:jc w:val="center"/>
            </w:pPr>
            <w:r w:rsidRPr="002074FD">
              <w:rPr>
                <w:rFonts w:cstheme="minorHAnsi"/>
                <w:noProof/>
                <w:szCs w:val="20"/>
              </w:rPr>
              <w:drawing>
                <wp:inline distT="0" distB="0" distL="0" distR="0" wp14:anchorId="2093A769" wp14:editId="154C68C4">
                  <wp:extent cx="5747657" cy="4310742"/>
                  <wp:effectExtent l="0" t="0" r="5715" b="0"/>
                  <wp:docPr id="2108436069" name="Video 19" descr="7 Top Tips for Better Business Dashboard Design Data Visualization | BI For Beginner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6069" name="Video 19" descr="7 Top Tips for Better Business Dashboard Design Data Visualization | BI For Beginners">
                            <a:hlinkClick r:id="rId86"/>
                          </pic:cNvPr>
                          <pic:cNvPicPr/>
                        </pic:nvPicPr>
                        <pic:blipFill>
                          <a:blip r:embed="rId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CrD5g8d3ow?feature=oembed&quot; frameborder=&quot;0&quot; allow=&quot;accelerometer; autoplay; clipboard-write; encrypted-media; gyroscope; picture-in-picture; web-share&quot; referrerpolicy=&quot;strict-origin-when-cross-origin&quot; allowfullscreen=&quot;&quot; title=&quot;7 Top Tips for Better Business Dashboard Design Data Visualization | BI For Beginners&quot; sandbox=&quot;allow-scripts allow-same-origin allow-popups&quot;&gt;&lt;/iframe&gt;" h="113" w="200"/>
                              </a:ext>
                            </a:extLst>
                          </a:blip>
                          <a:stretch>
                            <a:fillRect/>
                          </a:stretch>
                        </pic:blipFill>
                        <pic:spPr>
                          <a:xfrm>
                            <a:off x="0" y="0"/>
                            <a:ext cx="5760803" cy="4320602"/>
                          </a:xfrm>
                          <a:prstGeom prst="rect">
                            <a:avLst/>
                          </a:prstGeom>
                        </pic:spPr>
                      </pic:pic>
                    </a:graphicData>
                  </a:graphic>
                </wp:inline>
              </w:drawing>
            </w:r>
          </w:p>
          <w:p w14:paraId="7061A469" w14:textId="3523C7C8" w:rsidR="008F586B" w:rsidRPr="002074FD" w:rsidRDefault="002074FD" w:rsidP="002074FD">
            <w:pPr>
              <w:pStyle w:val="Caption"/>
              <w:jc w:val="center"/>
              <w:rPr>
                <w:rFonts w:cstheme="minorHAnsi"/>
                <w:b w:val="0"/>
                <w:bCs w:val="0"/>
                <w:szCs w:val="20"/>
              </w:rPr>
            </w:pPr>
            <w:bookmarkStart w:id="58" w:name="_Toc227738767"/>
            <w:r w:rsidRPr="002074FD">
              <w:rPr>
                <w:b w:val="0"/>
                <w:bCs w:val="0"/>
              </w:rPr>
              <w:t xml:space="preserve">Video </w:t>
            </w:r>
            <w:r w:rsidRPr="002074FD">
              <w:rPr>
                <w:b w:val="0"/>
                <w:bCs w:val="0"/>
              </w:rPr>
              <w:fldChar w:fldCharType="begin"/>
            </w:r>
            <w:r w:rsidRPr="002074FD">
              <w:rPr>
                <w:b w:val="0"/>
                <w:bCs w:val="0"/>
              </w:rPr>
              <w:instrText xml:space="preserve"> SEQ Video \* ARABIC </w:instrText>
            </w:r>
            <w:r w:rsidRPr="002074FD">
              <w:rPr>
                <w:b w:val="0"/>
                <w:bCs w:val="0"/>
              </w:rPr>
              <w:fldChar w:fldCharType="separate"/>
            </w:r>
            <w:r w:rsidRPr="002074FD">
              <w:rPr>
                <w:b w:val="0"/>
                <w:bCs w:val="0"/>
                <w:noProof/>
              </w:rPr>
              <w:t>10</w:t>
            </w:r>
            <w:r w:rsidRPr="002074FD">
              <w:rPr>
                <w:b w:val="0"/>
                <w:bCs w:val="0"/>
              </w:rPr>
              <w:fldChar w:fldCharType="end"/>
            </w:r>
            <w:r w:rsidRPr="002074FD">
              <w:rPr>
                <w:b w:val="0"/>
                <w:bCs w:val="0"/>
              </w:rPr>
              <w:t xml:space="preserve">. </w:t>
            </w:r>
            <w:r w:rsidRPr="002074FD">
              <w:rPr>
                <w:b w:val="0"/>
                <w:bCs w:val="0"/>
                <w:lang w:val="en-US"/>
              </w:rPr>
              <w:t>Building an effective dashboard (</w:t>
            </w:r>
            <w:r w:rsidRPr="002074FD">
              <w:rPr>
                <w:b w:val="0"/>
                <w:bCs w:val="0"/>
              </w:rPr>
              <w:t>https://www.youtube.com/watch?v=nCrD5g8d3ow)</w:t>
            </w:r>
            <w:bookmarkEnd w:id="58"/>
          </w:p>
          <w:p w14:paraId="6CED47A7" w14:textId="77777777" w:rsidR="008F586B" w:rsidRPr="008F586B" w:rsidRDefault="008F586B" w:rsidP="00972D72">
            <w:pPr>
              <w:jc w:val="both"/>
              <w:rPr>
                <w:rFonts w:cstheme="minorHAnsi"/>
                <w:szCs w:val="20"/>
              </w:rPr>
            </w:pPr>
            <w:r w:rsidRPr="008F586B">
              <w:rPr>
                <w:rFonts w:cstheme="minorHAnsi"/>
                <w:noProof/>
                <w:szCs w:val="20"/>
              </w:rPr>
              <mc:AlternateContent>
                <mc:Choice Requires="wps">
                  <w:drawing>
                    <wp:inline distT="0" distB="0" distL="0" distR="0" wp14:anchorId="5DFA96BF" wp14:editId="71761139">
                      <wp:extent cx="0" cy="19050"/>
                      <wp:effectExtent l="0" t="0" r="0" b="0"/>
                      <wp:docPr id="66" name="_x0000_i103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580DFC04" id="_x0000_i10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69DC8254" w14:textId="77777777" w:rsidR="00957ED1" w:rsidRDefault="00957ED1" w:rsidP="00972D72">
            <w:pPr>
              <w:jc w:val="both"/>
              <w:rPr>
                <w:rFonts w:cstheme="minorHAnsi"/>
                <w:b/>
                <w:color w:val="009889" w:themeColor="accent2"/>
                <w:szCs w:val="20"/>
              </w:rPr>
            </w:pPr>
          </w:p>
          <w:p w14:paraId="2766B96F" w14:textId="77777777" w:rsidR="00957ED1" w:rsidRDefault="00957ED1" w:rsidP="00972D72">
            <w:pPr>
              <w:jc w:val="both"/>
              <w:rPr>
                <w:rFonts w:cstheme="minorHAnsi"/>
                <w:b/>
                <w:color w:val="009889" w:themeColor="accent2"/>
                <w:szCs w:val="20"/>
              </w:rPr>
            </w:pPr>
          </w:p>
          <w:p w14:paraId="1D15277E" w14:textId="77777777" w:rsidR="00957ED1" w:rsidRDefault="00957ED1" w:rsidP="00972D72">
            <w:pPr>
              <w:jc w:val="both"/>
              <w:rPr>
                <w:rFonts w:cstheme="minorHAnsi"/>
                <w:b/>
                <w:color w:val="009889" w:themeColor="accent2"/>
                <w:szCs w:val="20"/>
              </w:rPr>
            </w:pPr>
          </w:p>
          <w:p w14:paraId="65E2C714" w14:textId="2AE48D80" w:rsidR="008F586B" w:rsidRPr="00972D72" w:rsidRDefault="008F586B" w:rsidP="00972D72">
            <w:pPr>
              <w:jc w:val="both"/>
              <w:rPr>
                <w:rFonts w:cstheme="minorHAnsi"/>
                <w:b/>
                <w:color w:val="009889" w:themeColor="accent2"/>
                <w:szCs w:val="20"/>
              </w:rPr>
            </w:pPr>
            <w:r w:rsidRPr="00972D72">
              <w:rPr>
                <w:rFonts w:cstheme="minorHAnsi"/>
                <w:b/>
                <w:color w:val="009889" w:themeColor="accent2"/>
                <w:szCs w:val="20"/>
              </w:rPr>
              <w:t>Data Storytelling Techniques for ESG Communication</w:t>
            </w:r>
          </w:p>
          <w:p w14:paraId="47FC3C62" w14:textId="77777777" w:rsidR="008F586B" w:rsidRPr="008F586B" w:rsidRDefault="008F586B" w:rsidP="00972D72">
            <w:pPr>
              <w:jc w:val="both"/>
              <w:rPr>
                <w:rFonts w:cstheme="minorHAnsi"/>
                <w:szCs w:val="20"/>
              </w:rPr>
            </w:pPr>
            <w:r w:rsidRPr="008F586B">
              <w:rPr>
                <w:rFonts w:cstheme="minorHAnsi"/>
                <w:szCs w:val="20"/>
              </w:rPr>
              <w:lastRenderedPageBreak/>
              <w:t xml:space="preserve">Data storytelling is the bridge between complex sustainability data and meaningful understanding. It combines </w:t>
            </w:r>
            <w:r w:rsidRPr="008F586B">
              <w:rPr>
                <w:rFonts w:cstheme="minorHAnsi"/>
                <w:b/>
                <w:szCs w:val="20"/>
              </w:rPr>
              <w:t>narrative + visuals + context</w:t>
            </w:r>
            <w:r w:rsidRPr="008F586B">
              <w:rPr>
                <w:rFonts w:cstheme="minorHAnsi"/>
                <w:szCs w:val="20"/>
              </w:rPr>
              <w:t>, transforming raw numbers into compelling messages that resonate with stakeholders.</w:t>
            </w:r>
          </w:p>
          <w:p w14:paraId="32A54794" w14:textId="77777777" w:rsidR="008F586B" w:rsidRPr="008F586B" w:rsidRDefault="008F586B" w:rsidP="00972D72">
            <w:pPr>
              <w:jc w:val="both"/>
              <w:rPr>
                <w:rFonts w:cstheme="minorHAnsi"/>
                <w:szCs w:val="20"/>
              </w:rPr>
            </w:pPr>
          </w:p>
          <w:p w14:paraId="09B7D9A7" w14:textId="77777777" w:rsidR="008F586B" w:rsidRPr="00972D72" w:rsidRDefault="008F586B" w:rsidP="00972D72">
            <w:pPr>
              <w:jc w:val="both"/>
              <w:rPr>
                <w:rFonts w:cstheme="minorHAnsi"/>
                <w:b/>
                <w:color w:val="009889" w:themeColor="accent2"/>
                <w:szCs w:val="20"/>
              </w:rPr>
            </w:pPr>
            <w:r w:rsidRPr="00972D72">
              <w:rPr>
                <w:rFonts w:cstheme="minorHAnsi"/>
                <w:b/>
                <w:color w:val="009889" w:themeColor="accent2"/>
                <w:szCs w:val="20"/>
              </w:rPr>
              <w:t>Why Storytelling Matters in Sustainability Reporting</w:t>
            </w:r>
          </w:p>
          <w:p w14:paraId="6D2589D2" w14:textId="77777777" w:rsidR="008F586B" w:rsidRPr="008F586B" w:rsidRDefault="008F586B" w:rsidP="00972D72">
            <w:pPr>
              <w:jc w:val="both"/>
              <w:rPr>
                <w:rFonts w:cstheme="minorHAnsi"/>
                <w:szCs w:val="20"/>
              </w:rPr>
            </w:pPr>
            <w:r w:rsidRPr="008F586B">
              <w:rPr>
                <w:rFonts w:cstheme="minorHAnsi"/>
                <w:szCs w:val="20"/>
              </w:rPr>
              <w:t>Sustainability data alone does not drive action—</w:t>
            </w:r>
            <w:r w:rsidRPr="008F586B">
              <w:rPr>
                <w:rFonts w:cstheme="minorHAnsi"/>
                <w:b/>
                <w:szCs w:val="20"/>
              </w:rPr>
              <w:t>stories do</w:t>
            </w:r>
            <w:r w:rsidRPr="008F586B">
              <w:rPr>
                <w:rFonts w:cstheme="minorHAnsi"/>
                <w:szCs w:val="20"/>
              </w:rPr>
              <w:t>. Storytelling:</w:t>
            </w:r>
          </w:p>
          <w:p w14:paraId="5425394B" w14:textId="77777777" w:rsidR="008F586B" w:rsidRPr="008F586B" w:rsidRDefault="008F586B" w:rsidP="00972D72">
            <w:pPr>
              <w:numPr>
                <w:ilvl w:val="0"/>
                <w:numId w:val="291"/>
              </w:numPr>
              <w:spacing w:line="259" w:lineRule="auto"/>
              <w:jc w:val="both"/>
              <w:rPr>
                <w:rFonts w:cstheme="minorHAnsi"/>
                <w:szCs w:val="20"/>
              </w:rPr>
            </w:pPr>
            <w:r w:rsidRPr="008F586B">
              <w:rPr>
                <w:rFonts w:cstheme="minorHAnsi"/>
                <w:szCs w:val="20"/>
              </w:rPr>
              <w:t>Builds emotional and cognitive engagement</w:t>
            </w:r>
          </w:p>
          <w:p w14:paraId="3313E3C3" w14:textId="77777777" w:rsidR="008F586B" w:rsidRPr="008F586B" w:rsidRDefault="008F586B" w:rsidP="00972D72">
            <w:pPr>
              <w:numPr>
                <w:ilvl w:val="0"/>
                <w:numId w:val="291"/>
              </w:numPr>
              <w:spacing w:line="259" w:lineRule="auto"/>
              <w:jc w:val="both"/>
              <w:rPr>
                <w:rFonts w:cstheme="minorHAnsi"/>
                <w:szCs w:val="20"/>
              </w:rPr>
            </w:pPr>
            <w:r w:rsidRPr="008F586B">
              <w:rPr>
                <w:rFonts w:cstheme="minorHAnsi"/>
                <w:szCs w:val="20"/>
              </w:rPr>
              <w:t>Helps stakeholders understand "why it matters"</w:t>
            </w:r>
          </w:p>
          <w:p w14:paraId="1D1590CD" w14:textId="77777777" w:rsidR="008F586B" w:rsidRPr="008F586B" w:rsidRDefault="008F586B" w:rsidP="00972D72">
            <w:pPr>
              <w:numPr>
                <w:ilvl w:val="0"/>
                <w:numId w:val="291"/>
              </w:numPr>
              <w:spacing w:line="259" w:lineRule="auto"/>
              <w:jc w:val="both"/>
              <w:rPr>
                <w:rFonts w:cstheme="minorHAnsi"/>
                <w:szCs w:val="20"/>
              </w:rPr>
            </w:pPr>
            <w:r w:rsidRPr="008F586B">
              <w:rPr>
                <w:rFonts w:cstheme="minorHAnsi"/>
                <w:szCs w:val="20"/>
              </w:rPr>
              <w:t>Demonstrates organisational commitment</w:t>
            </w:r>
          </w:p>
          <w:p w14:paraId="5F60BD98" w14:textId="1B0E57E4" w:rsidR="008F586B" w:rsidRDefault="008F586B" w:rsidP="00972D72">
            <w:pPr>
              <w:numPr>
                <w:ilvl w:val="0"/>
                <w:numId w:val="291"/>
              </w:numPr>
              <w:spacing w:line="259" w:lineRule="auto"/>
              <w:jc w:val="both"/>
              <w:rPr>
                <w:rFonts w:cstheme="minorHAnsi"/>
                <w:szCs w:val="20"/>
              </w:rPr>
            </w:pPr>
            <w:r w:rsidRPr="008F586B">
              <w:rPr>
                <w:rFonts w:cstheme="minorHAnsi"/>
                <w:szCs w:val="20"/>
              </w:rPr>
              <w:t>Promotes transparency and trust</w:t>
            </w:r>
            <w:r w:rsidR="00900767">
              <w:rPr>
                <w:rFonts w:cstheme="minorHAnsi"/>
                <w:szCs w:val="20"/>
              </w:rPr>
              <w:t>.</w:t>
            </w:r>
          </w:p>
          <w:p w14:paraId="2F1D252A" w14:textId="77777777" w:rsidR="00900767" w:rsidRPr="008F586B" w:rsidRDefault="00900767" w:rsidP="00900767">
            <w:pPr>
              <w:spacing w:line="259" w:lineRule="auto"/>
              <w:ind w:left="720"/>
              <w:jc w:val="both"/>
              <w:rPr>
                <w:rFonts w:cstheme="minorHAnsi"/>
                <w:szCs w:val="20"/>
              </w:rPr>
            </w:pPr>
          </w:p>
          <w:p w14:paraId="1D56681B" w14:textId="77777777" w:rsidR="008F586B" w:rsidRPr="00972D72" w:rsidRDefault="008F586B" w:rsidP="00972D72">
            <w:pPr>
              <w:jc w:val="both"/>
              <w:rPr>
                <w:rFonts w:cstheme="minorHAnsi"/>
                <w:b/>
                <w:color w:val="009889" w:themeColor="accent2"/>
                <w:szCs w:val="20"/>
              </w:rPr>
            </w:pPr>
            <w:r w:rsidRPr="00972D72">
              <w:rPr>
                <w:rFonts w:cstheme="minorHAnsi"/>
                <w:b/>
                <w:color w:val="009889" w:themeColor="accent2"/>
                <w:szCs w:val="20"/>
              </w:rPr>
              <w:t>Components of ESG Data Storytelling</w:t>
            </w:r>
          </w:p>
          <w:p w14:paraId="16E49F44" w14:textId="77777777" w:rsidR="008F586B" w:rsidRPr="008F586B" w:rsidRDefault="008F586B" w:rsidP="00972D72">
            <w:pPr>
              <w:jc w:val="both"/>
              <w:rPr>
                <w:rFonts w:cstheme="minorHAnsi"/>
                <w:b/>
                <w:szCs w:val="20"/>
              </w:rPr>
            </w:pPr>
            <w:r w:rsidRPr="008F586B">
              <w:rPr>
                <w:rFonts w:cstheme="minorHAnsi"/>
                <w:b/>
                <w:szCs w:val="20"/>
              </w:rPr>
              <w:t>Narrative</w:t>
            </w:r>
          </w:p>
          <w:p w14:paraId="5BBEA3CE" w14:textId="77777777" w:rsidR="008F586B" w:rsidRPr="008F586B" w:rsidRDefault="008F586B" w:rsidP="00972D72">
            <w:pPr>
              <w:jc w:val="both"/>
              <w:rPr>
                <w:rFonts w:cstheme="minorHAnsi"/>
                <w:szCs w:val="20"/>
              </w:rPr>
            </w:pPr>
            <w:r w:rsidRPr="008F586B">
              <w:rPr>
                <w:rFonts w:cstheme="minorHAnsi"/>
                <w:szCs w:val="20"/>
              </w:rPr>
              <w:t>A clear storyline that explains:</w:t>
            </w:r>
          </w:p>
          <w:p w14:paraId="3B9F0734" w14:textId="77777777" w:rsidR="008F586B" w:rsidRPr="008F586B" w:rsidRDefault="008F586B" w:rsidP="00972D72">
            <w:pPr>
              <w:numPr>
                <w:ilvl w:val="0"/>
                <w:numId w:val="292"/>
              </w:numPr>
              <w:spacing w:line="259" w:lineRule="auto"/>
              <w:jc w:val="both"/>
              <w:rPr>
                <w:rFonts w:cstheme="minorHAnsi"/>
                <w:szCs w:val="20"/>
              </w:rPr>
            </w:pPr>
            <w:r w:rsidRPr="008F586B">
              <w:rPr>
                <w:rFonts w:cstheme="minorHAnsi"/>
                <w:szCs w:val="20"/>
              </w:rPr>
              <w:t>The challenge (e.g., rising emissions)</w:t>
            </w:r>
          </w:p>
          <w:p w14:paraId="5EE428E9" w14:textId="77777777" w:rsidR="008F586B" w:rsidRPr="008F586B" w:rsidRDefault="008F586B" w:rsidP="00972D72">
            <w:pPr>
              <w:numPr>
                <w:ilvl w:val="0"/>
                <w:numId w:val="292"/>
              </w:numPr>
              <w:spacing w:line="259" w:lineRule="auto"/>
              <w:jc w:val="both"/>
              <w:rPr>
                <w:rFonts w:cstheme="minorHAnsi"/>
                <w:szCs w:val="20"/>
              </w:rPr>
            </w:pPr>
            <w:r w:rsidRPr="008F586B">
              <w:rPr>
                <w:rFonts w:cstheme="minorHAnsi"/>
                <w:szCs w:val="20"/>
              </w:rPr>
              <w:t>The organisational response</w:t>
            </w:r>
          </w:p>
          <w:p w14:paraId="7202565F" w14:textId="77777777" w:rsidR="008F586B" w:rsidRPr="008F586B" w:rsidRDefault="008F586B" w:rsidP="00972D72">
            <w:pPr>
              <w:numPr>
                <w:ilvl w:val="0"/>
                <w:numId w:val="292"/>
              </w:numPr>
              <w:spacing w:line="259" w:lineRule="auto"/>
              <w:jc w:val="both"/>
              <w:rPr>
                <w:rFonts w:cstheme="minorHAnsi"/>
                <w:szCs w:val="20"/>
              </w:rPr>
            </w:pPr>
            <w:r w:rsidRPr="008F586B">
              <w:rPr>
                <w:rFonts w:cstheme="minorHAnsi"/>
                <w:szCs w:val="20"/>
              </w:rPr>
              <w:t>The progress achieved</w:t>
            </w:r>
          </w:p>
          <w:p w14:paraId="5EB871A5" w14:textId="77777777" w:rsidR="008F586B" w:rsidRPr="008F586B" w:rsidRDefault="008F586B" w:rsidP="00972D72">
            <w:pPr>
              <w:numPr>
                <w:ilvl w:val="0"/>
                <w:numId w:val="292"/>
              </w:numPr>
              <w:spacing w:line="259" w:lineRule="auto"/>
              <w:jc w:val="both"/>
              <w:rPr>
                <w:rFonts w:cstheme="minorHAnsi"/>
                <w:szCs w:val="20"/>
              </w:rPr>
            </w:pPr>
            <w:r w:rsidRPr="008F586B">
              <w:rPr>
                <w:rFonts w:cstheme="minorHAnsi"/>
                <w:szCs w:val="20"/>
              </w:rPr>
              <w:t>The next steps or commitments</w:t>
            </w:r>
          </w:p>
          <w:p w14:paraId="64ECBFF3" w14:textId="77777777" w:rsidR="008F586B" w:rsidRDefault="008F586B" w:rsidP="00972D72">
            <w:pPr>
              <w:jc w:val="both"/>
              <w:rPr>
                <w:rFonts w:cstheme="minorHAnsi"/>
                <w:i/>
                <w:szCs w:val="20"/>
              </w:rPr>
            </w:pPr>
            <w:r w:rsidRPr="008F586B">
              <w:rPr>
                <w:rFonts w:cstheme="minorHAnsi"/>
                <w:szCs w:val="20"/>
              </w:rPr>
              <w:t>Example:</w:t>
            </w:r>
            <w:r w:rsidRPr="008F586B">
              <w:rPr>
                <w:rFonts w:cstheme="minorHAnsi"/>
                <w:szCs w:val="20"/>
              </w:rPr>
              <w:br/>
            </w:r>
            <w:r w:rsidRPr="008F586B">
              <w:rPr>
                <w:rFonts w:cstheme="minorHAnsi"/>
                <w:i/>
                <w:szCs w:val="20"/>
              </w:rPr>
              <w:t>"In 2025, our emissions increased by 8% due to expanded operations. Recognising this challenge, we invested in renewable energy systems that reduced emissions by 12% the following year."</w:t>
            </w:r>
          </w:p>
          <w:p w14:paraId="02CB6A3E" w14:textId="77777777" w:rsidR="002074FD" w:rsidRPr="008F586B" w:rsidRDefault="002074FD" w:rsidP="00972D72">
            <w:pPr>
              <w:jc w:val="both"/>
              <w:rPr>
                <w:rFonts w:cstheme="minorHAnsi"/>
                <w:szCs w:val="20"/>
              </w:rPr>
            </w:pPr>
          </w:p>
          <w:p w14:paraId="698CB487" w14:textId="77777777" w:rsidR="008F586B" w:rsidRPr="008F586B" w:rsidRDefault="008F586B" w:rsidP="00972D72">
            <w:pPr>
              <w:jc w:val="both"/>
              <w:rPr>
                <w:rFonts w:cstheme="minorHAnsi"/>
                <w:b/>
                <w:szCs w:val="20"/>
              </w:rPr>
            </w:pPr>
            <w:r w:rsidRPr="008F586B">
              <w:rPr>
                <w:rFonts w:cstheme="minorHAnsi"/>
                <w:b/>
                <w:szCs w:val="20"/>
              </w:rPr>
              <w:t>Visuals</w:t>
            </w:r>
          </w:p>
          <w:p w14:paraId="55F6846C" w14:textId="77777777" w:rsidR="008F586B" w:rsidRPr="008F586B" w:rsidRDefault="008F586B" w:rsidP="00972D72">
            <w:pPr>
              <w:jc w:val="both"/>
              <w:rPr>
                <w:rFonts w:cstheme="minorHAnsi"/>
                <w:szCs w:val="20"/>
              </w:rPr>
            </w:pPr>
            <w:r w:rsidRPr="008F586B">
              <w:rPr>
                <w:rFonts w:cstheme="minorHAnsi"/>
                <w:szCs w:val="20"/>
              </w:rPr>
              <w:t>Effective visuals simplify complexity:</w:t>
            </w:r>
          </w:p>
          <w:p w14:paraId="6D42F3DB" w14:textId="77777777" w:rsidR="008F586B" w:rsidRPr="008F586B" w:rsidRDefault="008F586B" w:rsidP="00972D72">
            <w:pPr>
              <w:numPr>
                <w:ilvl w:val="0"/>
                <w:numId w:val="293"/>
              </w:numPr>
              <w:spacing w:line="259" w:lineRule="auto"/>
              <w:jc w:val="both"/>
              <w:rPr>
                <w:rFonts w:cstheme="minorHAnsi"/>
                <w:szCs w:val="20"/>
              </w:rPr>
            </w:pPr>
            <w:r w:rsidRPr="008F586B">
              <w:rPr>
                <w:rFonts w:cstheme="minorHAnsi"/>
                <w:szCs w:val="20"/>
              </w:rPr>
              <w:t>Trend lines</w:t>
            </w:r>
          </w:p>
          <w:p w14:paraId="3C92037B" w14:textId="77777777" w:rsidR="008F586B" w:rsidRPr="008F586B" w:rsidRDefault="008F586B" w:rsidP="00972D72">
            <w:pPr>
              <w:numPr>
                <w:ilvl w:val="0"/>
                <w:numId w:val="293"/>
              </w:numPr>
              <w:spacing w:line="259" w:lineRule="auto"/>
              <w:jc w:val="both"/>
              <w:rPr>
                <w:rFonts w:cstheme="minorHAnsi"/>
                <w:szCs w:val="20"/>
              </w:rPr>
            </w:pPr>
            <w:r w:rsidRPr="008F586B">
              <w:rPr>
                <w:rFonts w:cstheme="minorHAnsi"/>
                <w:szCs w:val="20"/>
              </w:rPr>
              <w:t>Before/after comparisons</w:t>
            </w:r>
          </w:p>
          <w:p w14:paraId="489C6751" w14:textId="77777777" w:rsidR="008F586B" w:rsidRPr="008F586B" w:rsidRDefault="008F586B" w:rsidP="00972D72">
            <w:pPr>
              <w:numPr>
                <w:ilvl w:val="0"/>
                <w:numId w:val="293"/>
              </w:numPr>
              <w:spacing w:line="259" w:lineRule="auto"/>
              <w:jc w:val="both"/>
              <w:rPr>
                <w:rFonts w:cstheme="minorHAnsi"/>
                <w:szCs w:val="20"/>
              </w:rPr>
            </w:pPr>
            <w:r w:rsidRPr="008F586B">
              <w:rPr>
                <w:rFonts w:cstheme="minorHAnsi"/>
                <w:szCs w:val="20"/>
              </w:rPr>
              <w:t>Maps for supply-chain or biodiversity impacts</w:t>
            </w:r>
          </w:p>
          <w:p w14:paraId="33345BE7" w14:textId="77777777" w:rsidR="008F586B" w:rsidRPr="008F586B" w:rsidRDefault="008F586B" w:rsidP="00972D72">
            <w:pPr>
              <w:numPr>
                <w:ilvl w:val="0"/>
                <w:numId w:val="293"/>
              </w:numPr>
              <w:spacing w:line="259" w:lineRule="auto"/>
              <w:jc w:val="both"/>
              <w:rPr>
                <w:rFonts w:cstheme="minorHAnsi"/>
                <w:szCs w:val="20"/>
              </w:rPr>
            </w:pPr>
            <w:r w:rsidRPr="008F586B">
              <w:rPr>
                <w:rFonts w:cstheme="minorHAnsi"/>
                <w:szCs w:val="20"/>
              </w:rPr>
              <w:t>Stacked bars for energy mix</w:t>
            </w:r>
          </w:p>
          <w:p w14:paraId="7AB67FB6" w14:textId="77777777" w:rsidR="008F586B" w:rsidRPr="008F586B" w:rsidRDefault="008F586B" w:rsidP="00972D72">
            <w:pPr>
              <w:numPr>
                <w:ilvl w:val="0"/>
                <w:numId w:val="293"/>
              </w:numPr>
              <w:spacing w:line="259" w:lineRule="auto"/>
              <w:jc w:val="both"/>
              <w:rPr>
                <w:rFonts w:cstheme="minorHAnsi"/>
                <w:szCs w:val="20"/>
              </w:rPr>
            </w:pPr>
            <w:r w:rsidRPr="008F586B">
              <w:rPr>
                <w:rFonts w:cstheme="minorHAnsi"/>
                <w:szCs w:val="20"/>
              </w:rPr>
              <w:t>Sankey diagrams for material flows</w:t>
            </w:r>
          </w:p>
          <w:p w14:paraId="464E5E4E" w14:textId="77777777" w:rsidR="008F586B" w:rsidRPr="008F586B" w:rsidRDefault="008F586B" w:rsidP="00972D72">
            <w:pPr>
              <w:jc w:val="both"/>
              <w:rPr>
                <w:rFonts w:cstheme="minorHAnsi"/>
                <w:b/>
                <w:szCs w:val="20"/>
              </w:rPr>
            </w:pPr>
            <w:r w:rsidRPr="008F586B">
              <w:rPr>
                <w:rFonts w:cstheme="minorHAnsi"/>
                <w:b/>
                <w:szCs w:val="20"/>
              </w:rPr>
              <w:t>Context</w:t>
            </w:r>
          </w:p>
          <w:p w14:paraId="4784B379" w14:textId="77777777" w:rsidR="008F586B" w:rsidRPr="008F586B" w:rsidRDefault="008F586B" w:rsidP="00972D72">
            <w:pPr>
              <w:jc w:val="both"/>
              <w:rPr>
                <w:rFonts w:cstheme="minorHAnsi"/>
                <w:szCs w:val="20"/>
              </w:rPr>
            </w:pPr>
            <w:r w:rsidRPr="008F586B">
              <w:rPr>
                <w:rFonts w:cstheme="minorHAnsi"/>
                <w:szCs w:val="20"/>
              </w:rPr>
              <w:t>Stakeholders need to know:</w:t>
            </w:r>
          </w:p>
          <w:p w14:paraId="48E5FA54" w14:textId="77777777" w:rsidR="008F586B" w:rsidRPr="008F586B" w:rsidRDefault="008F586B" w:rsidP="00972D72">
            <w:pPr>
              <w:numPr>
                <w:ilvl w:val="0"/>
                <w:numId w:val="294"/>
              </w:numPr>
              <w:spacing w:line="259" w:lineRule="auto"/>
              <w:jc w:val="both"/>
              <w:rPr>
                <w:rFonts w:cstheme="minorHAnsi"/>
                <w:szCs w:val="20"/>
              </w:rPr>
            </w:pPr>
            <w:r w:rsidRPr="008F586B">
              <w:rPr>
                <w:rFonts w:cstheme="minorHAnsi"/>
                <w:szCs w:val="20"/>
              </w:rPr>
              <w:t>Benchmarks</w:t>
            </w:r>
          </w:p>
          <w:p w14:paraId="39C14C65" w14:textId="77777777" w:rsidR="008F586B" w:rsidRPr="008F586B" w:rsidRDefault="008F586B" w:rsidP="00972D72">
            <w:pPr>
              <w:numPr>
                <w:ilvl w:val="0"/>
                <w:numId w:val="294"/>
              </w:numPr>
              <w:spacing w:line="259" w:lineRule="auto"/>
              <w:jc w:val="both"/>
              <w:rPr>
                <w:rFonts w:cstheme="minorHAnsi"/>
                <w:szCs w:val="20"/>
              </w:rPr>
            </w:pPr>
            <w:r w:rsidRPr="008F586B">
              <w:rPr>
                <w:rFonts w:cstheme="minorHAnsi"/>
                <w:szCs w:val="20"/>
              </w:rPr>
              <w:t>Industry averages</w:t>
            </w:r>
          </w:p>
          <w:p w14:paraId="479C9D67" w14:textId="77777777" w:rsidR="008F586B" w:rsidRPr="008F586B" w:rsidRDefault="008F586B" w:rsidP="00972D72">
            <w:pPr>
              <w:numPr>
                <w:ilvl w:val="0"/>
                <w:numId w:val="294"/>
              </w:numPr>
              <w:spacing w:line="259" w:lineRule="auto"/>
              <w:jc w:val="both"/>
              <w:rPr>
                <w:rFonts w:cstheme="minorHAnsi"/>
                <w:szCs w:val="20"/>
              </w:rPr>
            </w:pPr>
            <w:r w:rsidRPr="008F586B">
              <w:rPr>
                <w:rFonts w:cstheme="minorHAnsi"/>
                <w:szCs w:val="20"/>
              </w:rPr>
              <w:t>Regulatory expectations</w:t>
            </w:r>
          </w:p>
          <w:p w14:paraId="5E4F42AC" w14:textId="77777777" w:rsidR="008F586B" w:rsidRPr="008F586B" w:rsidRDefault="008F586B" w:rsidP="00972D72">
            <w:pPr>
              <w:numPr>
                <w:ilvl w:val="0"/>
                <w:numId w:val="294"/>
              </w:numPr>
              <w:spacing w:line="259" w:lineRule="auto"/>
              <w:jc w:val="both"/>
              <w:rPr>
                <w:rFonts w:cstheme="minorHAnsi"/>
                <w:szCs w:val="20"/>
              </w:rPr>
            </w:pPr>
            <w:r w:rsidRPr="008F586B">
              <w:rPr>
                <w:rFonts w:cstheme="minorHAnsi"/>
                <w:szCs w:val="20"/>
              </w:rPr>
              <w:t>Long-term targets</w:t>
            </w:r>
          </w:p>
          <w:p w14:paraId="21BD9A8D" w14:textId="77777777" w:rsidR="008F586B" w:rsidRPr="008F586B" w:rsidRDefault="008F586B" w:rsidP="00972D72">
            <w:pPr>
              <w:jc w:val="both"/>
              <w:rPr>
                <w:rFonts w:cstheme="minorHAnsi"/>
                <w:szCs w:val="20"/>
              </w:rPr>
            </w:pPr>
            <w:r w:rsidRPr="008F586B">
              <w:rPr>
                <w:rFonts w:cstheme="minorHAnsi"/>
                <w:szCs w:val="20"/>
              </w:rPr>
              <w:t>Without context, even accurate data is easily misinterpreted.</w:t>
            </w:r>
            <w:r w:rsidRPr="008F586B">
              <w:rPr>
                <w:rFonts w:cstheme="minorHAnsi"/>
                <w:noProof/>
                <w:szCs w:val="20"/>
              </w:rPr>
              <mc:AlternateContent>
                <mc:Choice Requires="wps">
                  <w:drawing>
                    <wp:inline distT="0" distB="0" distL="0" distR="0" wp14:anchorId="597FB0DD" wp14:editId="12B1038D">
                      <wp:extent cx="0" cy="19050"/>
                      <wp:effectExtent l="0" t="0" r="0" b="0"/>
                      <wp:docPr id="67" name="_x0000_i103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5020BB23" id="_x0000_i10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IngEAAEUDAAAOAAAAZHJzL2Uyb0RvYy54bWysUsFu2zAMvQ/YPwi6L3YKdNiMOEXRorts&#10;3YB22JmRpViAJAqUGjt/P0pOsq27DYMBwaLIx/ceubmZvRMHTcli6OV61Uqhg8LBhn0vvz8/vPsg&#10;RcoQBnAYdC+POsmb7ds3myl2+gpHdIMmwSAhdVPs5Zhz7JomqVF7SCuMOvCjQfKQ+Ur7ZiCYGN27&#10;5qpt3zcT0hAJlU6Jo/fLo9xWfGO0yl+NSToL10vmlutJ9dyVs9luoNsTxNGqEw34BxYebOCmF6h7&#10;yCBeyP4F5a0iTGjySqFv0BirdNXAatbtKzVPI0RdtbA5KV5sSv8PVj0enuI3YhummLrEv2I3fcGB&#10;RwUvGaum2ZAv2pitmKt1x4t1es5CLUHF0fXH9rqa2kB3LouU8ieNXpSfXhLPpMLC4XPK3JhTzyml&#10;S0JnhwfrXL3QfnfnSByA53fblq+MjEv+SHOhJAcsZctziTRnSYu4HQ5HlkdYl6AUlLbP8w+geOKW&#10;Wc4jnm2H7hXFJXdpdcvuGFv5lzYL+Kknz6pyPO1VWYbf7zXr1/ZvfwIAAP//AwBQSwMEFAAGAAgA&#10;AAAhAHhHlsrWAAAAAAEAAA8AAABkcnMvZG93bnJldi54bWxMj1FLw0AMx98Fv8MRwTd3pwOR2usY&#10;guBQUKcge7v2sraslyu9rK3f3uiLewkJ//DLL/lqDp0acUhtJAvXCwMKqYq+pdrC58fj1R2oxI68&#10;6yKhhW9MsCrOz3KX+TjRO45brpVAKGXOQsPcZ1qnqsHg0iL2SJLt4xAcyzjU2g9uEnjo9I0xtzq4&#10;luRC43p8aLA6bI9BKF+mHV+el+vXp7dalxNvNoe4s/byYl7fg2Kc+X8ZfvVFHQpxKuORfFKdBXmE&#10;/6pk0pcWlgZ0ketT8eIHAAD//wMAUEsBAi0AFAAGAAgAAAAhALaDOJL+AAAA4QEAABMAAAAAAAAA&#10;AAAAAAAAAAAAAFtDb250ZW50X1R5cGVzXS54bWxQSwECLQAUAAYACAAAACEAOP0h/9YAAACUAQAA&#10;CwAAAAAAAAAAAAAAAAAvAQAAX3JlbHMvLnJlbHNQSwECLQAUAAYACAAAACEAlwjZSJ4BAABFAwAA&#10;DgAAAAAAAAAAAAAAAAAuAgAAZHJzL2Uyb0RvYy54bWxQSwECLQAUAAYACAAAACEAeEeWytYAAAAA&#10;AQAADwAAAAAAAAAAAAAAAAD4AwAAZHJzL2Rvd25yZXYueG1sUEsFBgAAAAAEAAQA8wAAAPsEAAAA&#10;AA==&#10;" fillcolor="#a0a0a0" stroked="f">
                      <w10:anchorlock/>
                    </v:rect>
                  </w:pict>
                </mc:Fallback>
              </mc:AlternateContent>
            </w:r>
          </w:p>
          <w:p w14:paraId="01DED371" w14:textId="77777777" w:rsidR="008F586B" w:rsidRPr="008F586B" w:rsidRDefault="008F586B" w:rsidP="00972D72">
            <w:pPr>
              <w:jc w:val="both"/>
              <w:rPr>
                <w:rFonts w:cstheme="minorHAnsi"/>
                <w:b/>
                <w:szCs w:val="20"/>
              </w:rPr>
            </w:pPr>
            <w:r w:rsidRPr="008F586B">
              <w:rPr>
                <w:rFonts w:cstheme="minorHAnsi"/>
                <w:b/>
                <w:szCs w:val="20"/>
              </w:rPr>
              <w:t>Translating Complex ESG Data into Actionable Insights</w:t>
            </w:r>
          </w:p>
          <w:p w14:paraId="5C623CB6" w14:textId="77777777" w:rsidR="008F586B" w:rsidRPr="008F586B" w:rsidRDefault="008F586B" w:rsidP="00972D72">
            <w:pPr>
              <w:jc w:val="both"/>
              <w:rPr>
                <w:rFonts w:cstheme="minorHAnsi"/>
                <w:szCs w:val="20"/>
              </w:rPr>
            </w:pPr>
            <w:r w:rsidRPr="008F586B">
              <w:rPr>
                <w:rFonts w:cstheme="minorHAnsi"/>
                <w:szCs w:val="20"/>
              </w:rPr>
              <w:t xml:space="preserve">Raw sustainability data is not enough—leaders require </w:t>
            </w:r>
            <w:r w:rsidRPr="008F586B">
              <w:rPr>
                <w:rFonts w:cstheme="minorHAnsi"/>
                <w:b/>
                <w:szCs w:val="20"/>
              </w:rPr>
              <w:t>clear interpretations that support decisions</w:t>
            </w:r>
            <w:r w:rsidRPr="008F586B">
              <w:rPr>
                <w:rFonts w:cstheme="minorHAnsi"/>
                <w:szCs w:val="20"/>
              </w:rPr>
              <w:t>.</w:t>
            </w:r>
          </w:p>
          <w:p w14:paraId="3FC007D5" w14:textId="77777777" w:rsidR="008F586B" w:rsidRPr="008F586B" w:rsidRDefault="008F586B" w:rsidP="00972D72">
            <w:pPr>
              <w:jc w:val="both"/>
              <w:rPr>
                <w:rFonts w:cstheme="minorHAnsi"/>
                <w:b/>
                <w:szCs w:val="20"/>
              </w:rPr>
            </w:pPr>
          </w:p>
          <w:p w14:paraId="44F94E92" w14:textId="77777777" w:rsidR="008F586B" w:rsidRPr="008F586B" w:rsidRDefault="008F586B" w:rsidP="00972D72">
            <w:pPr>
              <w:jc w:val="both"/>
              <w:rPr>
                <w:rFonts w:cstheme="minorHAnsi"/>
                <w:b/>
                <w:szCs w:val="20"/>
              </w:rPr>
            </w:pPr>
            <w:r w:rsidRPr="008F586B">
              <w:rPr>
                <w:rFonts w:cstheme="minorHAnsi"/>
                <w:b/>
                <w:szCs w:val="20"/>
              </w:rPr>
              <w:t>Turning Data into Insights: A Practical Framework</w:t>
            </w:r>
          </w:p>
          <w:p w14:paraId="2B4808DD" w14:textId="77777777" w:rsidR="008F586B" w:rsidRPr="008F586B" w:rsidRDefault="008F586B" w:rsidP="00972D72">
            <w:pPr>
              <w:numPr>
                <w:ilvl w:val="0"/>
                <w:numId w:val="295"/>
              </w:numPr>
              <w:spacing w:line="259" w:lineRule="auto"/>
              <w:jc w:val="both"/>
              <w:rPr>
                <w:rFonts w:cstheme="minorHAnsi"/>
                <w:szCs w:val="20"/>
              </w:rPr>
            </w:pPr>
            <w:r w:rsidRPr="008F586B">
              <w:rPr>
                <w:rFonts w:cstheme="minorHAnsi"/>
                <w:b/>
                <w:szCs w:val="20"/>
              </w:rPr>
              <w:t>Measure</w:t>
            </w:r>
            <w:r w:rsidRPr="008F586B">
              <w:rPr>
                <w:rFonts w:cstheme="minorHAnsi"/>
                <w:szCs w:val="20"/>
              </w:rPr>
              <w:t>: Collect reliable data (energy usage, emissions, injuries, etc.)</w:t>
            </w:r>
          </w:p>
          <w:p w14:paraId="0588C740" w14:textId="77777777" w:rsidR="008F586B" w:rsidRPr="008F586B" w:rsidRDefault="008F586B" w:rsidP="00972D72">
            <w:pPr>
              <w:numPr>
                <w:ilvl w:val="0"/>
                <w:numId w:val="295"/>
              </w:numPr>
              <w:spacing w:line="259" w:lineRule="auto"/>
              <w:jc w:val="both"/>
              <w:rPr>
                <w:rFonts w:cstheme="minorHAnsi"/>
                <w:szCs w:val="20"/>
              </w:rPr>
            </w:pPr>
            <w:r w:rsidRPr="008F586B">
              <w:rPr>
                <w:rFonts w:cstheme="minorHAnsi"/>
                <w:b/>
                <w:szCs w:val="20"/>
              </w:rPr>
              <w:t>Analyse</w:t>
            </w:r>
            <w:r w:rsidRPr="008F586B">
              <w:rPr>
                <w:rFonts w:cstheme="minorHAnsi"/>
                <w:szCs w:val="20"/>
              </w:rPr>
              <w:t>: Identify trends, hotspots, anomalies</w:t>
            </w:r>
          </w:p>
          <w:p w14:paraId="6B50A83B" w14:textId="77777777" w:rsidR="008F586B" w:rsidRPr="008F586B" w:rsidRDefault="008F586B" w:rsidP="00972D72">
            <w:pPr>
              <w:numPr>
                <w:ilvl w:val="0"/>
                <w:numId w:val="295"/>
              </w:numPr>
              <w:spacing w:line="259" w:lineRule="auto"/>
              <w:jc w:val="both"/>
              <w:rPr>
                <w:rFonts w:cstheme="minorHAnsi"/>
                <w:szCs w:val="20"/>
              </w:rPr>
            </w:pPr>
            <w:r w:rsidRPr="008F586B">
              <w:rPr>
                <w:rFonts w:cstheme="minorHAnsi"/>
                <w:b/>
                <w:szCs w:val="20"/>
              </w:rPr>
              <w:t>Interpret</w:t>
            </w:r>
            <w:r w:rsidRPr="008F586B">
              <w:rPr>
                <w:rFonts w:cstheme="minorHAnsi"/>
                <w:szCs w:val="20"/>
              </w:rPr>
              <w:t>: Explain the meaning and implications</w:t>
            </w:r>
          </w:p>
          <w:p w14:paraId="1052D24D" w14:textId="77777777" w:rsidR="008F586B" w:rsidRPr="008F586B" w:rsidRDefault="008F586B" w:rsidP="00972D72">
            <w:pPr>
              <w:numPr>
                <w:ilvl w:val="0"/>
                <w:numId w:val="295"/>
              </w:numPr>
              <w:spacing w:line="259" w:lineRule="auto"/>
              <w:jc w:val="both"/>
              <w:rPr>
                <w:rFonts w:cstheme="minorHAnsi"/>
                <w:szCs w:val="20"/>
              </w:rPr>
            </w:pPr>
            <w:r w:rsidRPr="008F586B">
              <w:rPr>
                <w:rFonts w:cstheme="minorHAnsi"/>
                <w:b/>
                <w:szCs w:val="20"/>
              </w:rPr>
              <w:lastRenderedPageBreak/>
              <w:t>Recommend</w:t>
            </w:r>
            <w:r w:rsidRPr="008F586B">
              <w:rPr>
                <w:rFonts w:cstheme="minorHAnsi"/>
                <w:szCs w:val="20"/>
              </w:rPr>
              <w:t>: Suggest actions, strategies, or interventions</w:t>
            </w:r>
          </w:p>
          <w:p w14:paraId="7F771FCE" w14:textId="77777777" w:rsidR="00972D72" w:rsidRDefault="00972D72" w:rsidP="00972D72">
            <w:pPr>
              <w:jc w:val="both"/>
              <w:rPr>
                <w:rFonts w:cstheme="minorHAnsi"/>
                <w:b/>
                <w:color w:val="00AC4E" w:themeColor="accent1"/>
                <w:szCs w:val="20"/>
              </w:rPr>
            </w:pPr>
          </w:p>
          <w:p w14:paraId="7A2120DE" w14:textId="77777777" w:rsidR="002074FD" w:rsidRDefault="002074FD" w:rsidP="00972D72">
            <w:pPr>
              <w:jc w:val="both"/>
              <w:rPr>
                <w:rFonts w:cstheme="minorHAnsi"/>
                <w:b/>
                <w:color w:val="00AC4E" w:themeColor="accent1"/>
                <w:szCs w:val="20"/>
              </w:rPr>
            </w:pPr>
          </w:p>
          <w:p w14:paraId="545A98FB" w14:textId="0AEB49B3" w:rsidR="008F586B" w:rsidRPr="008F586B" w:rsidRDefault="008F586B" w:rsidP="00972D72">
            <w:pPr>
              <w:jc w:val="both"/>
              <w:rPr>
                <w:rFonts w:cstheme="minorHAnsi"/>
                <w:b/>
                <w:color w:val="00AC4E" w:themeColor="accent1"/>
                <w:szCs w:val="20"/>
              </w:rPr>
            </w:pPr>
            <w:r w:rsidRPr="008F586B">
              <w:rPr>
                <w:rFonts w:cstheme="minorHAnsi"/>
                <w:b/>
                <w:color w:val="00AC4E" w:themeColor="accent1"/>
                <w:szCs w:val="20"/>
              </w:rPr>
              <w:t xml:space="preserve">Additional reading: </w:t>
            </w:r>
          </w:p>
          <w:p w14:paraId="47517121" w14:textId="77777777" w:rsidR="00E661A9" w:rsidRDefault="008F586B" w:rsidP="00E661A9">
            <w:pPr>
              <w:pStyle w:val="ListParagraph"/>
              <w:numPr>
                <w:ilvl w:val="0"/>
                <w:numId w:val="298"/>
              </w:numPr>
              <w:jc w:val="both"/>
              <w:rPr>
                <w:rFonts w:cstheme="minorHAnsi"/>
                <w:szCs w:val="20"/>
              </w:rPr>
            </w:pPr>
            <w:r w:rsidRPr="008F586B">
              <w:rPr>
                <w:rFonts w:cstheme="minorHAnsi"/>
                <w:szCs w:val="20"/>
              </w:rPr>
              <w:t xml:space="preserve">Nussbaumer </w:t>
            </w:r>
            <w:proofErr w:type="spellStart"/>
            <w:r w:rsidRPr="008F586B">
              <w:rPr>
                <w:rFonts w:cstheme="minorHAnsi"/>
                <w:szCs w:val="20"/>
              </w:rPr>
              <w:t>Knaflic</w:t>
            </w:r>
            <w:proofErr w:type="spellEnd"/>
            <w:r w:rsidRPr="008F586B">
              <w:rPr>
                <w:rFonts w:cstheme="minorHAnsi"/>
                <w:szCs w:val="20"/>
              </w:rPr>
              <w:t>, C. (2015). Storytelling with Data. Wiley.</w:t>
            </w:r>
          </w:p>
          <w:p w14:paraId="32ABBA30" w14:textId="1A6DD0D0" w:rsidR="008F586B" w:rsidRPr="00E661A9" w:rsidRDefault="008F586B" w:rsidP="00E661A9">
            <w:pPr>
              <w:pStyle w:val="ListParagraph"/>
              <w:jc w:val="both"/>
              <w:rPr>
                <w:rFonts w:cstheme="minorHAnsi"/>
                <w:szCs w:val="20"/>
              </w:rPr>
            </w:pPr>
            <w:r w:rsidRPr="00E661A9">
              <w:rPr>
                <w:rFonts w:cstheme="minorHAnsi"/>
                <w:szCs w:val="20"/>
              </w:rPr>
              <w:t xml:space="preserve"> </w:t>
            </w:r>
          </w:p>
          <w:p w14:paraId="01129796" w14:textId="37145F24" w:rsidR="008F586B" w:rsidRPr="008F586B" w:rsidRDefault="008F586B" w:rsidP="00972D72">
            <w:pPr>
              <w:jc w:val="both"/>
              <w:rPr>
                <w:rFonts w:cstheme="minorHAnsi"/>
                <w:szCs w:val="20"/>
              </w:rPr>
            </w:pPr>
            <w:r w:rsidRPr="008F586B">
              <w:rPr>
                <w:rFonts w:cstheme="minorHAnsi"/>
                <w:b/>
                <w:color w:val="00AC4E" w:themeColor="accent1"/>
                <w:szCs w:val="20"/>
              </w:rPr>
              <w:t>Key Takeaways:</w:t>
            </w:r>
          </w:p>
          <w:p w14:paraId="414E084B"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Effective ESG communication requires tailored dashboards for each stakeholder group.</w:t>
            </w:r>
          </w:p>
          <w:p w14:paraId="69A104EE"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Data storytelling combines narrative, visuals, and context to make complex ESG data actionable and credible for diverse audiences.</w:t>
            </w:r>
          </w:p>
          <w:p w14:paraId="6147020A" w14:textId="77777777" w:rsidR="008F586B" w:rsidRPr="008F586B" w:rsidRDefault="008F586B" w:rsidP="00972D72">
            <w:pPr>
              <w:pStyle w:val="ListParagraph"/>
              <w:numPr>
                <w:ilvl w:val="0"/>
                <w:numId w:val="262"/>
              </w:numPr>
              <w:jc w:val="both"/>
              <w:rPr>
                <w:rFonts w:cstheme="minorHAnsi"/>
                <w:szCs w:val="20"/>
              </w:rPr>
            </w:pPr>
            <w:r w:rsidRPr="008F586B">
              <w:rPr>
                <w:rFonts w:cstheme="minorHAnsi"/>
                <w:szCs w:val="20"/>
              </w:rPr>
              <w:t>Always provide interpretation alongside data—stakeholders should never have to guess what a metric means or what action it implies.</w:t>
            </w:r>
          </w:p>
          <w:p w14:paraId="7C2622D4" w14:textId="77777777" w:rsidR="008F586B" w:rsidRPr="008F586B" w:rsidRDefault="008F586B" w:rsidP="00972D72">
            <w:pPr>
              <w:jc w:val="both"/>
              <w:rPr>
                <w:rFonts w:cstheme="minorHAnsi"/>
                <w:szCs w:val="20"/>
              </w:rPr>
            </w:pPr>
          </w:p>
          <w:p w14:paraId="5E13201E" w14:textId="77777777" w:rsidR="008F586B" w:rsidRPr="008F586B" w:rsidRDefault="008F586B" w:rsidP="00972D72">
            <w:pPr>
              <w:jc w:val="both"/>
              <w:rPr>
                <w:rFonts w:cstheme="minorHAnsi"/>
                <w:b/>
                <w:color w:val="00AC4E" w:themeColor="accent1"/>
                <w:szCs w:val="20"/>
              </w:rPr>
            </w:pPr>
            <w:r w:rsidRPr="008F586B">
              <w:rPr>
                <w:rFonts w:cstheme="minorHAnsi"/>
                <w:b/>
                <w:color w:val="00AC4E" w:themeColor="accent1"/>
                <w:szCs w:val="20"/>
              </w:rPr>
              <w:t xml:space="preserve">Quick Check: </w:t>
            </w:r>
          </w:p>
          <w:p w14:paraId="1EC3F78A" w14:textId="77777777" w:rsidR="008F586B" w:rsidRPr="00972D72" w:rsidRDefault="008F586B" w:rsidP="00972D72">
            <w:pPr>
              <w:pStyle w:val="ListParagraph"/>
              <w:numPr>
                <w:ilvl w:val="0"/>
                <w:numId w:val="308"/>
              </w:numPr>
              <w:jc w:val="both"/>
              <w:rPr>
                <w:rFonts w:cstheme="minorHAnsi"/>
                <w:color w:val="009889" w:themeColor="accent2"/>
                <w:szCs w:val="20"/>
              </w:rPr>
            </w:pPr>
            <w:r w:rsidRPr="00972D72">
              <w:rPr>
                <w:rFonts w:cstheme="minorHAnsi"/>
                <w:color w:val="009889" w:themeColor="accent2"/>
                <w:szCs w:val="20"/>
              </w:rPr>
              <w:t>Which of the following best describes the “Context” component of ESG data storytelling?</w:t>
            </w:r>
          </w:p>
          <w:p w14:paraId="5EFC3E66" w14:textId="77777777" w:rsidR="008F586B" w:rsidRPr="008F586B" w:rsidRDefault="008F586B" w:rsidP="00972D72">
            <w:pPr>
              <w:pStyle w:val="ListParagraph"/>
              <w:ind w:left="360"/>
              <w:jc w:val="both"/>
              <w:rPr>
                <w:rFonts w:cstheme="minorHAnsi"/>
                <w:szCs w:val="20"/>
              </w:rPr>
            </w:pPr>
            <w:r w:rsidRPr="008F586B">
              <w:rPr>
                <w:rFonts w:cstheme="minorHAnsi"/>
                <w:szCs w:val="20"/>
              </w:rPr>
              <w:t xml:space="preserve">a) The visual design choices used in charts  </w:t>
            </w:r>
          </w:p>
          <w:p w14:paraId="0DF2C405" w14:textId="77777777" w:rsidR="008F586B" w:rsidRPr="008F586B" w:rsidRDefault="008F586B" w:rsidP="00972D72">
            <w:pPr>
              <w:pStyle w:val="ListParagraph"/>
              <w:ind w:left="360"/>
              <w:jc w:val="both"/>
              <w:rPr>
                <w:rFonts w:cstheme="minorHAnsi"/>
                <w:szCs w:val="20"/>
              </w:rPr>
            </w:pPr>
            <w:r w:rsidRPr="008F586B">
              <w:rPr>
                <w:rFonts w:cstheme="minorHAnsi"/>
                <w:szCs w:val="20"/>
              </w:rPr>
              <w:t xml:space="preserve">b) The raw emissions figures from the ERP system  </w:t>
            </w:r>
          </w:p>
          <w:p w14:paraId="3556BC0C" w14:textId="77777777" w:rsidR="008F586B" w:rsidRPr="008F586B" w:rsidRDefault="008F586B" w:rsidP="00972D72">
            <w:pPr>
              <w:pStyle w:val="ListParagraph"/>
              <w:ind w:left="360"/>
              <w:jc w:val="both"/>
              <w:rPr>
                <w:rFonts w:cstheme="minorHAnsi"/>
                <w:szCs w:val="20"/>
              </w:rPr>
            </w:pPr>
            <w:r w:rsidRPr="008F586B">
              <w:rPr>
                <w:rFonts w:cstheme="minorHAnsi"/>
                <w:szCs w:val="20"/>
              </w:rPr>
              <w:t xml:space="preserve">c) Benchmarks, regulatory thresholds, and long-term targets that frame the data  </w:t>
            </w:r>
          </w:p>
          <w:p w14:paraId="5B78F618" w14:textId="77777777" w:rsidR="008F586B" w:rsidRPr="008F586B" w:rsidRDefault="008F586B" w:rsidP="00972D72">
            <w:pPr>
              <w:pStyle w:val="ListParagraph"/>
              <w:ind w:left="360"/>
              <w:jc w:val="both"/>
              <w:rPr>
                <w:rFonts w:cstheme="minorHAnsi"/>
                <w:szCs w:val="20"/>
              </w:rPr>
            </w:pPr>
            <w:r w:rsidRPr="008F586B">
              <w:rPr>
                <w:rFonts w:cstheme="minorHAnsi"/>
                <w:szCs w:val="20"/>
              </w:rPr>
              <w:t>d) The narrative arc of the annual report</w:t>
            </w:r>
          </w:p>
          <w:p w14:paraId="4A85D979" w14:textId="77777777" w:rsidR="008F586B" w:rsidRPr="008F586B" w:rsidRDefault="008F586B" w:rsidP="00972D72">
            <w:pPr>
              <w:pStyle w:val="ListParagraph"/>
              <w:jc w:val="both"/>
              <w:rPr>
                <w:rFonts w:cstheme="minorHAnsi"/>
                <w:szCs w:val="20"/>
              </w:rPr>
            </w:pPr>
          </w:p>
          <w:p w14:paraId="0BF4E03C" w14:textId="77777777" w:rsidR="008F586B" w:rsidRPr="00972D72" w:rsidRDefault="008F586B" w:rsidP="00972D72">
            <w:pPr>
              <w:pStyle w:val="ListParagraph"/>
              <w:numPr>
                <w:ilvl w:val="0"/>
                <w:numId w:val="308"/>
              </w:numPr>
              <w:jc w:val="both"/>
              <w:rPr>
                <w:rFonts w:cstheme="minorHAnsi"/>
                <w:color w:val="009889" w:themeColor="accent2"/>
                <w:szCs w:val="20"/>
              </w:rPr>
            </w:pPr>
            <w:r w:rsidRPr="00972D72">
              <w:rPr>
                <w:rFonts w:cstheme="minorHAnsi"/>
                <w:color w:val="009889" w:themeColor="accent2"/>
                <w:szCs w:val="20"/>
              </w:rPr>
              <w:t>True or False: Presenting only positive ESG results to external stakeholders is an accepted best practice in transparency-focused sustainability communication.</w:t>
            </w:r>
          </w:p>
          <w:p w14:paraId="4C4B1924" w14:textId="77777777" w:rsidR="008F586B" w:rsidRPr="008F586B" w:rsidRDefault="008F586B" w:rsidP="00972D72">
            <w:pPr>
              <w:jc w:val="both"/>
              <w:rPr>
                <w:rFonts w:cstheme="minorHAnsi"/>
                <w:szCs w:val="20"/>
              </w:rPr>
            </w:pPr>
          </w:p>
          <w:p w14:paraId="78104E85" w14:textId="77777777" w:rsidR="008F586B" w:rsidRPr="008F586B" w:rsidRDefault="008F586B" w:rsidP="00972D72">
            <w:pPr>
              <w:jc w:val="both"/>
              <w:rPr>
                <w:rFonts w:cstheme="minorHAnsi"/>
                <w:szCs w:val="20"/>
              </w:rPr>
            </w:pPr>
            <w:r w:rsidRPr="008F586B">
              <w:rPr>
                <w:rFonts w:cstheme="minorHAnsi"/>
                <w:i/>
                <w:szCs w:val="20"/>
              </w:rPr>
              <w:t>Answer key: 1) c; 2) False</w:t>
            </w:r>
          </w:p>
        </w:tc>
      </w:tr>
    </w:tbl>
    <w:p w14:paraId="004D4316" w14:textId="77777777" w:rsidR="00972D72" w:rsidRDefault="00972D72">
      <w:r>
        <w:lastRenderedPageBreak/>
        <w:br w:type="page"/>
      </w:r>
    </w:p>
    <w:tbl>
      <w:tblPr>
        <w:tblStyle w:val="TableGrid"/>
        <w:tblW w:w="0" w:type="auto"/>
        <w:tblLook w:val="04A0" w:firstRow="1" w:lastRow="0" w:firstColumn="1" w:lastColumn="0" w:noHBand="0" w:noVBand="1"/>
      </w:tblPr>
      <w:tblGrid>
        <w:gridCol w:w="9628"/>
      </w:tblGrid>
      <w:tr w:rsidR="00972D72" w:rsidRPr="00E65B9B" w14:paraId="7FE9307A" w14:textId="77777777" w:rsidTr="00E65B9B">
        <w:tc>
          <w:tcPr>
            <w:tcW w:w="9628" w:type="dxa"/>
          </w:tcPr>
          <w:p w14:paraId="16C4331A" w14:textId="62BCA5E6" w:rsidR="00972D72" w:rsidRPr="00E65B9B" w:rsidRDefault="00972D72" w:rsidP="00E65B9B">
            <w:pPr>
              <w:pStyle w:val="Heading2"/>
              <w:numPr>
                <w:ilvl w:val="0"/>
                <w:numId w:val="0"/>
              </w:numPr>
            </w:pPr>
            <w:bookmarkStart w:id="59" w:name="_Toc227485176"/>
            <w:r w:rsidRPr="00E65B9B">
              <w:lastRenderedPageBreak/>
              <w:t>Topic 3.4: Dashboard Evaluation and Performance Review</w:t>
            </w:r>
            <w:bookmarkEnd w:id="59"/>
          </w:p>
        </w:tc>
      </w:tr>
      <w:tr w:rsidR="00972D72" w:rsidRPr="00E65B9B" w14:paraId="19BBA534" w14:textId="77777777" w:rsidTr="00E65B9B">
        <w:tc>
          <w:tcPr>
            <w:tcW w:w="9628" w:type="dxa"/>
            <w:shd w:val="clear" w:color="auto" w:fill="D9D9D9" w:themeFill="background1" w:themeFillShade="D9"/>
          </w:tcPr>
          <w:p w14:paraId="5892FB32" w14:textId="0B629466" w:rsidR="00972D72" w:rsidRPr="00E65B9B" w:rsidRDefault="00972D72" w:rsidP="00E65B9B">
            <w:pPr>
              <w:jc w:val="both"/>
              <w:rPr>
                <w:rFonts w:cstheme="minorHAnsi"/>
                <w:b/>
                <w:szCs w:val="20"/>
              </w:rPr>
            </w:pPr>
            <w:r w:rsidRPr="00E65B9B">
              <w:rPr>
                <w:rFonts w:cstheme="minorHAnsi"/>
                <w:b/>
                <w:szCs w:val="20"/>
              </w:rPr>
              <w:t>Short introduction:</w:t>
            </w:r>
          </w:p>
        </w:tc>
      </w:tr>
      <w:tr w:rsidR="00972D72" w:rsidRPr="00E65B9B" w14:paraId="17D8AEBE" w14:textId="77777777" w:rsidTr="00E65B9B">
        <w:tc>
          <w:tcPr>
            <w:tcW w:w="9628" w:type="dxa"/>
          </w:tcPr>
          <w:p w14:paraId="414F3CB4" w14:textId="12BE303B" w:rsidR="00972D72" w:rsidRPr="00E65B9B" w:rsidRDefault="00972D72" w:rsidP="00E65B9B">
            <w:pPr>
              <w:jc w:val="both"/>
              <w:rPr>
                <w:rFonts w:cstheme="minorHAnsi"/>
                <w:szCs w:val="20"/>
              </w:rPr>
            </w:pPr>
            <w:r w:rsidRPr="00E65B9B">
              <w:rPr>
                <w:rFonts w:cstheme="minorHAnsi"/>
                <w:szCs w:val="20"/>
              </w:rPr>
              <w:t>A technically complete dashboard is not necessarily a useful one. This topic provides structured frameworks for evaluating dashboard usability, compliance alignment, and KPI effectiveness—equipping learners with the tools to continuously improve their ESG reporting tools.</w:t>
            </w:r>
          </w:p>
        </w:tc>
      </w:tr>
      <w:tr w:rsidR="00972D72" w:rsidRPr="00E65B9B" w14:paraId="5CEA36A4" w14:textId="77777777" w:rsidTr="00E65B9B">
        <w:tc>
          <w:tcPr>
            <w:tcW w:w="9628" w:type="dxa"/>
            <w:shd w:val="clear" w:color="auto" w:fill="D9D9D9" w:themeFill="background1" w:themeFillShade="D9"/>
          </w:tcPr>
          <w:p w14:paraId="7AAD1421" w14:textId="3AC6A166" w:rsidR="00972D72" w:rsidRPr="00E65B9B" w:rsidRDefault="00972D72" w:rsidP="00E65B9B">
            <w:pPr>
              <w:jc w:val="both"/>
              <w:rPr>
                <w:rFonts w:cstheme="minorHAnsi"/>
                <w:szCs w:val="20"/>
              </w:rPr>
            </w:pPr>
            <w:r w:rsidRPr="00E65B9B">
              <w:rPr>
                <w:rFonts w:cstheme="minorHAnsi"/>
                <w:b/>
                <w:szCs w:val="20"/>
              </w:rPr>
              <w:t xml:space="preserve">Theory &amp; Knowledge: </w:t>
            </w:r>
          </w:p>
        </w:tc>
      </w:tr>
      <w:tr w:rsidR="008F586B" w:rsidRPr="00E65B9B" w14:paraId="1F2A3870" w14:textId="77777777" w:rsidTr="00E65B9B">
        <w:tc>
          <w:tcPr>
            <w:tcW w:w="9628" w:type="dxa"/>
          </w:tcPr>
          <w:p w14:paraId="60AA08B4" w14:textId="77777777" w:rsidR="008F586B" w:rsidRPr="00E65B9B" w:rsidRDefault="008F586B" w:rsidP="00E65B9B">
            <w:pPr>
              <w:jc w:val="both"/>
              <w:rPr>
                <w:rFonts w:cstheme="minorHAnsi"/>
                <w:b/>
                <w:color w:val="009889" w:themeColor="accent2"/>
                <w:szCs w:val="20"/>
              </w:rPr>
            </w:pPr>
            <w:r w:rsidRPr="00E65B9B">
              <w:rPr>
                <w:rFonts w:cstheme="minorHAnsi"/>
                <w:b/>
                <w:color w:val="009889" w:themeColor="accent2"/>
                <w:szCs w:val="20"/>
              </w:rPr>
              <w:t>Part I: Assessing Usability and Clarity</w:t>
            </w:r>
          </w:p>
          <w:p w14:paraId="761CCDCF" w14:textId="77777777" w:rsidR="008F586B" w:rsidRPr="00E65B9B" w:rsidRDefault="008F586B" w:rsidP="00E65B9B">
            <w:pPr>
              <w:jc w:val="both"/>
              <w:rPr>
                <w:rFonts w:cstheme="minorHAnsi"/>
                <w:b/>
                <w:szCs w:val="20"/>
              </w:rPr>
            </w:pPr>
            <w:r w:rsidRPr="00E65B9B">
              <w:rPr>
                <w:rFonts w:cstheme="minorHAnsi"/>
                <w:b/>
                <w:szCs w:val="20"/>
              </w:rPr>
              <w:t>Usability: What “Good” Looks Like</w:t>
            </w:r>
          </w:p>
          <w:p w14:paraId="4A107808" w14:textId="77777777" w:rsidR="008F586B" w:rsidRPr="00E65B9B" w:rsidRDefault="008F586B" w:rsidP="00E65B9B">
            <w:pPr>
              <w:jc w:val="both"/>
              <w:rPr>
                <w:rFonts w:cstheme="minorHAnsi"/>
                <w:szCs w:val="20"/>
              </w:rPr>
            </w:pPr>
            <w:r w:rsidRPr="00E65B9B">
              <w:rPr>
                <w:rFonts w:cstheme="minorHAnsi"/>
                <w:szCs w:val="20"/>
              </w:rPr>
              <w:t xml:space="preserve">A usable dashboard should allow a first-time user to answer the top 3 business questions in </w:t>
            </w:r>
            <w:r w:rsidRPr="00E65B9B">
              <w:rPr>
                <w:rFonts w:cstheme="minorHAnsi"/>
                <w:b/>
                <w:szCs w:val="20"/>
              </w:rPr>
              <w:t>≤ 30 seconds</w:t>
            </w:r>
            <w:r w:rsidRPr="00E65B9B">
              <w:rPr>
                <w:rFonts w:cstheme="minorHAnsi"/>
                <w:szCs w:val="20"/>
              </w:rPr>
              <w:t xml:space="preserve"> each, with </w:t>
            </w:r>
            <w:r w:rsidRPr="00E65B9B">
              <w:rPr>
                <w:rFonts w:cstheme="minorHAnsi"/>
                <w:b/>
                <w:szCs w:val="20"/>
              </w:rPr>
              <w:t>≤ 2 interactions</w:t>
            </w:r>
            <w:r w:rsidRPr="00E65B9B">
              <w:rPr>
                <w:rFonts w:cstheme="minorHAnsi"/>
                <w:szCs w:val="20"/>
              </w:rPr>
              <w:t xml:space="preserve"> (e.g., a filter change and one click), and </w:t>
            </w:r>
            <w:r w:rsidRPr="00E65B9B">
              <w:rPr>
                <w:rFonts w:cstheme="minorHAnsi"/>
                <w:b/>
                <w:szCs w:val="20"/>
              </w:rPr>
              <w:t>≤ 5% error rate</w:t>
            </w:r>
            <w:r w:rsidRPr="00E65B9B">
              <w:rPr>
                <w:rFonts w:cstheme="minorHAnsi"/>
                <w:szCs w:val="20"/>
              </w:rPr>
              <w:t xml:space="preserve"> in interpretation or workflow.</w:t>
            </w:r>
          </w:p>
          <w:p w14:paraId="74D9B23B" w14:textId="77777777" w:rsidR="008F586B" w:rsidRPr="00E65B9B" w:rsidRDefault="008F586B" w:rsidP="00E65B9B">
            <w:pPr>
              <w:jc w:val="both"/>
              <w:rPr>
                <w:rFonts w:cstheme="minorHAnsi"/>
                <w:szCs w:val="20"/>
              </w:rPr>
            </w:pPr>
            <w:r w:rsidRPr="00E65B9B">
              <w:rPr>
                <w:rFonts w:cstheme="minorHAnsi"/>
                <w:b/>
                <w:szCs w:val="20"/>
              </w:rPr>
              <w:t>Core principles:</w:t>
            </w:r>
          </w:p>
          <w:p w14:paraId="5E976DC7" w14:textId="77777777" w:rsidR="008F586B" w:rsidRPr="00E65B9B" w:rsidRDefault="008F586B" w:rsidP="00E65B9B">
            <w:pPr>
              <w:numPr>
                <w:ilvl w:val="0"/>
                <w:numId w:val="300"/>
              </w:numPr>
              <w:jc w:val="both"/>
              <w:rPr>
                <w:rFonts w:cstheme="minorHAnsi"/>
                <w:szCs w:val="20"/>
              </w:rPr>
            </w:pPr>
            <w:r w:rsidRPr="00E65B9B">
              <w:rPr>
                <w:rFonts w:cstheme="minorHAnsi"/>
                <w:b/>
                <w:szCs w:val="20"/>
              </w:rPr>
              <w:t>Clarity of purpose:</w:t>
            </w:r>
            <w:r w:rsidRPr="00E65B9B">
              <w:rPr>
                <w:rFonts w:cstheme="minorHAnsi"/>
                <w:szCs w:val="20"/>
              </w:rPr>
              <w:t xml:space="preserve"> The dashboard’s title and subtitle declare the intended decisions or questions it supports.</w:t>
            </w:r>
          </w:p>
          <w:p w14:paraId="725B5E4E" w14:textId="77777777" w:rsidR="008F586B" w:rsidRPr="00E65B9B" w:rsidRDefault="008F586B" w:rsidP="00E65B9B">
            <w:pPr>
              <w:numPr>
                <w:ilvl w:val="0"/>
                <w:numId w:val="300"/>
              </w:numPr>
              <w:jc w:val="both"/>
              <w:rPr>
                <w:rFonts w:cstheme="minorHAnsi"/>
                <w:szCs w:val="20"/>
              </w:rPr>
            </w:pPr>
            <w:r w:rsidRPr="00E65B9B">
              <w:rPr>
                <w:rFonts w:cstheme="minorHAnsi"/>
                <w:b/>
                <w:szCs w:val="20"/>
              </w:rPr>
              <w:t>Information hierarchy:</w:t>
            </w:r>
            <w:r w:rsidRPr="00E65B9B">
              <w:rPr>
                <w:rFonts w:cstheme="minorHAnsi"/>
                <w:szCs w:val="20"/>
              </w:rPr>
              <w:t xml:space="preserve"> The most important KPIs and alerts are visible </w:t>
            </w:r>
            <w:r w:rsidRPr="00E65B9B">
              <w:rPr>
                <w:rFonts w:cstheme="minorHAnsi"/>
                <w:b/>
                <w:szCs w:val="20"/>
              </w:rPr>
              <w:t>above the fold</w:t>
            </w:r>
            <w:r w:rsidRPr="00E65B9B">
              <w:rPr>
                <w:rFonts w:cstheme="minorHAnsi"/>
                <w:szCs w:val="20"/>
              </w:rPr>
              <w:t>; secondary details are layered via tabs, drill-through, or expandable sections.</w:t>
            </w:r>
          </w:p>
          <w:p w14:paraId="363DCF92" w14:textId="77777777" w:rsidR="008F586B" w:rsidRPr="00E65B9B" w:rsidRDefault="008F586B" w:rsidP="00E65B9B">
            <w:pPr>
              <w:numPr>
                <w:ilvl w:val="0"/>
                <w:numId w:val="300"/>
              </w:numPr>
              <w:jc w:val="both"/>
              <w:rPr>
                <w:rFonts w:cstheme="minorHAnsi"/>
                <w:szCs w:val="20"/>
              </w:rPr>
            </w:pPr>
            <w:r w:rsidRPr="00E65B9B">
              <w:rPr>
                <w:rFonts w:cstheme="minorHAnsi"/>
                <w:b/>
                <w:szCs w:val="20"/>
              </w:rPr>
              <w:t>Perceptual optimization:</w:t>
            </w:r>
            <w:r w:rsidRPr="00E65B9B">
              <w:rPr>
                <w:rFonts w:cstheme="minorHAnsi"/>
                <w:szCs w:val="20"/>
              </w:rPr>
              <w:t xml:space="preserve"> Appropriate chart types, colour scales, and </w:t>
            </w:r>
            <w:proofErr w:type="spellStart"/>
            <w:r w:rsidRPr="00E65B9B">
              <w:rPr>
                <w:rFonts w:cstheme="minorHAnsi"/>
                <w:szCs w:val="20"/>
              </w:rPr>
              <w:t>preattentive</w:t>
            </w:r>
            <w:proofErr w:type="spellEnd"/>
            <w:r w:rsidRPr="00E65B9B">
              <w:rPr>
                <w:rFonts w:cstheme="minorHAnsi"/>
                <w:szCs w:val="20"/>
              </w:rPr>
              <w:t xml:space="preserve"> attributes (contrast, size, position) are used to make patterns pop.</w:t>
            </w:r>
          </w:p>
          <w:p w14:paraId="7C50E9FA" w14:textId="77777777" w:rsidR="008F586B" w:rsidRPr="00E65B9B" w:rsidRDefault="008F586B" w:rsidP="00E65B9B">
            <w:pPr>
              <w:numPr>
                <w:ilvl w:val="0"/>
                <w:numId w:val="300"/>
              </w:numPr>
              <w:jc w:val="both"/>
              <w:rPr>
                <w:rFonts w:cstheme="minorHAnsi"/>
                <w:szCs w:val="20"/>
              </w:rPr>
            </w:pPr>
            <w:r w:rsidRPr="00E65B9B">
              <w:rPr>
                <w:rFonts w:cstheme="minorHAnsi"/>
                <w:b/>
                <w:szCs w:val="20"/>
              </w:rPr>
              <w:t>Consistency &amp; predictability:</w:t>
            </w:r>
            <w:r w:rsidRPr="00E65B9B">
              <w:rPr>
                <w:rFonts w:cstheme="minorHAnsi"/>
                <w:szCs w:val="20"/>
              </w:rPr>
              <w:t xml:space="preserve"> Controls and components behave the same across pages and versions; naming is consistent.</w:t>
            </w:r>
          </w:p>
          <w:p w14:paraId="472D2923" w14:textId="77777777" w:rsidR="008F586B" w:rsidRPr="00E65B9B" w:rsidRDefault="008F586B" w:rsidP="00E65B9B">
            <w:pPr>
              <w:numPr>
                <w:ilvl w:val="0"/>
                <w:numId w:val="300"/>
              </w:numPr>
              <w:jc w:val="both"/>
              <w:rPr>
                <w:rFonts w:cstheme="minorHAnsi"/>
                <w:szCs w:val="20"/>
              </w:rPr>
            </w:pPr>
            <w:r w:rsidRPr="00E65B9B">
              <w:rPr>
                <w:rFonts w:cstheme="minorHAnsi"/>
                <w:b/>
                <w:szCs w:val="20"/>
              </w:rPr>
              <w:t>Accessibility:</w:t>
            </w:r>
            <w:r w:rsidRPr="00E65B9B">
              <w:rPr>
                <w:rFonts w:cstheme="minorHAnsi"/>
                <w:szCs w:val="20"/>
              </w:rPr>
              <w:t xml:space="preserve"> Visuals and interactions meet WCAG standards (contrast, focus order, keyboard navigation, alt text).</w:t>
            </w:r>
          </w:p>
          <w:p w14:paraId="2A8FED5F" w14:textId="7BD97135" w:rsidR="008F586B" w:rsidRDefault="008F586B" w:rsidP="00E65B9B">
            <w:pPr>
              <w:jc w:val="both"/>
              <w:rPr>
                <w:rFonts w:cstheme="minorHAnsi"/>
                <w:szCs w:val="20"/>
              </w:rPr>
            </w:pPr>
            <w:r w:rsidRPr="00E65B9B">
              <w:rPr>
                <w:rFonts w:cstheme="minorHAnsi"/>
                <w:szCs w:val="20"/>
              </w:rPr>
              <w:t xml:space="preserve">Check table </w:t>
            </w:r>
            <w:r w:rsidR="003039B8">
              <w:rPr>
                <w:rFonts w:cstheme="minorHAnsi"/>
                <w:szCs w:val="20"/>
              </w:rPr>
              <w:t>11</w:t>
            </w:r>
            <w:r w:rsidRPr="00E65B9B">
              <w:rPr>
                <w:rFonts w:cstheme="minorHAnsi"/>
                <w:szCs w:val="20"/>
              </w:rPr>
              <w:t xml:space="preserve"> for how to evaluate dashboard usability.</w:t>
            </w:r>
          </w:p>
          <w:p w14:paraId="0C0E6849" w14:textId="77777777" w:rsidR="003039B8" w:rsidRPr="00E65B9B" w:rsidRDefault="003039B8" w:rsidP="00E65B9B">
            <w:pPr>
              <w:jc w:val="both"/>
              <w:rPr>
                <w:rFonts w:cstheme="minorHAnsi"/>
                <w:szCs w:val="20"/>
              </w:rPr>
            </w:pPr>
          </w:p>
          <w:p w14:paraId="0A89A09D" w14:textId="13BAF4A5" w:rsidR="00D135B0" w:rsidRPr="00957ED1" w:rsidRDefault="00D135B0" w:rsidP="00957ED1">
            <w:pPr>
              <w:jc w:val="both"/>
              <w:rPr>
                <w:rFonts w:cstheme="minorHAnsi"/>
                <w:color w:val="009889" w:themeColor="accent2"/>
                <w:sz w:val="18"/>
                <w:szCs w:val="18"/>
              </w:rPr>
            </w:pPr>
            <w:r>
              <w:rPr>
                <w:rFonts w:cstheme="minorHAnsi"/>
                <w:color w:val="009889" w:themeColor="accent2"/>
                <w:sz w:val="18"/>
                <w:szCs w:val="18"/>
              </w:rPr>
              <w:t xml:space="preserve"> </w:t>
            </w:r>
          </w:p>
          <w:p w14:paraId="1F821A28" w14:textId="5923CCCE" w:rsidR="00957ED1" w:rsidRPr="00957ED1" w:rsidRDefault="00957ED1" w:rsidP="00957ED1">
            <w:pPr>
              <w:pStyle w:val="Caption"/>
              <w:keepNext/>
              <w:rPr>
                <w:b w:val="0"/>
                <w:bCs w:val="0"/>
              </w:rPr>
            </w:pPr>
            <w:bookmarkStart w:id="60" w:name="_Toc227739605"/>
            <w:r w:rsidRPr="00957ED1">
              <w:rPr>
                <w:b w:val="0"/>
                <w:bCs w:val="0"/>
              </w:rPr>
              <w:t xml:space="preserve">Table </w:t>
            </w:r>
            <w:r w:rsidRPr="00957ED1">
              <w:rPr>
                <w:b w:val="0"/>
                <w:bCs w:val="0"/>
              </w:rPr>
              <w:fldChar w:fldCharType="begin"/>
            </w:r>
            <w:r w:rsidRPr="00957ED1">
              <w:rPr>
                <w:b w:val="0"/>
                <w:bCs w:val="0"/>
              </w:rPr>
              <w:instrText xml:space="preserve"> SEQ Table \* ARABIC </w:instrText>
            </w:r>
            <w:r w:rsidRPr="00957ED1">
              <w:rPr>
                <w:b w:val="0"/>
                <w:bCs w:val="0"/>
              </w:rPr>
              <w:fldChar w:fldCharType="separate"/>
            </w:r>
            <w:r w:rsidRPr="00957ED1">
              <w:rPr>
                <w:b w:val="0"/>
                <w:bCs w:val="0"/>
                <w:noProof/>
              </w:rPr>
              <w:t>11</w:t>
            </w:r>
            <w:r w:rsidRPr="00957ED1">
              <w:rPr>
                <w:b w:val="0"/>
                <w:bCs w:val="0"/>
              </w:rPr>
              <w:fldChar w:fldCharType="end"/>
            </w:r>
            <w:r w:rsidRPr="00957ED1">
              <w:rPr>
                <w:b w:val="0"/>
                <w:bCs w:val="0"/>
              </w:rPr>
              <w:t>.A 10-Dimension Usability &amp; Clarity Rubric (Score Each 1–5) (Source: Author)</w:t>
            </w:r>
            <w:bookmarkEnd w:id="60"/>
          </w:p>
          <w:tbl>
            <w:tblPr>
              <w:tblStyle w:val="Bordered"/>
              <w:tblW w:w="0" w:type="auto"/>
              <w:tblLook w:val="04A0" w:firstRow="1" w:lastRow="0" w:firstColumn="1" w:lastColumn="0" w:noHBand="0" w:noVBand="1"/>
            </w:tblPr>
            <w:tblGrid>
              <w:gridCol w:w="387"/>
              <w:gridCol w:w="1492"/>
              <w:gridCol w:w="3160"/>
              <w:gridCol w:w="1396"/>
              <w:gridCol w:w="1295"/>
              <w:gridCol w:w="1672"/>
            </w:tblGrid>
            <w:tr w:rsidR="003039B8" w:rsidRPr="003039B8" w14:paraId="2499EF63" w14:textId="77777777" w:rsidTr="00303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A73A8" w14:textId="77777777" w:rsidR="008F586B" w:rsidRPr="003039B8" w:rsidRDefault="008F586B" w:rsidP="00E65B9B">
                  <w:pPr>
                    <w:jc w:val="both"/>
                    <w:rPr>
                      <w:rFonts w:asciiTheme="minorHAnsi" w:hAnsiTheme="minorHAnsi" w:cstheme="minorHAnsi"/>
                      <w:b/>
                      <w:sz w:val="18"/>
                      <w:szCs w:val="18"/>
                    </w:rPr>
                  </w:pPr>
                  <w:r w:rsidRPr="003039B8">
                    <w:rPr>
                      <w:rFonts w:asciiTheme="minorHAnsi" w:hAnsiTheme="minorHAnsi" w:cstheme="minorHAnsi"/>
                      <w:b/>
                      <w:sz w:val="18"/>
                      <w:szCs w:val="18"/>
                    </w:rPr>
                    <w:t>#</w:t>
                  </w:r>
                </w:p>
              </w:tc>
              <w:tc>
                <w:tcPr>
                  <w:tcW w:w="0" w:type="auto"/>
                </w:tcPr>
                <w:p w14:paraId="7FF399DE" w14:textId="77777777" w:rsidR="008F586B" w:rsidRPr="003039B8" w:rsidRDefault="008F586B" w:rsidP="003039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3039B8">
                    <w:rPr>
                      <w:rFonts w:asciiTheme="minorHAnsi" w:hAnsiTheme="minorHAnsi" w:cstheme="minorHAnsi"/>
                      <w:b/>
                      <w:sz w:val="18"/>
                      <w:szCs w:val="18"/>
                    </w:rPr>
                    <w:t>Dimension</w:t>
                  </w:r>
                </w:p>
              </w:tc>
              <w:tc>
                <w:tcPr>
                  <w:tcW w:w="0" w:type="auto"/>
                </w:tcPr>
                <w:p w14:paraId="3F62CF70" w14:textId="77777777" w:rsidR="008F586B" w:rsidRPr="003039B8" w:rsidRDefault="008F586B" w:rsidP="003039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3039B8">
                    <w:rPr>
                      <w:rFonts w:asciiTheme="minorHAnsi" w:hAnsiTheme="minorHAnsi" w:cstheme="minorHAnsi"/>
                      <w:b/>
                      <w:sz w:val="18"/>
                      <w:szCs w:val="18"/>
                    </w:rPr>
                    <w:t>What to Check</w:t>
                  </w:r>
                </w:p>
              </w:tc>
              <w:tc>
                <w:tcPr>
                  <w:tcW w:w="0" w:type="auto"/>
                </w:tcPr>
                <w:p w14:paraId="42397EA5" w14:textId="7CB95740" w:rsidR="003039B8" w:rsidRPr="003039B8" w:rsidRDefault="008F586B" w:rsidP="003039B8">
                  <w:pP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3039B8">
                    <w:rPr>
                      <w:rFonts w:asciiTheme="minorHAnsi" w:hAnsiTheme="minorHAnsi" w:cstheme="minorHAnsi"/>
                      <w:b/>
                      <w:sz w:val="18"/>
                      <w:szCs w:val="18"/>
                    </w:rPr>
                    <w:t xml:space="preserve">1 </w:t>
                  </w:r>
                  <w:r w:rsidR="003039B8" w:rsidRPr="003039B8">
                    <w:rPr>
                      <w:rFonts w:asciiTheme="minorHAnsi" w:hAnsiTheme="minorHAnsi" w:cstheme="minorHAnsi"/>
                      <w:b/>
                      <w:sz w:val="18"/>
                      <w:szCs w:val="18"/>
                    </w:rPr>
                    <w:t xml:space="preserve">– </w:t>
                  </w:r>
                </w:p>
                <w:p w14:paraId="4CBCC3D8" w14:textId="3A9A0834" w:rsidR="008F586B" w:rsidRPr="003039B8" w:rsidRDefault="008F586B" w:rsidP="003039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3039B8">
                    <w:rPr>
                      <w:rFonts w:asciiTheme="minorHAnsi" w:hAnsiTheme="minorHAnsi" w:cstheme="minorHAnsi"/>
                      <w:b/>
                      <w:sz w:val="18"/>
                      <w:szCs w:val="18"/>
                    </w:rPr>
                    <w:t>Poor</w:t>
                  </w:r>
                </w:p>
              </w:tc>
              <w:tc>
                <w:tcPr>
                  <w:tcW w:w="0" w:type="auto"/>
                </w:tcPr>
                <w:p w14:paraId="00B20C3D" w14:textId="63ED55AB" w:rsidR="008F586B" w:rsidRPr="003039B8" w:rsidRDefault="008F586B" w:rsidP="003039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3039B8">
                    <w:rPr>
                      <w:rFonts w:asciiTheme="minorHAnsi" w:hAnsiTheme="minorHAnsi" w:cstheme="minorHAnsi"/>
                      <w:b/>
                      <w:sz w:val="18"/>
                      <w:szCs w:val="18"/>
                    </w:rPr>
                    <w:t xml:space="preserve">3 </w:t>
                  </w:r>
                  <w:r w:rsidR="003039B8" w:rsidRPr="003039B8">
                    <w:rPr>
                      <w:rFonts w:asciiTheme="minorHAnsi" w:hAnsiTheme="minorHAnsi" w:cstheme="minorHAnsi"/>
                      <w:b/>
                      <w:sz w:val="18"/>
                      <w:szCs w:val="18"/>
                    </w:rPr>
                    <w:t>-</w:t>
                  </w:r>
                  <w:r w:rsidRPr="003039B8">
                    <w:rPr>
                      <w:rFonts w:asciiTheme="minorHAnsi" w:hAnsiTheme="minorHAnsi" w:cstheme="minorHAnsi"/>
                      <w:b/>
                      <w:sz w:val="18"/>
                      <w:szCs w:val="18"/>
                    </w:rPr>
                    <w:t>Adequate</w:t>
                  </w:r>
                </w:p>
              </w:tc>
              <w:tc>
                <w:tcPr>
                  <w:tcW w:w="0" w:type="auto"/>
                </w:tcPr>
                <w:p w14:paraId="542A8383" w14:textId="7CC55D52" w:rsidR="003039B8" w:rsidRPr="003039B8" w:rsidRDefault="008F586B" w:rsidP="003039B8">
                  <w:pP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3039B8">
                    <w:rPr>
                      <w:rFonts w:asciiTheme="minorHAnsi" w:hAnsiTheme="minorHAnsi" w:cstheme="minorHAnsi"/>
                      <w:b/>
                      <w:sz w:val="18"/>
                      <w:szCs w:val="18"/>
                    </w:rPr>
                    <w:t xml:space="preserve">5 </w:t>
                  </w:r>
                  <w:r w:rsidR="003039B8" w:rsidRPr="003039B8">
                    <w:rPr>
                      <w:rFonts w:asciiTheme="minorHAnsi" w:hAnsiTheme="minorHAnsi" w:cstheme="minorHAnsi"/>
                      <w:b/>
                      <w:sz w:val="18"/>
                      <w:szCs w:val="18"/>
                    </w:rPr>
                    <w:t xml:space="preserve">– </w:t>
                  </w:r>
                </w:p>
                <w:p w14:paraId="498C40AC" w14:textId="16AF0A4A" w:rsidR="008F586B" w:rsidRPr="003039B8" w:rsidRDefault="008F586B" w:rsidP="003039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3039B8">
                    <w:rPr>
                      <w:rFonts w:asciiTheme="minorHAnsi" w:hAnsiTheme="minorHAnsi" w:cstheme="minorHAnsi"/>
                      <w:b/>
                      <w:sz w:val="18"/>
                      <w:szCs w:val="18"/>
                    </w:rPr>
                    <w:t>Excellent</w:t>
                  </w:r>
                </w:p>
              </w:tc>
            </w:tr>
            <w:tr w:rsidR="003039B8" w:rsidRPr="003039B8" w14:paraId="49FECE64" w14:textId="77777777" w:rsidTr="00303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1734B"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1</w:t>
                  </w:r>
                </w:p>
              </w:tc>
              <w:tc>
                <w:tcPr>
                  <w:tcW w:w="0" w:type="auto"/>
                </w:tcPr>
                <w:p w14:paraId="4130E547"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b/>
                      <w:sz w:val="18"/>
                      <w:szCs w:val="18"/>
                    </w:rPr>
                    <w:t>Purpose &amp; Audience Fit</w:t>
                  </w:r>
                </w:p>
              </w:tc>
              <w:tc>
                <w:tcPr>
                  <w:tcW w:w="0" w:type="auto"/>
                </w:tcPr>
                <w:p w14:paraId="0BD8B741"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Does the dashboard clearly state who it’s for and what decisions it supports?</w:t>
                  </w:r>
                </w:p>
              </w:tc>
              <w:tc>
                <w:tcPr>
                  <w:tcW w:w="0" w:type="auto"/>
                </w:tcPr>
                <w:p w14:paraId="13FADFA7"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Unclear</w:t>
                  </w:r>
                </w:p>
              </w:tc>
              <w:tc>
                <w:tcPr>
                  <w:tcW w:w="0" w:type="auto"/>
                </w:tcPr>
                <w:p w14:paraId="1A62D57F"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Somewhat clear</w:t>
                  </w:r>
                </w:p>
              </w:tc>
              <w:tc>
                <w:tcPr>
                  <w:tcW w:w="0" w:type="auto"/>
                </w:tcPr>
                <w:p w14:paraId="5CA53C15"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Unambiguously stated</w:t>
                  </w:r>
                </w:p>
              </w:tc>
            </w:tr>
            <w:tr w:rsidR="003039B8" w:rsidRPr="003039B8" w14:paraId="73564E31" w14:textId="77777777" w:rsidTr="003039B8">
              <w:tc>
                <w:tcPr>
                  <w:cnfStyle w:val="001000000000" w:firstRow="0" w:lastRow="0" w:firstColumn="1" w:lastColumn="0" w:oddVBand="0" w:evenVBand="0" w:oddHBand="0" w:evenHBand="0" w:firstRowFirstColumn="0" w:firstRowLastColumn="0" w:lastRowFirstColumn="0" w:lastRowLastColumn="0"/>
                  <w:tcW w:w="0" w:type="auto"/>
                </w:tcPr>
                <w:p w14:paraId="4F40A739"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2</w:t>
                  </w:r>
                </w:p>
              </w:tc>
              <w:tc>
                <w:tcPr>
                  <w:tcW w:w="0" w:type="auto"/>
                </w:tcPr>
                <w:p w14:paraId="7E5C07D3"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b/>
                      <w:sz w:val="18"/>
                      <w:szCs w:val="18"/>
                    </w:rPr>
                    <w:t>Task Efficiency</w:t>
                  </w:r>
                </w:p>
              </w:tc>
              <w:tc>
                <w:tcPr>
                  <w:tcW w:w="0" w:type="auto"/>
                </w:tcPr>
                <w:p w14:paraId="2BA52CDA" w14:textId="259E0FC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 xml:space="preserve">Can users answer </w:t>
                  </w:r>
                  <w:proofErr w:type="spellStart"/>
                  <w:r w:rsidR="003039B8" w:rsidRPr="003039B8">
                    <w:rPr>
                      <w:rFonts w:cstheme="minorHAnsi"/>
                      <w:sz w:val="18"/>
                      <w:szCs w:val="18"/>
                    </w:rPr>
                    <w:t>top</w:t>
                  </w:r>
                  <w:proofErr w:type="spellEnd"/>
                  <w:r w:rsidRPr="003039B8">
                    <w:rPr>
                      <w:rFonts w:cstheme="minorHAnsi"/>
                      <w:sz w:val="18"/>
                      <w:szCs w:val="18"/>
                    </w:rPr>
                    <w:t xml:space="preserve"> questions quickly with minimal interaction?</w:t>
                  </w:r>
                </w:p>
              </w:tc>
              <w:tc>
                <w:tcPr>
                  <w:tcW w:w="0" w:type="auto"/>
                </w:tcPr>
                <w:p w14:paraId="7AB68321"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&gt;90s &amp; &gt;4 steps</w:t>
                  </w:r>
                </w:p>
              </w:tc>
              <w:tc>
                <w:tcPr>
                  <w:tcW w:w="0" w:type="auto"/>
                </w:tcPr>
                <w:p w14:paraId="46D18452"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30–90s &amp; ≤3 steps</w:t>
                  </w:r>
                </w:p>
              </w:tc>
              <w:tc>
                <w:tcPr>
                  <w:tcW w:w="0" w:type="auto"/>
                </w:tcPr>
                <w:p w14:paraId="6ECE1707"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≤30s &amp; ≤2 steps</w:t>
                  </w:r>
                </w:p>
              </w:tc>
            </w:tr>
            <w:tr w:rsidR="003039B8" w:rsidRPr="003039B8" w14:paraId="39D76DA9" w14:textId="77777777" w:rsidTr="00303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2A84F"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3</w:t>
                  </w:r>
                </w:p>
              </w:tc>
              <w:tc>
                <w:tcPr>
                  <w:tcW w:w="0" w:type="auto"/>
                </w:tcPr>
                <w:p w14:paraId="6DFFB7F0"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b/>
                      <w:sz w:val="18"/>
                      <w:szCs w:val="18"/>
                    </w:rPr>
                    <w:t>Information Hierarchy</w:t>
                  </w:r>
                </w:p>
              </w:tc>
              <w:tc>
                <w:tcPr>
                  <w:tcW w:w="0" w:type="auto"/>
                </w:tcPr>
                <w:p w14:paraId="064058D8"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Are primary KPIs surfaced and secondary details well-organized?</w:t>
                  </w:r>
                </w:p>
              </w:tc>
              <w:tc>
                <w:tcPr>
                  <w:tcW w:w="0" w:type="auto"/>
                </w:tcPr>
                <w:p w14:paraId="6D9D043F"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Cluttered</w:t>
                  </w:r>
                </w:p>
              </w:tc>
              <w:tc>
                <w:tcPr>
                  <w:tcW w:w="0" w:type="auto"/>
                </w:tcPr>
                <w:p w14:paraId="3BB8E46A"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Mixed</w:t>
                  </w:r>
                </w:p>
              </w:tc>
              <w:tc>
                <w:tcPr>
                  <w:tcW w:w="0" w:type="auto"/>
                </w:tcPr>
                <w:p w14:paraId="3F1F9657"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Crisp hierarchy</w:t>
                  </w:r>
                </w:p>
              </w:tc>
            </w:tr>
            <w:tr w:rsidR="003039B8" w:rsidRPr="003039B8" w14:paraId="32354801" w14:textId="77777777" w:rsidTr="003039B8">
              <w:tc>
                <w:tcPr>
                  <w:cnfStyle w:val="001000000000" w:firstRow="0" w:lastRow="0" w:firstColumn="1" w:lastColumn="0" w:oddVBand="0" w:evenVBand="0" w:oddHBand="0" w:evenHBand="0" w:firstRowFirstColumn="0" w:firstRowLastColumn="0" w:lastRowFirstColumn="0" w:lastRowLastColumn="0"/>
                  <w:tcW w:w="0" w:type="auto"/>
                </w:tcPr>
                <w:p w14:paraId="1896AF02"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4</w:t>
                  </w:r>
                </w:p>
              </w:tc>
              <w:tc>
                <w:tcPr>
                  <w:tcW w:w="0" w:type="auto"/>
                </w:tcPr>
                <w:p w14:paraId="67C4A58F"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b/>
                      <w:sz w:val="18"/>
                      <w:szCs w:val="18"/>
                    </w:rPr>
                    <w:t>Labelling &amp; Terminology</w:t>
                  </w:r>
                </w:p>
              </w:tc>
              <w:tc>
                <w:tcPr>
                  <w:tcW w:w="0" w:type="auto"/>
                </w:tcPr>
                <w:p w14:paraId="7E1043E0"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Are titles, axis labels, and descriptions precise and jargon-free?</w:t>
                  </w:r>
                </w:p>
              </w:tc>
              <w:tc>
                <w:tcPr>
                  <w:tcW w:w="0" w:type="auto"/>
                </w:tcPr>
                <w:p w14:paraId="5108DBEA"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Ambiguous</w:t>
                  </w:r>
                </w:p>
              </w:tc>
              <w:tc>
                <w:tcPr>
                  <w:tcW w:w="0" w:type="auto"/>
                </w:tcPr>
                <w:p w14:paraId="5BE97D71"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Mixed clarity</w:t>
                  </w:r>
                </w:p>
              </w:tc>
              <w:tc>
                <w:tcPr>
                  <w:tcW w:w="0" w:type="auto"/>
                </w:tcPr>
                <w:p w14:paraId="277E454C"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Clear, consistent</w:t>
                  </w:r>
                </w:p>
              </w:tc>
            </w:tr>
            <w:tr w:rsidR="003039B8" w:rsidRPr="003039B8" w14:paraId="58C10274" w14:textId="77777777" w:rsidTr="00303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82E92"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5</w:t>
                  </w:r>
                </w:p>
              </w:tc>
              <w:tc>
                <w:tcPr>
                  <w:tcW w:w="0" w:type="auto"/>
                </w:tcPr>
                <w:p w14:paraId="57BF7992"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b/>
                      <w:sz w:val="18"/>
                      <w:szCs w:val="18"/>
                    </w:rPr>
                    <w:t>Chart-Data Fit</w:t>
                  </w:r>
                </w:p>
              </w:tc>
              <w:tc>
                <w:tcPr>
                  <w:tcW w:w="0" w:type="auto"/>
                </w:tcPr>
                <w:p w14:paraId="67A7AA68"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Do chart types match data (trend, distribution, part-to-whole, ranking)?</w:t>
                  </w:r>
                </w:p>
              </w:tc>
              <w:tc>
                <w:tcPr>
                  <w:tcW w:w="0" w:type="auto"/>
                </w:tcPr>
                <w:p w14:paraId="264145DA"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Frequent mismatches</w:t>
                  </w:r>
                </w:p>
              </w:tc>
              <w:tc>
                <w:tcPr>
                  <w:tcW w:w="0" w:type="auto"/>
                </w:tcPr>
                <w:p w14:paraId="31218F84"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Occasional</w:t>
                  </w:r>
                </w:p>
              </w:tc>
              <w:tc>
                <w:tcPr>
                  <w:tcW w:w="0" w:type="auto"/>
                </w:tcPr>
                <w:p w14:paraId="6F8B9431"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Optimal choices</w:t>
                  </w:r>
                </w:p>
              </w:tc>
            </w:tr>
            <w:tr w:rsidR="003039B8" w:rsidRPr="003039B8" w14:paraId="6A75A0C1" w14:textId="77777777" w:rsidTr="003039B8">
              <w:tc>
                <w:tcPr>
                  <w:cnfStyle w:val="001000000000" w:firstRow="0" w:lastRow="0" w:firstColumn="1" w:lastColumn="0" w:oddVBand="0" w:evenVBand="0" w:oddHBand="0" w:evenHBand="0" w:firstRowFirstColumn="0" w:firstRowLastColumn="0" w:lastRowFirstColumn="0" w:lastRowLastColumn="0"/>
                  <w:tcW w:w="0" w:type="auto"/>
                </w:tcPr>
                <w:p w14:paraId="7F87F048"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6</w:t>
                  </w:r>
                </w:p>
              </w:tc>
              <w:tc>
                <w:tcPr>
                  <w:tcW w:w="0" w:type="auto"/>
                </w:tcPr>
                <w:p w14:paraId="1D19F9B0"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b/>
                      <w:sz w:val="18"/>
                      <w:szCs w:val="18"/>
                    </w:rPr>
                    <w:t>Visual Encoding</w:t>
                  </w:r>
                </w:p>
              </w:tc>
              <w:tc>
                <w:tcPr>
                  <w:tcW w:w="0" w:type="auto"/>
                </w:tcPr>
                <w:p w14:paraId="088C8E69"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Are colour, size, and position used to reveal patterns without confusion?</w:t>
                  </w:r>
                </w:p>
              </w:tc>
              <w:tc>
                <w:tcPr>
                  <w:tcW w:w="0" w:type="auto"/>
                </w:tcPr>
                <w:p w14:paraId="134011D6"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Misleading encodings</w:t>
                  </w:r>
                </w:p>
              </w:tc>
              <w:tc>
                <w:tcPr>
                  <w:tcW w:w="0" w:type="auto"/>
                </w:tcPr>
                <w:p w14:paraId="1BF9015B"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Acceptable</w:t>
                  </w:r>
                </w:p>
              </w:tc>
              <w:tc>
                <w:tcPr>
                  <w:tcW w:w="0" w:type="auto"/>
                </w:tcPr>
                <w:p w14:paraId="3AB5C5E4"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Highly effective</w:t>
                  </w:r>
                </w:p>
              </w:tc>
            </w:tr>
            <w:tr w:rsidR="003039B8" w:rsidRPr="003039B8" w14:paraId="7C55320D" w14:textId="77777777" w:rsidTr="00303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4FFA7"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7</w:t>
                  </w:r>
                </w:p>
              </w:tc>
              <w:tc>
                <w:tcPr>
                  <w:tcW w:w="0" w:type="auto"/>
                </w:tcPr>
                <w:p w14:paraId="7DF086F3"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b/>
                      <w:sz w:val="18"/>
                      <w:szCs w:val="18"/>
                    </w:rPr>
                    <w:t>Interactivity &amp; Filters</w:t>
                  </w:r>
                </w:p>
              </w:tc>
              <w:tc>
                <w:tcPr>
                  <w:tcW w:w="0" w:type="auto"/>
                </w:tcPr>
                <w:p w14:paraId="0F761DF4"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Are filters intuitive, relevant, and non-destructive to context?</w:t>
                  </w:r>
                </w:p>
              </w:tc>
              <w:tc>
                <w:tcPr>
                  <w:tcW w:w="0" w:type="auto"/>
                </w:tcPr>
                <w:p w14:paraId="4167CEEA"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Confusing</w:t>
                  </w:r>
                </w:p>
              </w:tc>
              <w:tc>
                <w:tcPr>
                  <w:tcW w:w="0" w:type="auto"/>
                </w:tcPr>
                <w:p w14:paraId="4679C677"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Usable</w:t>
                  </w:r>
                </w:p>
              </w:tc>
              <w:tc>
                <w:tcPr>
                  <w:tcW w:w="0" w:type="auto"/>
                </w:tcPr>
                <w:p w14:paraId="48BFACCE"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Intuitive and robust</w:t>
                  </w:r>
                </w:p>
              </w:tc>
            </w:tr>
            <w:tr w:rsidR="003039B8" w:rsidRPr="003039B8" w14:paraId="72DDA8C4" w14:textId="77777777" w:rsidTr="003039B8">
              <w:tc>
                <w:tcPr>
                  <w:cnfStyle w:val="001000000000" w:firstRow="0" w:lastRow="0" w:firstColumn="1" w:lastColumn="0" w:oddVBand="0" w:evenVBand="0" w:oddHBand="0" w:evenHBand="0" w:firstRowFirstColumn="0" w:firstRowLastColumn="0" w:lastRowFirstColumn="0" w:lastRowLastColumn="0"/>
                  <w:tcW w:w="0" w:type="auto"/>
                </w:tcPr>
                <w:p w14:paraId="6B6E070B"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lastRenderedPageBreak/>
                    <w:t>8</w:t>
                  </w:r>
                </w:p>
              </w:tc>
              <w:tc>
                <w:tcPr>
                  <w:tcW w:w="0" w:type="auto"/>
                </w:tcPr>
                <w:p w14:paraId="7711279B"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b/>
                      <w:sz w:val="18"/>
                      <w:szCs w:val="18"/>
                    </w:rPr>
                    <w:t>Responsive Layout</w:t>
                  </w:r>
                </w:p>
              </w:tc>
              <w:tc>
                <w:tcPr>
                  <w:tcW w:w="0" w:type="auto"/>
                </w:tcPr>
                <w:p w14:paraId="682953D3"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Does it render well on target devices (desktop/mobile/wallboard)?</w:t>
                  </w:r>
                </w:p>
              </w:tc>
              <w:tc>
                <w:tcPr>
                  <w:tcW w:w="0" w:type="auto"/>
                </w:tcPr>
                <w:p w14:paraId="1481C2DC"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Breaks</w:t>
                  </w:r>
                </w:p>
              </w:tc>
              <w:tc>
                <w:tcPr>
                  <w:tcW w:w="0" w:type="auto"/>
                </w:tcPr>
                <w:p w14:paraId="511D3967"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Acceptable</w:t>
                  </w:r>
                </w:p>
              </w:tc>
              <w:tc>
                <w:tcPr>
                  <w:tcW w:w="0" w:type="auto"/>
                </w:tcPr>
                <w:p w14:paraId="69300932"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Seamless</w:t>
                  </w:r>
                </w:p>
              </w:tc>
            </w:tr>
            <w:tr w:rsidR="003039B8" w:rsidRPr="003039B8" w14:paraId="2AAD4DBB" w14:textId="77777777" w:rsidTr="00303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A04CBB"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9</w:t>
                  </w:r>
                </w:p>
              </w:tc>
              <w:tc>
                <w:tcPr>
                  <w:tcW w:w="0" w:type="auto"/>
                </w:tcPr>
                <w:p w14:paraId="6CAC8091"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b/>
                      <w:sz w:val="18"/>
                      <w:szCs w:val="18"/>
                    </w:rPr>
                    <w:t>Performance (Latency)</w:t>
                  </w:r>
                </w:p>
              </w:tc>
              <w:tc>
                <w:tcPr>
                  <w:tcW w:w="0" w:type="auto"/>
                </w:tcPr>
                <w:p w14:paraId="30CD2453"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Time to load and to apply filters</w:t>
                  </w:r>
                </w:p>
              </w:tc>
              <w:tc>
                <w:tcPr>
                  <w:tcW w:w="0" w:type="auto"/>
                </w:tcPr>
                <w:p w14:paraId="48F7627D"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&gt;5s</w:t>
                  </w:r>
                </w:p>
              </w:tc>
              <w:tc>
                <w:tcPr>
                  <w:tcW w:w="0" w:type="auto"/>
                </w:tcPr>
                <w:p w14:paraId="558A232F"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2–5s</w:t>
                  </w:r>
                </w:p>
              </w:tc>
              <w:tc>
                <w:tcPr>
                  <w:tcW w:w="0" w:type="auto"/>
                </w:tcPr>
                <w:p w14:paraId="2F74B0BF" w14:textId="77777777" w:rsidR="008F586B" w:rsidRPr="003039B8" w:rsidRDefault="008F586B" w:rsidP="003039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39B8">
                    <w:rPr>
                      <w:rFonts w:asciiTheme="minorHAnsi" w:hAnsiTheme="minorHAnsi" w:cstheme="minorHAnsi"/>
                      <w:sz w:val="18"/>
                      <w:szCs w:val="18"/>
                    </w:rPr>
                    <w:t>&lt;2s</w:t>
                  </w:r>
                </w:p>
              </w:tc>
            </w:tr>
            <w:tr w:rsidR="003039B8" w:rsidRPr="003039B8" w14:paraId="2C761E97" w14:textId="77777777" w:rsidTr="003039B8">
              <w:tc>
                <w:tcPr>
                  <w:cnfStyle w:val="001000000000" w:firstRow="0" w:lastRow="0" w:firstColumn="1" w:lastColumn="0" w:oddVBand="0" w:evenVBand="0" w:oddHBand="0" w:evenHBand="0" w:firstRowFirstColumn="0" w:firstRowLastColumn="0" w:lastRowFirstColumn="0" w:lastRowLastColumn="0"/>
                  <w:tcW w:w="0" w:type="auto"/>
                </w:tcPr>
                <w:p w14:paraId="558BB734" w14:textId="77777777" w:rsidR="008F586B" w:rsidRPr="003039B8" w:rsidRDefault="008F586B" w:rsidP="00E65B9B">
                  <w:pPr>
                    <w:jc w:val="both"/>
                    <w:rPr>
                      <w:rFonts w:asciiTheme="minorHAnsi" w:hAnsiTheme="minorHAnsi" w:cstheme="minorHAnsi"/>
                      <w:sz w:val="18"/>
                      <w:szCs w:val="18"/>
                    </w:rPr>
                  </w:pPr>
                  <w:r w:rsidRPr="003039B8">
                    <w:rPr>
                      <w:rFonts w:asciiTheme="minorHAnsi" w:hAnsiTheme="minorHAnsi" w:cstheme="minorHAnsi"/>
                      <w:sz w:val="18"/>
                      <w:szCs w:val="18"/>
                    </w:rPr>
                    <w:t>10</w:t>
                  </w:r>
                </w:p>
              </w:tc>
              <w:tc>
                <w:tcPr>
                  <w:tcW w:w="0" w:type="auto"/>
                </w:tcPr>
                <w:p w14:paraId="6C002F8A"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b/>
                      <w:sz w:val="18"/>
                      <w:szCs w:val="18"/>
                    </w:rPr>
                    <w:t>Accessibility</w:t>
                  </w:r>
                </w:p>
              </w:tc>
              <w:tc>
                <w:tcPr>
                  <w:tcW w:w="0" w:type="auto"/>
                </w:tcPr>
                <w:p w14:paraId="5E2C9F51"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Contrast, keyboard nav, alt text, focus order</w:t>
                  </w:r>
                </w:p>
              </w:tc>
              <w:tc>
                <w:tcPr>
                  <w:tcW w:w="0" w:type="auto"/>
                </w:tcPr>
                <w:p w14:paraId="70E8CCB3"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Fails</w:t>
                  </w:r>
                </w:p>
              </w:tc>
              <w:tc>
                <w:tcPr>
                  <w:tcW w:w="0" w:type="auto"/>
                </w:tcPr>
                <w:p w14:paraId="2E01ECE9"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Partially compliant</w:t>
                  </w:r>
                </w:p>
              </w:tc>
              <w:tc>
                <w:tcPr>
                  <w:tcW w:w="0" w:type="auto"/>
                </w:tcPr>
                <w:p w14:paraId="1AEA601E" w14:textId="77777777" w:rsidR="008F586B" w:rsidRPr="003039B8" w:rsidRDefault="008F586B" w:rsidP="003039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39B8">
                    <w:rPr>
                      <w:rFonts w:cstheme="minorHAnsi"/>
                      <w:sz w:val="18"/>
                      <w:szCs w:val="18"/>
                    </w:rPr>
                    <w:t>Fully compliant</w:t>
                  </w:r>
                </w:p>
              </w:tc>
            </w:tr>
          </w:tbl>
          <w:p w14:paraId="4A804977" w14:textId="77777777" w:rsidR="008F586B" w:rsidRPr="00E65B9B" w:rsidRDefault="008F586B" w:rsidP="00E65B9B">
            <w:pPr>
              <w:jc w:val="both"/>
              <w:rPr>
                <w:rFonts w:cstheme="minorHAnsi"/>
                <w:b/>
                <w:szCs w:val="20"/>
              </w:rPr>
            </w:pPr>
          </w:p>
          <w:p w14:paraId="368F466E" w14:textId="77777777" w:rsidR="008F586B" w:rsidRPr="00E65B9B" w:rsidRDefault="008F586B" w:rsidP="00E65B9B">
            <w:pPr>
              <w:jc w:val="both"/>
              <w:rPr>
                <w:rFonts w:cstheme="minorHAnsi"/>
                <w:szCs w:val="20"/>
              </w:rPr>
            </w:pPr>
            <w:r w:rsidRPr="00E65B9B">
              <w:rPr>
                <w:rFonts w:cstheme="minorHAnsi"/>
                <w:b/>
                <w:szCs w:val="20"/>
              </w:rPr>
              <w:t>Scoring guidance:</w:t>
            </w:r>
          </w:p>
          <w:p w14:paraId="318DA887" w14:textId="77777777" w:rsidR="008F586B" w:rsidRPr="00E65B9B" w:rsidRDefault="008F586B" w:rsidP="00E65B9B">
            <w:pPr>
              <w:numPr>
                <w:ilvl w:val="0"/>
                <w:numId w:val="301"/>
              </w:numPr>
              <w:jc w:val="both"/>
              <w:rPr>
                <w:rFonts w:cstheme="minorHAnsi"/>
                <w:szCs w:val="20"/>
              </w:rPr>
            </w:pPr>
            <w:r w:rsidRPr="00E65B9B">
              <w:rPr>
                <w:rFonts w:cstheme="minorHAnsi"/>
                <w:b/>
                <w:szCs w:val="20"/>
              </w:rPr>
              <w:t>40–50:</w:t>
            </w:r>
            <w:r w:rsidRPr="00E65B9B">
              <w:rPr>
                <w:rFonts w:cstheme="minorHAnsi"/>
                <w:szCs w:val="20"/>
              </w:rPr>
              <w:t xml:space="preserve"> Excellent, production-ready</w:t>
            </w:r>
          </w:p>
          <w:p w14:paraId="22871039" w14:textId="77777777" w:rsidR="008F586B" w:rsidRPr="00E65B9B" w:rsidRDefault="008F586B" w:rsidP="00E65B9B">
            <w:pPr>
              <w:numPr>
                <w:ilvl w:val="0"/>
                <w:numId w:val="301"/>
              </w:numPr>
              <w:jc w:val="both"/>
              <w:rPr>
                <w:rFonts w:cstheme="minorHAnsi"/>
                <w:szCs w:val="20"/>
              </w:rPr>
            </w:pPr>
            <w:r w:rsidRPr="00E65B9B">
              <w:rPr>
                <w:rFonts w:cstheme="minorHAnsi"/>
                <w:b/>
                <w:szCs w:val="20"/>
              </w:rPr>
              <w:t>30–39:</w:t>
            </w:r>
            <w:r w:rsidRPr="00E65B9B">
              <w:rPr>
                <w:rFonts w:cstheme="minorHAnsi"/>
                <w:szCs w:val="20"/>
              </w:rPr>
              <w:t xml:space="preserve"> Acceptable with targeted improvements</w:t>
            </w:r>
          </w:p>
          <w:p w14:paraId="328611A1" w14:textId="77777777" w:rsidR="008F586B" w:rsidRPr="00E65B9B" w:rsidRDefault="008F586B" w:rsidP="00E65B9B">
            <w:pPr>
              <w:numPr>
                <w:ilvl w:val="0"/>
                <w:numId w:val="301"/>
              </w:numPr>
              <w:jc w:val="both"/>
              <w:rPr>
                <w:rFonts w:cstheme="minorHAnsi"/>
                <w:szCs w:val="20"/>
              </w:rPr>
            </w:pPr>
            <w:r w:rsidRPr="00E65B9B">
              <w:rPr>
                <w:rFonts w:cstheme="minorHAnsi"/>
                <w:b/>
                <w:szCs w:val="20"/>
              </w:rPr>
              <w:t>20–29:</w:t>
            </w:r>
            <w:r w:rsidRPr="00E65B9B">
              <w:rPr>
                <w:rFonts w:cstheme="minorHAnsi"/>
                <w:szCs w:val="20"/>
              </w:rPr>
              <w:t xml:space="preserve"> Needs moderate redesign</w:t>
            </w:r>
          </w:p>
          <w:p w14:paraId="5C5F2CCC" w14:textId="77777777" w:rsidR="008F586B" w:rsidRPr="00E65B9B" w:rsidRDefault="008F586B" w:rsidP="00E65B9B">
            <w:pPr>
              <w:numPr>
                <w:ilvl w:val="0"/>
                <w:numId w:val="301"/>
              </w:numPr>
              <w:jc w:val="both"/>
              <w:rPr>
                <w:rFonts w:cstheme="minorHAnsi"/>
                <w:szCs w:val="20"/>
              </w:rPr>
            </w:pPr>
            <w:r w:rsidRPr="00E65B9B">
              <w:rPr>
                <w:rFonts w:cstheme="minorHAnsi"/>
                <w:b/>
                <w:szCs w:val="20"/>
              </w:rPr>
              <w:t>&lt;20:</w:t>
            </w:r>
            <w:r w:rsidRPr="00E65B9B">
              <w:rPr>
                <w:rFonts w:cstheme="minorHAnsi"/>
                <w:szCs w:val="20"/>
              </w:rPr>
              <w:t xml:space="preserve"> Major overhaul recommended</w:t>
            </w:r>
          </w:p>
          <w:p w14:paraId="4A4669BF" w14:textId="77777777" w:rsidR="008F586B" w:rsidRDefault="008F586B" w:rsidP="00E65B9B">
            <w:pPr>
              <w:jc w:val="both"/>
              <w:rPr>
                <w:rFonts w:cstheme="minorHAnsi"/>
                <w:szCs w:val="20"/>
              </w:rPr>
            </w:pPr>
            <w:r w:rsidRPr="00E65B9B">
              <w:rPr>
                <w:rFonts w:cstheme="minorHAnsi"/>
                <w:szCs w:val="20"/>
              </w:rPr>
              <w:t>You can use this scoring every time you create a dashboard.</w:t>
            </w:r>
          </w:p>
          <w:p w14:paraId="3558F9D1" w14:textId="77777777" w:rsidR="003039B8" w:rsidRPr="00E65B9B" w:rsidRDefault="003039B8" w:rsidP="00E65B9B">
            <w:pPr>
              <w:jc w:val="both"/>
              <w:rPr>
                <w:rFonts w:cstheme="minorHAnsi"/>
                <w:szCs w:val="20"/>
              </w:rPr>
            </w:pPr>
          </w:p>
          <w:p w14:paraId="0A53A3D9" w14:textId="3F2B8299" w:rsidR="008F586B" w:rsidRPr="00E65B9B" w:rsidRDefault="008F586B" w:rsidP="00E65B9B">
            <w:pPr>
              <w:jc w:val="both"/>
              <w:rPr>
                <w:rFonts w:cstheme="minorHAnsi"/>
                <w:szCs w:val="20"/>
              </w:rPr>
            </w:pPr>
            <w:r w:rsidRPr="00E65B9B">
              <w:rPr>
                <w:rFonts w:cstheme="minorHAnsi"/>
                <w:b/>
                <w:color w:val="00AC4E" w:themeColor="accent1"/>
                <w:szCs w:val="20"/>
              </w:rPr>
              <w:t>Key Takeaways:</w:t>
            </w:r>
          </w:p>
          <w:p w14:paraId="45C17F0B" w14:textId="77777777" w:rsidR="008F586B" w:rsidRPr="00E65B9B" w:rsidRDefault="008F586B" w:rsidP="00E65B9B">
            <w:pPr>
              <w:pStyle w:val="ListParagraph"/>
              <w:numPr>
                <w:ilvl w:val="0"/>
                <w:numId w:val="262"/>
              </w:numPr>
              <w:jc w:val="both"/>
              <w:rPr>
                <w:rFonts w:cstheme="minorHAnsi"/>
                <w:szCs w:val="20"/>
              </w:rPr>
            </w:pPr>
            <w:r w:rsidRPr="00E65B9B">
              <w:rPr>
                <w:rFonts w:cstheme="minorHAnsi"/>
                <w:szCs w:val="20"/>
              </w:rPr>
              <w:t>A high-quality dashboard enables fast, accurate understanding (usability), conforms to governance and legal requirements (compliance), and drives decisions and outcomes (KPI effectiveness).</w:t>
            </w:r>
          </w:p>
          <w:p w14:paraId="2B33A037" w14:textId="77777777" w:rsidR="008F586B" w:rsidRPr="00E65B9B" w:rsidRDefault="008F586B" w:rsidP="00E65B9B">
            <w:pPr>
              <w:pStyle w:val="ListParagraph"/>
              <w:numPr>
                <w:ilvl w:val="0"/>
                <w:numId w:val="262"/>
              </w:numPr>
              <w:jc w:val="both"/>
              <w:rPr>
                <w:rFonts w:cstheme="minorHAnsi"/>
                <w:szCs w:val="20"/>
              </w:rPr>
            </w:pPr>
            <w:r w:rsidRPr="00E65B9B">
              <w:rPr>
                <w:rFonts w:cstheme="minorHAnsi"/>
                <w:szCs w:val="20"/>
              </w:rPr>
              <w:t>The 10-dimension usability rubric provides structured, objective tool for evaluating and improving ESG dashboards.</w:t>
            </w:r>
          </w:p>
          <w:p w14:paraId="769621F0" w14:textId="77777777" w:rsidR="008F586B" w:rsidRPr="00E65B9B" w:rsidRDefault="008F586B" w:rsidP="00E65B9B">
            <w:pPr>
              <w:jc w:val="both"/>
              <w:rPr>
                <w:rFonts w:cstheme="minorHAnsi"/>
                <w:b/>
                <w:color w:val="00AC4E" w:themeColor="accent1"/>
                <w:szCs w:val="20"/>
              </w:rPr>
            </w:pPr>
            <w:r w:rsidRPr="00E65B9B">
              <w:rPr>
                <w:rFonts w:cstheme="minorHAnsi"/>
                <w:szCs w:val="20"/>
              </w:rPr>
              <w:br/>
            </w:r>
            <w:r w:rsidRPr="00E65B9B">
              <w:rPr>
                <w:rFonts w:cstheme="minorHAnsi"/>
                <w:b/>
                <w:color w:val="00AC4E" w:themeColor="accent1"/>
                <w:szCs w:val="20"/>
              </w:rPr>
              <w:t xml:space="preserve">Quick Check: </w:t>
            </w:r>
          </w:p>
          <w:p w14:paraId="78A0EAB9" w14:textId="77777777" w:rsidR="008F586B" w:rsidRPr="003039B8" w:rsidRDefault="008F586B" w:rsidP="003039B8">
            <w:pPr>
              <w:pStyle w:val="ListParagraph"/>
              <w:numPr>
                <w:ilvl w:val="0"/>
                <w:numId w:val="309"/>
              </w:numPr>
              <w:jc w:val="both"/>
              <w:rPr>
                <w:rFonts w:cstheme="minorHAnsi"/>
                <w:color w:val="009889" w:themeColor="accent2"/>
                <w:szCs w:val="20"/>
              </w:rPr>
            </w:pPr>
            <w:r w:rsidRPr="003039B8">
              <w:rPr>
                <w:rFonts w:cstheme="minorHAnsi"/>
                <w:color w:val="009889" w:themeColor="accent2"/>
                <w:szCs w:val="20"/>
              </w:rPr>
              <w:t>True or False: A KPI needs to drive decisions to be effective.</w:t>
            </w:r>
          </w:p>
          <w:p w14:paraId="5059A2D5" w14:textId="77777777" w:rsidR="008F586B" w:rsidRPr="00E65B9B" w:rsidRDefault="008F586B" w:rsidP="00E65B9B">
            <w:pPr>
              <w:pStyle w:val="ListParagraph"/>
              <w:jc w:val="both"/>
              <w:rPr>
                <w:rFonts w:cstheme="minorHAnsi"/>
                <w:szCs w:val="20"/>
              </w:rPr>
            </w:pPr>
          </w:p>
          <w:p w14:paraId="19C8A750" w14:textId="77777777" w:rsidR="008F586B" w:rsidRPr="003039B8" w:rsidRDefault="008F586B" w:rsidP="003039B8">
            <w:pPr>
              <w:pStyle w:val="ListParagraph"/>
              <w:numPr>
                <w:ilvl w:val="0"/>
                <w:numId w:val="309"/>
              </w:numPr>
              <w:jc w:val="both"/>
              <w:rPr>
                <w:rFonts w:cstheme="minorHAnsi"/>
                <w:color w:val="009889" w:themeColor="accent2"/>
                <w:szCs w:val="20"/>
              </w:rPr>
            </w:pPr>
            <w:r w:rsidRPr="003039B8">
              <w:rPr>
                <w:rFonts w:cstheme="minorHAnsi"/>
                <w:color w:val="009889" w:themeColor="accent2"/>
                <w:szCs w:val="20"/>
              </w:rPr>
              <w:t xml:space="preserve"> Adding understandable titles to visuals is an example of which usability dimension?</w:t>
            </w:r>
          </w:p>
          <w:p w14:paraId="41C76B0C" w14:textId="77777777" w:rsidR="008F586B" w:rsidRPr="00E65B9B" w:rsidRDefault="008F586B" w:rsidP="003039B8">
            <w:pPr>
              <w:pStyle w:val="ListParagraph"/>
              <w:numPr>
                <w:ilvl w:val="0"/>
                <w:numId w:val="310"/>
              </w:numPr>
              <w:jc w:val="both"/>
              <w:rPr>
                <w:rFonts w:cstheme="minorHAnsi"/>
                <w:szCs w:val="20"/>
              </w:rPr>
            </w:pPr>
            <w:r w:rsidRPr="00E65B9B">
              <w:rPr>
                <w:rFonts w:cstheme="minorHAnsi"/>
                <w:szCs w:val="20"/>
              </w:rPr>
              <w:t>Performance</w:t>
            </w:r>
          </w:p>
          <w:p w14:paraId="1A629409" w14:textId="77777777" w:rsidR="008F586B" w:rsidRPr="00E65B9B" w:rsidRDefault="008F586B" w:rsidP="003039B8">
            <w:pPr>
              <w:pStyle w:val="ListParagraph"/>
              <w:numPr>
                <w:ilvl w:val="0"/>
                <w:numId w:val="310"/>
              </w:numPr>
              <w:jc w:val="both"/>
              <w:rPr>
                <w:rFonts w:cstheme="minorHAnsi"/>
                <w:szCs w:val="20"/>
              </w:rPr>
            </w:pPr>
            <w:r w:rsidRPr="00E65B9B">
              <w:rPr>
                <w:rFonts w:cstheme="minorHAnsi"/>
                <w:szCs w:val="20"/>
              </w:rPr>
              <w:t>Labelling &amp; Terminology</w:t>
            </w:r>
          </w:p>
          <w:p w14:paraId="52D5ED98" w14:textId="77777777" w:rsidR="008F586B" w:rsidRPr="00E65B9B" w:rsidRDefault="008F586B" w:rsidP="003039B8">
            <w:pPr>
              <w:pStyle w:val="ListParagraph"/>
              <w:numPr>
                <w:ilvl w:val="0"/>
                <w:numId w:val="310"/>
              </w:numPr>
              <w:jc w:val="both"/>
              <w:rPr>
                <w:rFonts w:cstheme="minorHAnsi"/>
                <w:szCs w:val="20"/>
              </w:rPr>
            </w:pPr>
            <w:r w:rsidRPr="00E65B9B">
              <w:rPr>
                <w:rFonts w:cstheme="minorHAnsi"/>
                <w:szCs w:val="20"/>
              </w:rPr>
              <w:t>Chart-Data Fit</w:t>
            </w:r>
          </w:p>
          <w:p w14:paraId="7408AF44" w14:textId="77777777" w:rsidR="008F586B" w:rsidRPr="00E65B9B" w:rsidRDefault="008F586B" w:rsidP="003039B8">
            <w:pPr>
              <w:pStyle w:val="ListParagraph"/>
              <w:numPr>
                <w:ilvl w:val="0"/>
                <w:numId w:val="310"/>
              </w:numPr>
              <w:jc w:val="both"/>
              <w:rPr>
                <w:rFonts w:cstheme="minorHAnsi"/>
                <w:szCs w:val="20"/>
              </w:rPr>
            </w:pPr>
            <w:r w:rsidRPr="00E65B9B">
              <w:rPr>
                <w:rFonts w:cstheme="minorHAnsi"/>
                <w:szCs w:val="20"/>
              </w:rPr>
              <w:t>Responsive Layout</w:t>
            </w:r>
          </w:p>
          <w:p w14:paraId="0C38B5BF" w14:textId="77777777" w:rsidR="008F586B" w:rsidRPr="00E65B9B" w:rsidRDefault="008F586B" w:rsidP="00E65B9B">
            <w:pPr>
              <w:pStyle w:val="ListParagraph"/>
              <w:ind w:left="1440"/>
              <w:jc w:val="both"/>
              <w:rPr>
                <w:rFonts w:cstheme="minorHAnsi"/>
                <w:szCs w:val="20"/>
              </w:rPr>
            </w:pPr>
            <w:r w:rsidRPr="00E65B9B">
              <w:rPr>
                <w:rFonts w:cstheme="minorHAnsi"/>
                <w:szCs w:val="20"/>
              </w:rPr>
              <w:br/>
            </w:r>
          </w:p>
          <w:p w14:paraId="76A1258B" w14:textId="77777777" w:rsidR="008F586B" w:rsidRPr="00E65B9B" w:rsidRDefault="008F586B" w:rsidP="00E65B9B">
            <w:pPr>
              <w:jc w:val="both"/>
              <w:rPr>
                <w:rFonts w:cstheme="minorHAnsi"/>
                <w:szCs w:val="20"/>
              </w:rPr>
            </w:pPr>
            <w:r w:rsidRPr="00E65B9B">
              <w:rPr>
                <w:rFonts w:cstheme="minorHAnsi"/>
                <w:i/>
                <w:szCs w:val="20"/>
              </w:rPr>
              <w:t>Answer key: 1) True; 2) b</w:t>
            </w:r>
          </w:p>
        </w:tc>
      </w:tr>
    </w:tbl>
    <w:p w14:paraId="5D143EB0" w14:textId="17E6F903" w:rsidR="003039B8" w:rsidRDefault="003039B8" w:rsidP="003039B8">
      <w:pPr>
        <w:pStyle w:val="Heading1"/>
        <w:numPr>
          <w:ilvl w:val="0"/>
          <w:numId w:val="0"/>
        </w:numPr>
        <w:rPr>
          <w:sz w:val="22"/>
          <w:szCs w:val="22"/>
        </w:rPr>
      </w:pPr>
    </w:p>
    <w:p w14:paraId="66E81C5E" w14:textId="77777777" w:rsidR="003039B8" w:rsidRDefault="003039B8" w:rsidP="003039B8"/>
    <w:p w14:paraId="60E7C61B" w14:textId="77777777" w:rsidR="00900767" w:rsidRDefault="00900767" w:rsidP="003039B8"/>
    <w:p w14:paraId="5F3B9B4E" w14:textId="77777777" w:rsidR="00900767" w:rsidRDefault="00900767" w:rsidP="003039B8"/>
    <w:p w14:paraId="3D6FEA4B" w14:textId="77777777" w:rsidR="00900767" w:rsidRDefault="00900767" w:rsidP="003039B8"/>
    <w:p w14:paraId="0938F8A9" w14:textId="77777777" w:rsidR="00900767" w:rsidRDefault="00900767" w:rsidP="003039B8"/>
    <w:p w14:paraId="058AF160" w14:textId="77777777" w:rsidR="00900767" w:rsidRDefault="00900767" w:rsidP="003039B8"/>
    <w:p w14:paraId="48746304" w14:textId="77777777" w:rsidR="00900767" w:rsidRPr="003039B8" w:rsidRDefault="00900767" w:rsidP="003039B8"/>
    <w:tbl>
      <w:tblPr>
        <w:tblStyle w:val="TableGrid"/>
        <w:tblW w:w="0" w:type="auto"/>
        <w:tblLook w:val="04A0" w:firstRow="1" w:lastRow="0" w:firstColumn="1" w:lastColumn="0" w:noHBand="0" w:noVBand="1"/>
      </w:tblPr>
      <w:tblGrid>
        <w:gridCol w:w="9628"/>
      </w:tblGrid>
      <w:tr w:rsidR="003039B8" w14:paraId="41C13F40" w14:textId="77777777" w:rsidTr="003039B8">
        <w:tc>
          <w:tcPr>
            <w:tcW w:w="9628" w:type="dxa"/>
            <w:shd w:val="clear" w:color="auto" w:fill="FFFFFF" w:themeFill="background1"/>
          </w:tcPr>
          <w:p w14:paraId="7EDB6511" w14:textId="7DD3149C" w:rsidR="003039B8" w:rsidRPr="003039B8" w:rsidRDefault="003039B8" w:rsidP="003039B8">
            <w:pPr>
              <w:pStyle w:val="Heading2"/>
              <w:numPr>
                <w:ilvl w:val="0"/>
                <w:numId w:val="0"/>
              </w:numPr>
              <w:rPr>
                <w:b/>
              </w:rPr>
            </w:pPr>
            <w:bookmarkStart w:id="61" w:name="_Toc223515744"/>
            <w:bookmarkStart w:id="62" w:name="_Toc227485177"/>
            <w:r>
              <w:lastRenderedPageBreak/>
              <w:t>Module 3: Conclusion and Self-Assessment</w:t>
            </w:r>
            <w:bookmarkEnd w:id="61"/>
            <w:bookmarkEnd w:id="62"/>
          </w:p>
        </w:tc>
      </w:tr>
      <w:tr w:rsidR="003039B8" w14:paraId="60F301B7" w14:textId="77777777" w:rsidTr="003039B8">
        <w:tc>
          <w:tcPr>
            <w:tcW w:w="9628" w:type="dxa"/>
            <w:shd w:val="clear" w:color="auto" w:fill="D9D9D9" w:themeFill="background1" w:themeFillShade="D9"/>
          </w:tcPr>
          <w:p w14:paraId="4B0D86A3" w14:textId="67D41B26" w:rsidR="003039B8" w:rsidRPr="003039B8" w:rsidRDefault="003039B8" w:rsidP="00CD130A">
            <w:pPr>
              <w:pStyle w:val="NoSpacing"/>
              <w:jc w:val="both"/>
              <w:rPr>
                <w:b/>
                <w:color w:val="009889" w:themeColor="accent2"/>
                <w:sz w:val="22"/>
                <w:szCs w:val="22"/>
                <w:lang w:val="en-US"/>
              </w:rPr>
            </w:pPr>
            <w:r w:rsidRPr="003039B8">
              <w:rPr>
                <w:b/>
                <w:sz w:val="22"/>
                <w:szCs w:val="22"/>
              </w:rPr>
              <w:t>Module Summary:</w:t>
            </w:r>
          </w:p>
        </w:tc>
      </w:tr>
      <w:tr w:rsidR="003039B8" w:rsidRPr="00900767" w14:paraId="633A3693" w14:textId="77777777" w:rsidTr="00CD130A">
        <w:tc>
          <w:tcPr>
            <w:tcW w:w="9628" w:type="dxa"/>
          </w:tcPr>
          <w:p w14:paraId="157690DA" w14:textId="77777777" w:rsidR="003039B8" w:rsidRPr="00900767" w:rsidRDefault="003039B8" w:rsidP="00900767">
            <w:pPr>
              <w:pStyle w:val="NoSpacing"/>
              <w:jc w:val="both"/>
              <w:rPr>
                <w:sz w:val="20"/>
                <w:szCs w:val="20"/>
                <w:lang w:val="en-US"/>
              </w:rPr>
            </w:pPr>
            <w:r w:rsidRPr="00900767">
              <w:rPr>
                <w:b/>
                <w:sz w:val="20"/>
                <w:szCs w:val="20"/>
              </w:rPr>
              <w:t>Module 3</w:t>
            </w:r>
            <w:r w:rsidRPr="00900767">
              <w:rPr>
                <w:sz w:val="20"/>
                <w:szCs w:val="20"/>
              </w:rPr>
              <w:t xml:space="preserve"> explored the full pipeline from raw ESG data to actionable insight through five interconnected topics. </w:t>
            </w:r>
            <w:r w:rsidRPr="00900767">
              <w:rPr>
                <w:b/>
                <w:sz w:val="20"/>
                <w:szCs w:val="20"/>
              </w:rPr>
              <w:t>Topic 3.1</w:t>
            </w:r>
            <w:r w:rsidRPr="00900767">
              <w:rPr>
                <w:sz w:val="20"/>
                <w:szCs w:val="20"/>
              </w:rPr>
              <w:t xml:space="preserve"> established that effective data visualization requires respecting human perception (pre-attentive attributes, Gestalt principles, cognitive load), selecting the right chart type for the analytical task (compare, trend, distribution, part-to-whole, relationship), and maintaining integrity through zero-based axes, consistent scales, disclosed sources, and accessible </w:t>
            </w:r>
            <w:proofErr w:type="spellStart"/>
            <w:r w:rsidRPr="00900767">
              <w:rPr>
                <w:sz w:val="20"/>
                <w:szCs w:val="20"/>
              </w:rPr>
              <w:t>color</w:t>
            </w:r>
            <w:proofErr w:type="spellEnd"/>
            <w:r w:rsidRPr="00900767">
              <w:rPr>
                <w:sz w:val="20"/>
                <w:szCs w:val="20"/>
              </w:rPr>
              <w:t xml:space="preserve"> palettes. </w:t>
            </w:r>
          </w:p>
          <w:p w14:paraId="009FC681" w14:textId="77777777" w:rsidR="003039B8" w:rsidRPr="00900767" w:rsidRDefault="003039B8" w:rsidP="00900767">
            <w:pPr>
              <w:pStyle w:val="NoSpacing"/>
              <w:jc w:val="both"/>
              <w:rPr>
                <w:sz w:val="20"/>
                <w:szCs w:val="20"/>
                <w:lang w:val="en-US"/>
              </w:rPr>
            </w:pPr>
            <w:r w:rsidRPr="00900767">
              <w:rPr>
                <w:b/>
                <w:sz w:val="20"/>
                <w:szCs w:val="20"/>
              </w:rPr>
              <w:t>Topic 3.2</w:t>
            </w:r>
            <w:r w:rsidRPr="00900767">
              <w:rPr>
                <w:sz w:val="20"/>
                <w:szCs w:val="20"/>
              </w:rPr>
              <w:t xml:space="preserve"> provided a practical step-by-step guide to building interactive dashboards in Power BI—from importing and cleaning data in Power Query, through building star schema data models, creating report visuals and filters, writing DAX measures for KPI calculations, and publishing and sharing reports securely via the Power BI web service.</w:t>
            </w:r>
          </w:p>
          <w:p w14:paraId="0C8EE509" w14:textId="77777777" w:rsidR="003039B8" w:rsidRPr="00900767" w:rsidRDefault="003039B8" w:rsidP="00900767">
            <w:pPr>
              <w:pStyle w:val="NoSpacing"/>
              <w:jc w:val="both"/>
              <w:rPr>
                <w:sz w:val="20"/>
                <w:szCs w:val="20"/>
                <w:lang w:val="en-US"/>
              </w:rPr>
            </w:pPr>
            <w:r w:rsidRPr="00900767">
              <w:rPr>
                <w:b/>
                <w:sz w:val="20"/>
                <w:szCs w:val="20"/>
              </w:rPr>
              <w:t>Topic 3.3</w:t>
            </w:r>
            <w:r w:rsidRPr="00900767">
              <w:rPr>
                <w:sz w:val="20"/>
                <w:szCs w:val="20"/>
              </w:rPr>
              <w:t xml:space="preserve"> addressed the challenge of communicating sustainability performance to diverse stakeholders, covering stakeholder-oriented dashboard customization, data storytelling (combining narrative, visuals, and context), and best practices for clear and honest ESG presentation. </w:t>
            </w:r>
          </w:p>
          <w:p w14:paraId="60F53727" w14:textId="77777777" w:rsidR="003039B8" w:rsidRPr="00900767" w:rsidRDefault="003039B8" w:rsidP="00900767">
            <w:pPr>
              <w:pStyle w:val="NoSpacing"/>
              <w:jc w:val="both"/>
              <w:rPr>
                <w:sz w:val="20"/>
                <w:szCs w:val="20"/>
                <w:lang w:val="en-US"/>
              </w:rPr>
            </w:pPr>
            <w:r w:rsidRPr="00900767">
              <w:rPr>
                <w:b/>
                <w:sz w:val="20"/>
                <w:szCs w:val="20"/>
              </w:rPr>
              <w:t>Topic 3.4</w:t>
            </w:r>
            <w:r w:rsidRPr="00900767">
              <w:rPr>
                <w:sz w:val="20"/>
                <w:szCs w:val="20"/>
              </w:rPr>
              <w:t xml:space="preserve"> completed the module with evaluation framework: the 10-dimension usability rubric for assessing dashboard clarity and interaction design.</w:t>
            </w:r>
          </w:p>
          <w:p w14:paraId="3A51B0F1" w14:textId="77777777" w:rsidR="003039B8" w:rsidRPr="00900767" w:rsidRDefault="003039B8" w:rsidP="00900767">
            <w:pPr>
              <w:pStyle w:val="NoSpacing"/>
              <w:jc w:val="both"/>
              <w:rPr>
                <w:sz w:val="20"/>
                <w:szCs w:val="20"/>
                <w:lang w:val="en-US"/>
              </w:rPr>
            </w:pPr>
            <w:r w:rsidRPr="00900767">
              <w:rPr>
                <w:sz w:val="20"/>
                <w:szCs w:val="20"/>
              </w:rPr>
              <w:t>Together, these four topics equip learners with both the technical and the communicative competences required to design, build, and maintain credible ESG dashboards for diverse organizational needs.</w:t>
            </w:r>
          </w:p>
          <w:p w14:paraId="6AFDE092" w14:textId="77777777" w:rsidR="003039B8" w:rsidRPr="00900767" w:rsidRDefault="003039B8" w:rsidP="003039B8">
            <w:pPr>
              <w:pStyle w:val="NoSpacing"/>
              <w:rPr>
                <w:sz w:val="20"/>
                <w:szCs w:val="20"/>
                <w:lang w:val="en-US"/>
              </w:rPr>
            </w:pPr>
          </w:p>
          <w:p w14:paraId="289D24C5" w14:textId="77777777" w:rsidR="003039B8" w:rsidRPr="00900767" w:rsidRDefault="003039B8" w:rsidP="00CD130A">
            <w:pPr>
              <w:pStyle w:val="NoSpacing"/>
              <w:jc w:val="both"/>
              <w:rPr>
                <w:b/>
                <w:color w:val="00AC4D"/>
                <w:sz w:val="20"/>
                <w:szCs w:val="20"/>
                <w:lang w:val="en-US"/>
              </w:rPr>
            </w:pPr>
            <w:r w:rsidRPr="00900767">
              <w:rPr>
                <w:b/>
                <w:color w:val="00AC4D"/>
                <w:sz w:val="20"/>
                <w:szCs w:val="20"/>
              </w:rPr>
              <w:t>Module Knowledge Quiz</w:t>
            </w:r>
          </w:p>
          <w:p w14:paraId="2F986A6A"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t xml:space="preserve">Which pre-attentive attribute provides the most accurate visual channel for quantitative comparisons? </w:t>
            </w:r>
          </w:p>
          <w:p w14:paraId="05373DFA" w14:textId="52ED19CE" w:rsidR="003039B8" w:rsidRPr="00900767" w:rsidRDefault="003039B8" w:rsidP="003039B8">
            <w:pPr>
              <w:pStyle w:val="NoSpacing"/>
              <w:ind w:left="360"/>
              <w:jc w:val="both"/>
              <w:rPr>
                <w:sz w:val="20"/>
                <w:szCs w:val="20"/>
                <w:lang w:val="en-US"/>
              </w:rPr>
            </w:pPr>
            <w:r w:rsidRPr="00900767">
              <w:rPr>
                <w:sz w:val="20"/>
                <w:szCs w:val="20"/>
              </w:rPr>
              <w:t xml:space="preserve">a) Colour hue  </w:t>
            </w:r>
          </w:p>
          <w:p w14:paraId="33514EA7" w14:textId="77777777" w:rsidR="003039B8" w:rsidRPr="00900767" w:rsidRDefault="003039B8" w:rsidP="003039B8">
            <w:pPr>
              <w:pStyle w:val="NoSpacing"/>
              <w:ind w:left="360"/>
              <w:jc w:val="both"/>
              <w:rPr>
                <w:sz w:val="20"/>
                <w:szCs w:val="20"/>
                <w:lang w:val="en-US"/>
              </w:rPr>
            </w:pPr>
            <w:r w:rsidRPr="00900767">
              <w:rPr>
                <w:sz w:val="20"/>
                <w:szCs w:val="20"/>
              </w:rPr>
              <w:t xml:space="preserve">b) Area/size  </w:t>
            </w:r>
          </w:p>
          <w:p w14:paraId="5143244C" w14:textId="77777777" w:rsidR="003039B8" w:rsidRPr="00900767" w:rsidRDefault="003039B8" w:rsidP="003039B8">
            <w:pPr>
              <w:pStyle w:val="NoSpacing"/>
              <w:ind w:left="360"/>
              <w:jc w:val="both"/>
              <w:rPr>
                <w:sz w:val="20"/>
                <w:szCs w:val="20"/>
                <w:lang w:val="en-US"/>
              </w:rPr>
            </w:pPr>
            <w:r w:rsidRPr="00900767">
              <w:rPr>
                <w:sz w:val="20"/>
                <w:szCs w:val="20"/>
              </w:rPr>
              <w:t xml:space="preserve">c) Position on a common scale  </w:t>
            </w:r>
          </w:p>
          <w:p w14:paraId="17D46A54" w14:textId="77777777" w:rsidR="003039B8" w:rsidRPr="00900767" w:rsidRDefault="003039B8" w:rsidP="003039B8">
            <w:pPr>
              <w:pStyle w:val="NoSpacing"/>
              <w:ind w:left="360"/>
              <w:jc w:val="both"/>
              <w:rPr>
                <w:sz w:val="20"/>
                <w:szCs w:val="20"/>
                <w:lang w:val="en-US"/>
              </w:rPr>
            </w:pPr>
            <w:r w:rsidRPr="00900767">
              <w:rPr>
                <w:sz w:val="20"/>
                <w:szCs w:val="20"/>
              </w:rPr>
              <w:t>d) Shape</w:t>
            </w:r>
          </w:p>
          <w:p w14:paraId="4AFFCF83" w14:textId="77777777" w:rsidR="003039B8" w:rsidRPr="00900767" w:rsidRDefault="003039B8" w:rsidP="00CD130A">
            <w:pPr>
              <w:pStyle w:val="NoSpacing"/>
              <w:jc w:val="both"/>
              <w:rPr>
                <w:sz w:val="20"/>
                <w:szCs w:val="20"/>
                <w:lang w:val="en-US"/>
              </w:rPr>
            </w:pPr>
          </w:p>
          <w:p w14:paraId="52C8BADE"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t xml:space="preserve">How many KPIs should a Tier 1 Headline KPI layer typically contain? </w:t>
            </w:r>
          </w:p>
          <w:p w14:paraId="79B5AE29" w14:textId="77777777" w:rsidR="003039B8" w:rsidRPr="00900767" w:rsidRDefault="003039B8" w:rsidP="003039B8">
            <w:pPr>
              <w:pStyle w:val="NoSpacing"/>
              <w:ind w:left="360"/>
              <w:jc w:val="both"/>
              <w:rPr>
                <w:sz w:val="20"/>
                <w:szCs w:val="20"/>
                <w:lang w:val="en-US"/>
              </w:rPr>
            </w:pPr>
            <w:r w:rsidRPr="00900767">
              <w:rPr>
                <w:sz w:val="20"/>
                <w:szCs w:val="20"/>
              </w:rPr>
              <w:t xml:space="preserve">a) 50–100  </w:t>
            </w:r>
          </w:p>
          <w:p w14:paraId="49E76117" w14:textId="77777777" w:rsidR="003039B8" w:rsidRPr="00900767" w:rsidRDefault="003039B8" w:rsidP="003039B8">
            <w:pPr>
              <w:pStyle w:val="NoSpacing"/>
              <w:ind w:left="360"/>
              <w:jc w:val="both"/>
              <w:rPr>
                <w:sz w:val="20"/>
                <w:szCs w:val="20"/>
                <w:lang w:val="en-US"/>
              </w:rPr>
            </w:pPr>
            <w:r w:rsidRPr="00900767">
              <w:rPr>
                <w:sz w:val="20"/>
                <w:szCs w:val="20"/>
              </w:rPr>
              <w:t xml:space="preserve">b) 20–40  </w:t>
            </w:r>
          </w:p>
          <w:p w14:paraId="4C84957B" w14:textId="77777777" w:rsidR="003039B8" w:rsidRPr="00900767" w:rsidRDefault="003039B8" w:rsidP="003039B8">
            <w:pPr>
              <w:pStyle w:val="NoSpacing"/>
              <w:ind w:left="360"/>
              <w:jc w:val="both"/>
              <w:rPr>
                <w:sz w:val="20"/>
                <w:szCs w:val="20"/>
                <w:lang w:val="en-US"/>
              </w:rPr>
            </w:pPr>
            <w:r w:rsidRPr="00900767">
              <w:rPr>
                <w:sz w:val="20"/>
                <w:szCs w:val="20"/>
              </w:rPr>
              <w:t xml:space="preserve">c) ≤12 </w:t>
            </w:r>
          </w:p>
          <w:p w14:paraId="15677FA1" w14:textId="77777777" w:rsidR="003039B8" w:rsidRPr="00900767" w:rsidRDefault="003039B8" w:rsidP="003039B8">
            <w:pPr>
              <w:pStyle w:val="NoSpacing"/>
              <w:ind w:left="360"/>
              <w:jc w:val="both"/>
              <w:rPr>
                <w:sz w:val="20"/>
                <w:szCs w:val="20"/>
                <w:lang w:val="en-US"/>
              </w:rPr>
            </w:pPr>
            <w:r w:rsidRPr="00900767">
              <w:rPr>
                <w:sz w:val="20"/>
                <w:szCs w:val="20"/>
              </w:rPr>
              <w:t>d) 1–3</w:t>
            </w:r>
          </w:p>
          <w:p w14:paraId="3E980533" w14:textId="77777777" w:rsidR="003039B8" w:rsidRPr="00900767" w:rsidRDefault="003039B8" w:rsidP="00CD130A">
            <w:pPr>
              <w:pStyle w:val="NoSpacing"/>
              <w:ind w:left="1080"/>
              <w:jc w:val="both"/>
              <w:rPr>
                <w:sz w:val="20"/>
                <w:szCs w:val="20"/>
                <w:lang w:val="en-US"/>
              </w:rPr>
            </w:pPr>
          </w:p>
          <w:p w14:paraId="690C5AD4"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t xml:space="preserve">True or False: In Power BI, the star schema places multiple fact tables at the </w:t>
            </w:r>
            <w:proofErr w:type="spellStart"/>
            <w:r w:rsidRPr="00900767">
              <w:rPr>
                <w:color w:val="009889" w:themeColor="accent2"/>
                <w:sz w:val="20"/>
                <w:szCs w:val="20"/>
              </w:rPr>
              <w:t>center</w:t>
            </w:r>
            <w:proofErr w:type="spellEnd"/>
            <w:r w:rsidRPr="00900767">
              <w:rPr>
                <w:color w:val="009889" w:themeColor="accent2"/>
                <w:sz w:val="20"/>
                <w:szCs w:val="20"/>
              </w:rPr>
              <w:t xml:space="preserve"> with dimension tables surrounding them.</w:t>
            </w:r>
          </w:p>
          <w:p w14:paraId="1A056709" w14:textId="77777777" w:rsidR="003039B8" w:rsidRPr="00900767" w:rsidRDefault="003039B8" w:rsidP="00CD130A">
            <w:pPr>
              <w:pStyle w:val="NoSpacing"/>
              <w:ind w:left="1080"/>
              <w:jc w:val="both"/>
              <w:rPr>
                <w:sz w:val="20"/>
                <w:szCs w:val="20"/>
                <w:lang w:val="en-US"/>
              </w:rPr>
            </w:pPr>
          </w:p>
          <w:p w14:paraId="5C4E8CF3"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t xml:space="preserve">What is the usability target time for a first-time user to answer top business questions? </w:t>
            </w:r>
          </w:p>
          <w:p w14:paraId="4C822775" w14:textId="77777777" w:rsidR="003039B8" w:rsidRPr="00900767" w:rsidRDefault="003039B8" w:rsidP="003039B8">
            <w:pPr>
              <w:pStyle w:val="NoSpacing"/>
              <w:ind w:left="360"/>
              <w:jc w:val="both"/>
              <w:rPr>
                <w:sz w:val="20"/>
                <w:szCs w:val="20"/>
                <w:lang w:val="en-US"/>
              </w:rPr>
            </w:pPr>
            <w:r w:rsidRPr="00900767">
              <w:rPr>
                <w:sz w:val="20"/>
                <w:szCs w:val="20"/>
              </w:rPr>
              <w:t>a) ≤5 minutes per question</w:t>
            </w:r>
          </w:p>
          <w:p w14:paraId="3830A3E6" w14:textId="77777777" w:rsidR="003039B8" w:rsidRPr="00900767" w:rsidRDefault="003039B8" w:rsidP="003039B8">
            <w:pPr>
              <w:pStyle w:val="NoSpacing"/>
              <w:ind w:left="360"/>
              <w:jc w:val="both"/>
              <w:rPr>
                <w:sz w:val="20"/>
                <w:szCs w:val="20"/>
                <w:lang w:val="en-US"/>
              </w:rPr>
            </w:pPr>
            <w:r w:rsidRPr="00900767">
              <w:rPr>
                <w:sz w:val="20"/>
                <w:szCs w:val="20"/>
              </w:rPr>
              <w:t>b) ≤90 seconds per question</w:t>
            </w:r>
          </w:p>
          <w:p w14:paraId="3D0C73B7" w14:textId="77777777" w:rsidR="003039B8" w:rsidRPr="00900767" w:rsidRDefault="003039B8" w:rsidP="003039B8">
            <w:pPr>
              <w:pStyle w:val="NoSpacing"/>
              <w:ind w:left="360"/>
              <w:jc w:val="both"/>
              <w:rPr>
                <w:sz w:val="20"/>
                <w:szCs w:val="20"/>
                <w:lang w:val="en-US"/>
              </w:rPr>
            </w:pPr>
            <w:r w:rsidRPr="00900767">
              <w:rPr>
                <w:sz w:val="20"/>
                <w:szCs w:val="20"/>
              </w:rPr>
              <w:t>c) ≤30 seconds per question</w:t>
            </w:r>
          </w:p>
          <w:p w14:paraId="21C0000F" w14:textId="77777777" w:rsidR="003039B8" w:rsidRPr="00900767" w:rsidRDefault="003039B8" w:rsidP="003039B8">
            <w:pPr>
              <w:pStyle w:val="NoSpacing"/>
              <w:ind w:left="360"/>
              <w:jc w:val="both"/>
              <w:rPr>
                <w:sz w:val="20"/>
                <w:szCs w:val="20"/>
                <w:lang w:val="en-US"/>
              </w:rPr>
            </w:pPr>
            <w:r w:rsidRPr="00900767">
              <w:rPr>
                <w:sz w:val="20"/>
                <w:szCs w:val="20"/>
              </w:rPr>
              <w:t>d) ≤10 minutes per question</w:t>
            </w:r>
          </w:p>
          <w:p w14:paraId="5DCF0B5A" w14:textId="77777777" w:rsidR="003039B8" w:rsidRPr="00900767" w:rsidRDefault="003039B8" w:rsidP="00CD130A">
            <w:pPr>
              <w:pStyle w:val="NoSpacing"/>
              <w:ind w:left="1080"/>
              <w:jc w:val="both"/>
              <w:rPr>
                <w:sz w:val="20"/>
                <w:szCs w:val="20"/>
                <w:lang w:val="en-US"/>
              </w:rPr>
            </w:pPr>
          </w:p>
          <w:p w14:paraId="6AF3559B"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lastRenderedPageBreak/>
              <w:t xml:space="preserve">Which chart type best shows Scope 3 emissions distributed across 8 supply-chain categories? </w:t>
            </w:r>
          </w:p>
          <w:p w14:paraId="14281A51" w14:textId="77777777" w:rsidR="003039B8" w:rsidRPr="00900767" w:rsidRDefault="003039B8" w:rsidP="003039B8">
            <w:pPr>
              <w:pStyle w:val="NoSpacing"/>
              <w:ind w:left="360"/>
              <w:jc w:val="both"/>
              <w:rPr>
                <w:sz w:val="20"/>
                <w:szCs w:val="20"/>
                <w:lang w:val="en-US"/>
              </w:rPr>
            </w:pPr>
            <w:r w:rsidRPr="00900767">
              <w:rPr>
                <w:sz w:val="20"/>
                <w:szCs w:val="20"/>
              </w:rPr>
              <w:t xml:space="preserve">a) Line chart  </w:t>
            </w:r>
          </w:p>
          <w:p w14:paraId="61864467" w14:textId="77777777" w:rsidR="003039B8" w:rsidRPr="00900767" w:rsidRDefault="003039B8" w:rsidP="003039B8">
            <w:pPr>
              <w:pStyle w:val="NoSpacing"/>
              <w:ind w:left="360"/>
              <w:jc w:val="both"/>
              <w:rPr>
                <w:sz w:val="20"/>
                <w:szCs w:val="20"/>
                <w:lang w:val="en-US"/>
              </w:rPr>
            </w:pPr>
            <w:r w:rsidRPr="00900767">
              <w:rPr>
                <w:sz w:val="20"/>
                <w:szCs w:val="20"/>
              </w:rPr>
              <w:t xml:space="preserve">b) Scatter plot </w:t>
            </w:r>
          </w:p>
          <w:p w14:paraId="76FB1F59" w14:textId="77777777" w:rsidR="003039B8" w:rsidRPr="00900767" w:rsidRDefault="003039B8" w:rsidP="003039B8">
            <w:pPr>
              <w:pStyle w:val="NoSpacing"/>
              <w:ind w:left="360"/>
              <w:jc w:val="both"/>
              <w:rPr>
                <w:sz w:val="20"/>
                <w:szCs w:val="20"/>
                <w:lang w:val="en-US"/>
              </w:rPr>
            </w:pPr>
            <w:r w:rsidRPr="00900767">
              <w:rPr>
                <w:sz w:val="20"/>
                <w:szCs w:val="20"/>
              </w:rPr>
              <w:t xml:space="preserve">c) 100% stacked bar chart  </w:t>
            </w:r>
          </w:p>
          <w:p w14:paraId="1AEE83CF" w14:textId="77777777" w:rsidR="003039B8" w:rsidRPr="00900767" w:rsidRDefault="003039B8" w:rsidP="003039B8">
            <w:pPr>
              <w:pStyle w:val="NoSpacing"/>
              <w:ind w:left="360"/>
              <w:jc w:val="both"/>
              <w:rPr>
                <w:sz w:val="20"/>
                <w:szCs w:val="20"/>
                <w:lang w:val="en-US"/>
              </w:rPr>
            </w:pPr>
            <w:r w:rsidRPr="00900767">
              <w:rPr>
                <w:sz w:val="20"/>
                <w:szCs w:val="20"/>
              </w:rPr>
              <w:t>d) Box plot</w:t>
            </w:r>
          </w:p>
          <w:p w14:paraId="4B435405" w14:textId="77777777" w:rsidR="003039B8" w:rsidRPr="00900767" w:rsidRDefault="003039B8" w:rsidP="00CD130A">
            <w:pPr>
              <w:pStyle w:val="NoSpacing"/>
              <w:ind w:left="1080"/>
              <w:jc w:val="both"/>
              <w:rPr>
                <w:sz w:val="20"/>
                <w:szCs w:val="20"/>
                <w:lang w:val="en-US"/>
              </w:rPr>
            </w:pPr>
          </w:p>
          <w:p w14:paraId="70FB2A04" w14:textId="77777777" w:rsidR="003039B8" w:rsidRPr="00900767" w:rsidRDefault="003039B8" w:rsidP="003039B8">
            <w:pPr>
              <w:pStyle w:val="NoSpacing"/>
              <w:numPr>
                <w:ilvl w:val="0"/>
                <w:numId w:val="312"/>
              </w:numPr>
              <w:jc w:val="both"/>
              <w:rPr>
                <w:color w:val="009889" w:themeColor="accent2"/>
                <w:sz w:val="20"/>
                <w:szCs w:val="20"/>
                <w:lang w:val="en-US"/>
              </w:rPr>
            </w:pPr>
            <w:r w:rsidRPr="00900767">
              <w:rPr>
                <w:color w:val="009889" w:themeColor="accent2"/>
                <w:sz w:val="20"/>
                <w:szCs w:val="20"/>
              </w:rPr>
              <w:t>True or False: Titles and labels on a chart are important to provide context to the user.</w:t>
            </w:r>
          </w:p>
          <w:p w14:paraId="6E87D25D" w14:textId="77777777" w:rsidR="003039B8" w:rsidRPr="00900767" w:rsidRDefault="003039B8" w:rsidP="00CD130A">
            <w:pPr>
              <w:pStyle w:val="NoSpacing"/>
              <w:ind w:left="1080"/>
              <w:jc w:val="both"/>
              <w:rPr>
                <w:sz w:val="20"/>
                <w:szCs w:val="20"/>
                <w:lang w:val="en-US"/>
              </w:rPr>
            </w:pPr>
          </w:p>
          <w:p w14:paraId="2BEAA149" w14:textId="6D03D371" w:rsidR="003039B8" w:rsidRPr="00900767" w:rsidRDefault="003039B8" w:rsidP="00CD130A">
            <w:pPr>
              <w:pStyle w:val="NoSpacing"/>
              <w:jc w:val="both"/>
              <w:rPr>
                <w:color w:val="00AC4E" w:themeColor="accent1"/>
                <w:sz w:val="20"/>
                <w:szCs w:val="20"/>
                <w:lang w:val="en-US"/>
              </w:rPr>
            </w:pPr>
            <w:r w:rsidRPr="00900767">
              <w:rPr>
                <w:i/>
                <w:sz w:val="20"/>
                <w:szCs w:val="20"/>
              </w:rPr>
              <w:t>Knowledge quiz answer key: 1) c; 2) c; 3) False; 4) b; 5) c; 6) True</w:t>
            </w:r>
          </w:p>
        </w:tc>
      </w:tr>
    </w:tbl>
    <w:p w14:paraId="4C5A350C" w14:textId="77777777" w:rsidR="00710EDF" w:rsidRPr="00900767" w:rsidRDefault="00710EDF" w:rsidP="00413340">
      <w:pPr>
        <w:spacing w:line="240" w:lineRule="auto"/>
        <w:rPr>
          <w:szCs w:val="20"/>
        </w:rPr>
      </w:pPr>
    </w:p>
    <w:p w14:paraId="34808FDF" w14:textId="77777777" w:rsidR="00710EDF" w:rsidRDefault="00710EDF" w:rsidP="00413340">
      <w:pPr>
        <w:spacing w:line="240" w:lineRule="auto"/>
      </w:pPr>
    </w:p>
    <w:p w14:paraId="0A5DEFCA" w14:textId="77777777" w:rsidR="00900767" w:rsidRDefault="00900767" w:rsidP="00413340">
      <w:pPr>
        <w:spacing w:line="240" w:lineRule="auto"/>
      </w:pPr>
    </w:p>
    <w:p w14:paraId="29886030" w14:textId="77777777" w:rsidR="00900767" w:rsidRDefault="00900767" w:rsidP="00413340">
      <w:pPr>
        <w:spacing w:line="240" w:lineRule="auto"/>
      </w:pPr>
    </w:p>
    <w:p w14:paraId="55FD7413" w14:textId="77777777" w:rsidR="00900767" w:rsidRDefault="00900767" w:rsidP="00413340">
      <w:pPr>
        <w:spacing w:line="240" w:lineRule="auto"/>
      </w:pPr>
    </w:p>
    <w:p w14:paraId="76C41C76" w14:textId="77777777" w:rsidR="00900767" w:rsidRDefault="00900767" w:rsidP="00413340">
      <w:pPr>
        <w:spacing w:line="240" w:lineRule="auto"/>
      </w:pPr>
    </w:p>
    <w:p w14:paraId="714502BB" w14:textId="77777777" w:rsidR="00900767" w:rsidRDefault="00900767" w:rsidP="00413340">
      <w:pPr>
        <w:spacing w:line="240" w:lineRule="auto"/>
      </w:pPr>
    </w:p>
    <w:p w14:paraId="6C3016F2" w14:textId="77777777" w:rsidR="00900767" w:rsidRDefault="00900767" w:rsidP="00413340">
      <w:pPr>
        <w:spacing w:line="240" w:lineRule="auto"/>
      </w:pPr>
    </w:p>
    <w:p w14:paraId="23C9FBCB" w14:textId="77777777" w:rsidR="00900767" w:rsidRDefault="00900767" w:rsidP="00413340">
      <w:pPr>
        <w:spacing w:line="240" w:lineRule="auto"/>
      </w:pPr>
    </w:p>
    <w:p w14:paraId="5D305306" w14:textId="77777777" w:rsidR="00900767" w:rsidRDefault="00900767" w:rsidP="00413340">
      <w:pPr>
        <w:spacing w:line="240" w:lineRule="auto"/>
      </w:pPr>
    </w:p>
    <w:p w14:paraId="41C9B9B3" w14:textId="77777777" w:rsidR="00900767" w:rsidRDefault="00900767" w:rsidP="00413340">
      <w:pPr>
        <w:spacing w:line="240" w:lineRule="auto"/>
      </w:pPr>
    </w:p>
    <w:p w14:paraId="789DED3D" w14:textId="77777777" w:rsidR="00900767" w:rsidRDefault="00900767" w:rsidP="00413340">
      <w:pPr>
        <w:spacing w:line="240" w:lineRule="auto"/>
      </w:pPr>
    </w:p>
    <w:p w14:paraId="5A1FAE69" w14:textId="77777777" w:rsidR="00900767" w:rsidRDefault="00900767" w:rsidP="00413340">
      <w:pPr>
        <w:spacing w:line="240" w:lineRule="auto"/>
      </w:pPr>
    </w:p>
    <w:p w14:paraId="2D4A1A3A" w14:textId="77777777" w:rsidR="00900767" w:rsidRDefault="00900767" w:rsidP="00413340">
      <w:pPr>
        <w:spacing w:line="240" w:lineRule="auto"/>
      </w:pPr>
    </w:p>
    <w:p w14:paraId="4B671047" w14:textId="77777777" w:rsidR="00900767" w:rsidRDefault="00900767" w:rsidP="00413340">
      <w:pPr>
        <w:spacing w:line="240" w:lineRule="auto"/>
      </w:pPr>
    </w:p>
    <w:p w14:paraId="2B02657F" w14:textId="77777777" w:rsidR="00900767" w:rsidRDefault="00900767" w:rsidP="00413340">
      <w:pPr>
        <w:spacing w:line="240" w:lineRule="auto"/>
      </w:pPr>
    </w:p>
    <w:p w14:paraId="159C72A0" w14:textId="77777777" w:rsidR="00900767" w:rsidRDefault="00900767" w:rsidP="00413340">
      <w:pPr>
        <w:spacing w:line="240" w:lineRule="auto"/>
      </w:pPr>
    </w:p>
    <w:p w14:paraId="6FB11A47" w14:textId="77777777" w:rsidR="00900767" w:rsidRDefault="00900767" w:rsidP="00413340">
      <w:pPr>
        <w:spacing w:line="240" w:lineRule="auto"/>
      </w:pPr>
    </w:p>
    <w:p w14:paraId="4BA55BB1" w14:textId="77777777" w:rsidR="00900767" w:rsidRDefault="00900767" w:rsidP="00413340">
      <w:pPr>
        <w:spacing w:line="240" w:lineRule="auto"/>
      </w:pPr>
    </w:p>
    <w:p w14:paraId="318368A5" w14:textId="77777777" w:rsidR="00900767" w:rsidRDefault="00900767" w:rsidP="00413340">
      <w:pPr>
        <w:spacing w:line="240" w:lineRule="auto"/>
      </w:pPr>
    </w:p>
    <w:p w14:paraId="04A6BB37" w14:textId="77777777" w:rsidR="00900767" w:rsidRDefault="00900767" w:rsidP="00413340">
      <w:pPr>
        <w:spacing w:line="240" w:lineRule="auto"/>
      </w:pPr>
    </w:p>
    <w:p w14:paraId="523B3161" w14:textId="77777777" w:rsidR="00900767" w:rsidRDefault="00900767" w:rsidP="00413340">
      <w:pPr>
        <w:spacing w:line="240" w:lineRule="auto"/>
      </w:pPr>
    </w:p>
    <w:p w14:paraId="5B4953AC" w14:textId="77777777" w:rsidR="00900767" w:rsidRDefault="00900767" w:rsidP="00413340">
      <w:pPr>
        <w:spacing w:line="240" w:lineRule="auto"/>
      </w:pPr>
    </w:p>
    <w:p w14:paraId="71F972F5" w14:textId="77777777" w:rsidR="00900767" w:rsidRPr="00EF521E" w:rsidRDefault="00900767" w:rsidP="00413340">
      <w:pPr>
        <w:spacing w:line="240" w:lineRule="auto"/>
      </w:pPr>
    </w:p>
    <w:p w14:paraId="2992DA0C" w14:textId="1980E41E" w:rsidR="003039B8" w:rsidRDefault="00BF5BE8" w:rsidP="00696E1E">
      <w:pPr>
        <w:pStyle w:val="NoSpacing"/>
        <w:jc w:val="both"/>
        <w:rPr>
          <w:b/>
          <w:color w:val="00AC4E" w:themeColor="accent1"/>
          <w:sz w:val="22"/>
          <w:szCs w:val="22"/>
          <w:lang w:val="en-GB"/>
        </w:rPr>
      </w:pPr>
      <w:r w:rsidRPr="00EF521E">
        <w:rPr>
          <w:b/>
          <w:color w:val="00AC4E" w:themeColor="accent1"/>
          <w:sz w:val="22"/>
          <w:szCs w:val="22"/>
          <w:lang w:val="en-GB"/>
        </w:rPr>
        <w:lastRenderedPageBreak/>
        <w:t>References:</w:t>
      </w:r>
    </w:p>
    <w:p w14:paraId="67CF38E2" w14:textId="20EBD9CD" w:rsidR="00696E1E" w:rsidRPr="00696E1E" w:rsidRDefault="00696E1E" w:rsidP="00696E1E">
      <w:pPr>
        <w:rPr>
          <w:b/>
          <w:bCs/>
          <w:lang w:val="hr-HR"/>
        </w:rPr>
      </w:pPr>
      <w:r w:rsidRPr="00696E1E">
        <w:rPr>
          <w:b/>
          <w:bCs/>
          <w:lang w:val="hr-HR"/>
        </w:rPr>
        <w:t>Books and Academic Publications</w:t>
      </w:r>
    </w:p>
    <w:p w14:paraId="13C62D04" w14:textId="77777777" w:rsidR="00696E1E" w:rsidRPr="00696E1E" w:rsidRDefault="00696E1E" w:rsidP="00696E1E">
      <w:pPr>
        <w:numPr>
          <w:ilvl w:val="0"/>
          <w:numId w:val="313"/>
        </w:numPr>
        <w:rPr>
          <w:lang w:val="hr-HR"/>
        </w:rPr>
      </w:pPr>
      <w:r w:rsidRPr="00696E1E">
        <w:rPr>
          <w:b/>
          <w:bCs/>
          <w:lang w:val="hr-HR"/>
        </w:rPr>
        <w:t>DAMA International</w:t>
      </w:r>
      <w:r w:rsidRPr="00696E1E">
        <w:rPr>
          <w:lang w:val="hr-HR"/>
        </w:rPr>
        <w:t xml:space="preserve"> (2024). </w:t>
      </w:r>
      <w:r w:rsidRPr="00696E1E">
        <w:rPr>
          <w:i/>
          <w:iCs/>
          <w:lang w:val="hr-HR"/>
        </w:rPr>
        <w:t>DAMA® Data Management Body of Knowledge (DAMA-DMBOK®)</w:t>
      </w:r>
      <w:r w:rsidRPr="00696E1E">
        <w:rPr>
          <w:lang w:val="hr-HR"/>
        </w:rPr>
        <w:t>. Second edition revised. Technics Publications.</w:t>
      </w:r>
    </w:p>
    <w:p w14:paraId="34B9B00C" w14:textId="77777777" w:rsidR="00696E1E" w:rsidRPr="00696E1E" w:rsidRDefault="00696E1E" w:rsidP="00696E1E">
      <w:pPr>
        <w:numPr>
          <w:ilvl w:val="0"/>
          <w:numId w:val="313"/>
        </w:numPr>
        <w:rPr>
          <w:lang w:val="hr-HR"/>
        </w:rPr>
      </w:pPr>
      <w:r w:rsidRPr="00696E1E">
        <w:rPr>
          <w:b/>
          <w:bCs/>
          <w:lang w:val="hr-HR"/>
        </w:rPr>
        <w:t>McKinsey &amp; Company</w:t>
      </w:r>
      <w:r w:rsidRPr="00696E1E">
        <w:rPr>
          <w:lang w:val="hr-HR"/>
        </w:rPr>
        <w:t xml:space="preserve"> (2019). </w:t>
      </w:r>
      <w:r w:rsidRPr="00696E1E">
        <w:rPr>
          <w:i/>
          <w:iCs/>
          <w:lang w:val="hr-HR"/>
        </w:rPr>
        <w:t>Five ways that ESG creates value</w:t>
      </w:r>
      <w:r w:rsidRPr="00696E1E">
        <w:rPr>
          <w:lang w:val="hr-HR"/>
        </w:rPr>
        <w:t>. McKinsey Quarterly.</w:t>
      </w:r>
    </w:p>
    <w:p w14:paraId="52A37BAC" w14:textId="77777777" w:rsidR="00696E1E" w:rsidRPr="00696E1E" w:rsidRDefault="00696E1E" w:rsidP="00696E1E">
      <w:pPr>
        <w:rPr>
          <w:b/>
          <w:bCs/>
          <w:lang w:val="hr-HR"/>
        </w:rPr>
      </w:pPr>
      <w:r w:rsidRPr="00696E1E">
        <w:rPr>
          <w:b/>
          <w:bCs/>
          <w:lang w:val="hr-HR"/>
        </w:rPr>
        <w:t>Industry Reports and Specifications</w:t>
      </w:r>
    </w:p>
    <w:p w14:paraId="64CC61FB" w14:textId="77777777" w:rsidR="00696E1E" w:rsidRPr="00696E1E" w:rsidRDefault="00696E1E" w:rsidP="00696E1E">
      <w:pPr>
        <w:numPr>
          <w:ilvl w:val="0"/>
          <w:numId w:val="314"/>
        </w:numPr>
        <w:rPr>
          <w:lang w:val="hr-HR"/>
        </w:rPr>
      </w:pPr>
      <w:r w:rsidRPr="00696E1E">
        <w:rPr>
          <w:b/>
          <w:bCs/>
          <w:lang w:val="hr-HR"/>
        </w:rPr>
        <w:t>European Financial Reporting Advisory Group (EFRAG)</w:t>
      </w:r>
      <w:r w:rsidRPr="00696E1E">
        <w:rPr>
          <w:lang w:val="hr-HR"/>
        </w:rPr>
        <w:t xml:space="preserve"> (2023). </w:t>
      </w:r>
      <w:r w:rsidRPr="00696E1E">
        <w:rPr>
          <w:i/>
          <w:iCs/>
          <w:lang w:val="hr-HR"/>
        </w:rPr>
        <w:t>European Sustainability Reporting Standards (ESRS) 1: General Requirements</w:t>
      </w:r>
      <w:r w:rsidRPr="00696E1E">
        <w:rPr>
          <w:lang w:val="hr-HR"/>
        </w:rPr>
        <w:t>.</w:t>
      </w:r>
    </w:p>
    <w:p w14:paraId="0FD7B4A0" w14:textId="77777777" w:rsidR="00696E1E" w:rsidRPr="00696E1E" w:rsidRDefault="00696E1E" w:rsidP="00696E1E">
      <w:pPr>
        <w:numPr>
          <w:ilvl w:val="0"/>
          <w:numId w:val="314"/>
        </w:numPr>
        <w:rPr>
          <w:lang w:val="hr-HR"/>
        </w:rPr>
      </w:pPr>
      <w:r w:rsidRPr="00696E1E">
        <w:rPr>
          <w:b/>
          <w:bCs/>
          <w:lang w:val="hr-HR"/>
        </w:rPr>
        <w:t>European Financial Reporting Advisory Group (EFRAG)</w:t>
      </w:r>
      <w:r w:rsidRPr="00696E1E">
        <w:rPr>
          <w:lang w:val="hr-HR"/>
        </w:rPr>
        <w:t xml:space="preserve"> (2024). </w:t>
      </w:r>
      <w:r w:rsidRPr="00696E1E">
        <w:rPr>
          <w:i/>
          <w:iCs/>
          <w:lang w:val="hr-HR"/>
        </w:rPr>
        <w:t>Implementation Guidance 1 (IG 1): Materiality Assessment Implementation Guidance</w:t>
      </w:r>
      <w:r w:rsidRPr="00696E1E">
        <w:rPr>
          <w:lang w:val="hr-HR"/>
        </w:rPr>
        <w:t>. Official Final Version.</w:t>
      </w:r>
    </w:p>
    <w:p w14:paraId="61391AD1" w14:textId="77777777" w:rsidR="00696E1E" w:rsidRPr="00696E1E" w:rsidRDefault="00696E1E" w:rsidP="00696E1E">
      <w:pPr>
        <w:numPr>
          <w:ilvl w:val="0"/>
          <w:numId w:val="314"/>
        </w:numPr>
        <w:rPr>
          <w:lang w:val="hr-HR"/>
        </w:rPr>
      </w:pPr>
      <w:r w:rsidRPr="00696E1E">
        <w:rPr>
          <w:b/>
          <w:bCs/>
          <w:lang w:val="hr-HR"/>
        </w:rPr>
        <w:t>European Union</w:t>
      </w:r>
      <w:r w:rsidRPr="00696E1E">
        <w:rPr>
          <w:lang w:val="hr-HR"/>
        </w:rPr>
        <w:t xml:space="preserve"> (2022). </w:t>
      </w:r>
      <w:r w:rsidRPr="00696E1E">
        <w:rPr>
          <w:i/>
          <w:iCs/>
          <w:lang w:val="hr-HR"/>
        </w:rPr>
        <w:t>Directive (EU) 2022/2464 of the European Parliament and of the Council (Corporate Sustainability Reporting Directive – CSRD)</w:t>
      </w:r>
      <w:r w:rsidRPr="00696E1E">
        <w:rPr>
          <w:lang w:val="hr-HR"/>
        </w:rPr>
        <w:t>.</w:t>
      </w:r>
    </w:p>
    <w:p w14:paraId="66C6A2B5" w14:textId="77777777" w:rsidR="00696E1E" w:rsidRPr="00696E1E" w:rsidRDefault="00696E1E" w:rsidP="00696E1E">
      <w:pPr>
        <w:numPr>
          <w:ilvl w:val="0"/>
          <w:numId w:val="314"/>
        </w:numPr>
        <w:rPr>
          <w:lang w:val="hr-HR"/>
        </w:rPr>
      </w:pPr>
      <w:r w:rsidRPr="00696E1E">
        <w:rPr>
          <w:b/>
          <w:bCs/>
          <w:lang w:val="hr-HR"/>
        </w:rPr>
        <w:t>European Union</w:t>
      </w:r>
      <w:r w:rsidRPr="00696E1E">
        <w:rPr>
          <w:lang w:val="hr-HR"/>
        </w:rPr>
        <w:t xml:space="preserve"> (2026). </w:t>
      </w:r>
      <w:r w:rsidRPr="00696E1E">
        <w:rPr>
          <w:i/>
          <w:iCs/>
          <w:lang w:val="hr-HR"/>
        </w:rPr>
        <w:t>Directive (EU) 2026/470 of the European Parliament and of the Council</w:t>
      </w:r>
      <w:r w:rsidRPr="00696E1E">
        <w:rPr>
          <w:lang w:val="hr-HR"/>
        </w:rPr>
        <w:t xml:space="preserve">. Available at: </w:t>
      </w:r>
      <w:hyperlink r:id="rId88" w:tgtFrame="_blank" w:history="1">
        <w:r w:rsidRPr="00696E1E">
          <w:rPr>
            <w:rStyle w:val="Hyperlink"/>
            <w:lang w:val="hr-HR"/>
          </w:rPr>
          <w:t>EUR-Lex</w:t>
        </w:r>
      </w:hyperlink>
      <w:r w:rsidRPr="00696E1E">
        <w:rPr>
          <w:lang w:val="hr-HR"/>
        </w:rPr>
        <w:t>.</w:t>
      </w:r>
    </w:p>
    <w:p w14:paraId="6D5CF156" w14:textId="77777777" w:rsidR="00696E1E" w:rsidRPr="00696E1E" w:rsidRDefault="00696E1E" w:rsidP="00696E1E">
      <w:pPr>
        <w:numPr>
          <w:ilvl w:val="0"/>
          <w:numId w:val="314"/>
        </w:numPr>
        <w:rPr>
          <w:lang w:val="hr-HR"/>
        </w:rPr>
      </w:pPr>
      <w:r w:rsidRPr="00696E1E">
        <w:rPr>
          <w:b/>
          <w:bCs/>
          <w:lang w:val="hr-HR"/>
        </w:rPr>
        <w:t>Global Reporting Initiative (GRI)</w:t>
      </w:r>
      <w:r w:rsidRPr="00696E1E">
        <w:rPr>
          <w:lang w:val="hr-HR"/>
        </w:rPr>
        <w:t xml:space="preserve"> (2021). </w:t>
      </w:r>
      <w:r w:rsidRPr="00696E1E">
        <w:rPr>
          <w:i/>
          <w:iCs/>
          <w:lang w:val="hr-HR"/>
        </w:rPr>
        <w:t>GRI 3: Material Topics 2021</w:t>
      </w:r>
      <w:r w:rsidRPr="00696E1E">
        <w:rPr>
          <w:lang w:val="hr-HR"/>
        </w:rPr>
        <w:t>. Global Sustainability Standards Board.</w:t>
      </w:r>
    </w:p>
    <w:p w14:paraId="21A36C8D" w14:textId="77777777" w:rsidR="00696E1E" w:rsidRPr="00696E1E" w:rsidRDefault="00696E1E" w:rsidP="00696E1E">
      <w:pPr>
        <w:numPr>
          <w:ilvl w:val="0"/>
          <w:numId w:val="314"/>
        </w:numPr>
        <w:rPr>
          <w:lang w:val="hr-HR"/>
        </w:rPr>
      </w:pPr>
      <w:r w:rsidRPr="00696E1E">
        <w:rPr>
          <w:b/>
          <w:bCs/>
          <w:lang w:val="hr-HR"/>
        </w:rPr>
        <w:t>Global Reporting Initiative (GRI)</w:t>
      </w:r>
      <w:r w:rsidRPr="00696E1E">
        <w:rPr>
          <w:lang w:val="hr-HR"/>
        </w:rPr>
        <w:t xml:space="preserve"> (2021). </w:t>
      </w:r>
      <w:r w:rsidRPr="00696E1E">
        <w:rPr>
          <w:i/>
          <w:iCs/>
          <w:lang w:val="hr-HR"/>
        </w:rPr>
        <w:t>GRI 305: Emissions Standard</w:t>
      </w:r>
      <w:r w:rsidRPr="00696E1E">
        <w:rPr>
          <w:lang w:val="hr-HR"/>
        </w:rPr>
        <w:t>.</w:t>
      </w:r>
    </w:p>
    <w:p w14:paraId="15881DE4" w14:textId="77777777" w:rsidR="00696E1E" w:rsidRPr="00696E1E" w:rsidRDefault="00696E1E" w:rsidP="00696E1E">
      <w:pPr>
        <w:numPr>
          <w:ilvl w:val="0"/>
          <w:numId w:val="314"/>
        </w:numPr>
        <w:rPr>
          <w:lang w:val="hr-HR"/>
        </w:rPr>
      </w:pPr>
      <w:r w:rsidRPr="00696E1E">
        <w:rPr>
          <w:b/>
          <w:bCs/>
          <w:lang w:val="hr-HR"/>
        </w:rPr>
        <w:t>European Securities and Markets Authority (ESMA)</w:t>
      </w:r>
      <w:r w:rsidRPr="00696E1E">
        <w:rPr>
          <w:lang w:val="hr-HR"/>
        </w:rPr>
        <w:t xml:space="preserve">. </w:t>
      </w:r>
      <w:r w:rsidRPr="00696E1E">
        <w:rPr>
          <w:i/>
          <w:iCs/>
          <w:lang w:val="hr-HR"/>
        </w:rPr>
        <w:t>Electronic Reporting (ESEF/XBRL) Technical Guidelines</w:t>
      </w:r>
      <w:r w:rsidRPr="00696E1E">
        <w:rPr>
          <w:lang w:val="hr-HR"/>
        </w:rPr>
        <w:t>.</w:t>
      </w:r>
    </w:p>
    <w:p w14:paraId="21EF5DF1" w14:textId="77777777" w:rsidR="00696E1E" w:rsidRPr="00696E1E" w:rsidRDefault="00696E1E" w:rsidP="00696E1E">
      <w:pPr>
        <w:numPr>
          <w:ilvl w:val="0"/>
          <w:numId w:val="314"/>
        </w:numPr>
        <w:rPr>
          <w:lang w:val="hr-HR"/>
        </w:rPr>
      </w:pPr>
      <w:r w:rsidRPr="00696E1E">
        <w:rPr>
          <w:b/>
          <w:bCs/>
          <w:lang w:val="hr-HR"/>
        </w:rPr>
        <w:t>MSCI ESG Research</w:t>
      </w:r>
      <w:r w:rsidRPr="00696E1E">
        <w:rPr>
          <w:lang w:val="hr-HR"/>
        </w:rPr>
        <w:t xml:space="preserve"> (2023). </w:t>
      </w:r>
      <w:r w:rsidRPr="00696E1E">
        <w:rPr>
          <w:i/>
          <w:iCs/>
          <w:lang w:val="hr-HR"/>
        </w:rPr>
        <w:t>ESG 101: What are ESG Ratings and Metrics?</w:t>
      </w:r>
    </w:p>
    <w:p w14:paraId="76F39D2C" w14:textId="77777777" w:rsidR="00696E1E" w:rsidRPr="00696E1E" w:rsidRDefault="00696E1E" w:rsidP="00696E1E">
      <w:pPr>
        <w:rPr>
          <w:b/>
          <w:bCs/>
          <w:lang w:val="hr-HR"/>
        </w:rPr>
      </w:pPr>
      <w:r w:rsidRPr="00696E1E">
        <w:rPr>
          <w:b/>
          <w:bCs/>
          <w:lang w:val="hr-HR"/>
        </w:rPr>
        <w:t>Online Resources and Tools</w:t>
      </w:r>
    </w:p>
    <w:p w14:paraId="7AE18AC8" w14:textId="77777777" w:rsidR="00696E1E" w:rsidRPr="00696E1E" w:rsidRDefault="00696E1E" w:rsidP="00696E1E">
      <w:pPr>
        <w:numPr>
          <w:ilvl w:val="0"/>
          <w:numId w:val="315"/>
        </w:numPr>
        <w:rPr>
          <w:lang w:val="hr-HR"/>
        </w:rPr>
      </w:pPr>
      <w:r w:rsidRPr="00696E1E">
        <w:rPr>
          <w:b/>
          <w:bCs/>
          <w:lang w:val="hr-HR"/>
        </w:rPr>
        <w:t>The Data Governance Institute</w:t>
      </w:r>
      <w:r w:rsidRPr="00696E1E">
        <w:rPr>
          <w:lang w:val="hr-HR"/>
        </w:rPr>
        <w:t xml:space="preserve">. </w:t>
      </w:r>
      <w:r w:rsidRPr="00696E1E">
        <w:rPr>
          <w:i/>
          <w:iCs/>
          <w:lang w:val="hr-HR"/>
        </w:rPr>
        <w:t>Web materials and Data Governance Framework</w:t>
      </w:r>
      <w:r w:rsidRPr="00696E1E">
        <w:rPr>
          <w:lang w:val="hr-HR"/>
        </w:rPr>
        <w:t xml:space="preserve">. Available at: </w:t>
      </w:r>
      <w:hyperlink r:id="rId89" w:tgtFrame="_blank" w:history="1">
        <w:r w:rsidRPr="00696E1E">
          <w:rPr>
            <w:rStyle w:val="Hyperlink"/>
            <w:lang w:val="hr-HR"/>
          </w:rPr>
          <w:t>datagovernance.com</w:t>
        </w:r>
      </w:hyperlink>
      <w:r w:rsidRPr="00696E1E">
        <w:rPr>
          <w:lang w:val="hr-HR"/>
        </w:rPr>
        <w:t xml:space="preserve"> (Accessed: February 2025).</w:t>
      </w:r>
    </w:p>
    <w:p w14:paraId="399606C7" w14:textId="77777777" w:rsidR="00696E1E" w:rsidRPr="00696E1E" w:rsidRDefault="00696E1E" w:rsidP="00696E1E">
      <w:pPr>
        <w:numPr>
          <w:ilvl w:val="0"/>
          <w:numId w:val="315"/>
        </w:numPr>
        <w:rPr>
          <w:lang w:val="hr-HR"/>
        </w:rPr>
      </w:pPr>
      <w:r w:rsidRPr="00696E1E">
        <w:rPr>
          <w:b/>
          <w:bCs/>
          <w:lang w:val="hr-HR"/>
        </w:rPr>
        <w:t>XBRL International</w:t>
      </w:r>
      <w:r w:rsidRPr="00696E1E">
        <w:rPr>
          <w:lang w:val="hr-HR"/>
        </w:rPr>
        <w:t xml:space="preserve"> (2023). </w:t>
      </w:r>
      <w:r w:rsidRPr="00696E1E">
        <w:rPr>
          <w:i/>
          <w:iCs/>
          <w:lang w:val="hr-HR"/>
        </w:rPr>
        <w:t>iXBRL: The Standard for Digital Business Reporting</w:t>
      </w:r>
      <w:r w:rsidRPr="00696E1E">
        <w:rPr>
          <w:lang w:val="hr-HR"/>
        </w:rPr>
        <w:t xml:space="preserve">. Available at: </w:t>
      </w:r>
      <w:hyperlink r:id="rId90" w:tgtFrame="_blank" w:history="1">
        <w:r w:rsidRPr="00696E1E">
          <w:rPr>
            <w:rStyle w:val="Hyperlink"/>
            <w:lang w:val="hr-HR"/>
          </w:rPr>
          <w:t>xbrl.org/ixbrl</w:t>
        </w:r>
      </w:hyperlink>
      <w:r w:rsidRPr="00696E1E">
        <w:rPr>
          <w:lang w:val="hr-HR"/>
        </w:rPr>
        <w:t>.</w:t>
      </w:r>
    </w:p>
    <w:p w14:paraId="2204C01F" w14:textId="77777777" w:rsidR="00696E1E" w:rsidRPr="00696E1E" w:rsidRDefault="00696E1E" w:rsidP="00696E1E"/>
    <w:p w14:paraId="4A2041DB" w14:textId="77777777" w:rsidR="00BF5BE8" w:rsidRPr="00EF521E" w:rsidRDefault="00BF5BE8" w:rsidP="00BF5BE8">
      <w:pPr>
        <w:pStyle w:val="NoSpacing"/>
        <w:jc w:val="both"/>
        <w:rPr>
          <w:sz w:val="22"/>
          <w:szCs w:val="22"/>
          <w:lang w:val="en-GB"/>
        </w:rPr>
      </w:pPr>
    </w:p>
    <w:p w14:paraId="00F6A297" w14:textId="1629B88E" w:rsidR="00710EDF" w:rsidRDefault="00D135B0" w:rsidP="00710EDF">
      <w:pPr>
        <w:spacing w:line="240" w:lineRule="auto"/>
        <w:rPr>
          <w:b/>
          <w:color w:val="00AC4E" w:themeColor="accent1"/>
          <w:sz w:val="22"/>
          <w:szCs w:val="22"/>
          <w:lang w:val="en-US"/>
        </w:rPr>
      </w:pPr>
      <w:r>
        <w:t xml:space="preserve"> </w:t>
      </w:r>
    </w:p>
    <w:p w14:paraId="5EB81780" w14:textId="2BACD4E0" w:rsidR="00E04709" w:rsidRPr="00EF521E" w:rsidRDefault="00E04709" w:rsidP="00413340">
      <w:pPr>
        <w:spacing w:line="240" w:lineRule="auto"/>
        <w:rPr>
          <w:szCs w:val="20"/>
        </w:rPr>
        <w:sectPr w:rsidR="00E04709" w:rsidRPr="00EF521E">
          <w:headerReference w:type="default" r:id="rId91"/>
          <w:footerReference w:type="default" r:id="rId92"/>
          <w:headerReference w:type="first" r:id="rId93"/>
          <w:footerReference w:type="first" r:id="rId94"/>
          <w:pgSz w:w="11906" w:h="16838"/>
          <w:pgMar w:top="1417" w:right="1134" w:bottom="1134" w:left="1134" w:header="510" w:footer="397" w:gutter="0"/>
          <w:pgNumType w:start="0"/>
          <w:cols w:space="708"/>
          <w:titlePg/>
        </w:sectPr>
      </w:pPr>
    </w:p>
    <w:p w14:paraId="576A7DA3" w14:textId="77777777" w:rsidR="00E04709" w:rsidRPr="00A43EC2" w:rsidRDefault="00E04709" w:rsidP="00413340">
      <w:pPr>
        <w:spacing w:line="240" w:lineRule="auto"/>
        <w:rPr>
          <w:szCs w:val="20"/>
        </w:rPr>
      </w:pPr>
    </w:p>
    <w:sectPr w:rsidR="00E04709" w:rsidRPr="00A43EC2">
      <w:headerReference w:type="first" r:id="rId95"/>
      <w:footerReference w:type="first" r:id="rId96"/>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EE729" w14:textId="77777777" w:rsidR="00AE68E1" w:rsidRPr="00EF521E" w:rsidRDefault="00AE68E1">
      <w:pPr>
        <w:spacing w:after="0" w:line="240" w:lineRule="auto"/>
      </w:pPr>
      <w:r w:rsidRPr="00EF521E">
        <w:separator/>
      </w:r>
    </w:p>
    <w:p w14:paraId="75F6F5B8" w14:textId="77777777" w:rsidR="00AE68E1" w:rsidRPr="00EF521E" w:rsidRDefault="00AE68E1"/>
    <w:p w14:paraId="1E3D8E47" w14:textId="77777777" w:rsidR="00AE68E1" w:rsidRPr="00EF521E" w:rsidRDefault="00AE68E1"/>
    <w:p w14:paraId="3A880C24" w14:textId="77777777" w:rsidR="00AE68E1" w:rsidRPr="00EF521E" w:rsidRDefault="00AE68E1"/>
  </w:endnote>
  <w:endnote w:type="continuationSeparator" w:id="0">
    <w:p w14:paraId="7D873400" w14:textId="77777777" w:rsidR="00AE68E1" w:rsidRPr="00EF521E" w:rsidRDefault="00AE68E1">
      <w:pPr>
        <w:spacing w:after="0" w:line="240" w:lineRule="auto"/>
      </w:pPr>
      <w:r w:rsidRPr="00EF521E">
        <w:continuationSeparator/>
      </w:r>
    </w:p>
    <w:p w14:paraId="46E2D97D" w14:textId="77777777" w:rsidR="00AE68E1" w:rsidRPr="00EF521E" w:rsidRDefault="00AE68E1"/>
    <w:p w14:paraId="07BE630F" w14:textId="77777777" w:rsidR="00AE68E1" w:rsidRPr="00EF521E" w:rsidRDefault="00AE68E1"/>
    <w:p w14:paraId="2DEAF757" w14:textId="77777777" w:rsidR="00AE68E1" w:rsidRPr="00EF521E" w:rsidRDefault="00AE6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Poppins SemiBold">
    <w:charset w:val="EE"/>
    <w:family w:val="auto"/>
    <w:pitch w:val="variable"/>
    <w:sig w:usb0="00008007" w:usb1="00000000" w:usb2="00000000" w:usb3="00000000" w:csb0="00000093" w:csb1="00000000"/>
  </w:font>
  <w:font w:name="Work Sans">
    <w:charset w:val="EE"/>
    <w:family w:val="auto"/>
    <w:pitch w:val="variable"/>
    <w:sig w:usb0="A00000FF" w:usb1="5000E07B" w:usb2="00000000" w:usb3="00000000" w:csb0="00000193" w:csb1="00000000"/>
  </w:font>
  <w:font w:name="Fira Sans Extra Condensed">
    <w:charset w:val="00"/>
    <w:family w:val="swiss"/>
    <w:pitch w:val="variable"/>
    <w:sig w:usb0="600002FF" w:usb1="00000001" w:usb2="00000000" w:usb3="00000000" w:csb0="0000019F" w:csb1="00000000"/>
  </w:font>
  <w:font w:name="Noto Sans JP">
    <w:charset w:val="00"/>
    <w:family w:val="auto"/>
    <w:pitch w:val="default"/>
  </w:font>
  <w:font w:name="Hind Madurai">
    <w:charset w:val="EE"/>
    <w:family w:val="auto"/>
    <w:pitch w:val="variable"/>
    <w:sig w:usb0="00100007" w:usb1="00000000" w:usb2="00000000" w:usb3="00000000" w:csb0="00000093" w:csb1="00000000"/>
  </w:font>
  <w:font w:name="Titillium Web Light">
    <w:charset w:val="EE"/>
    <w:family w:val="auto"/>
    <w:pitch w:val="variable"/>
    <w:sig w:usb0="00000007" w:usb1="00000001" w:usb2="00000000" w:usb3="00000000" w:csb0="0000009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01B5" w14:textId="626F225E" w:rsidR="00E661A9" w:rsidRPr="00E661A9" w:rsidRDefault="00000000">
    <w:pPr>
      <w:pStyle w:val="Header"/>
      <w:jc w:val="both"/>
      <w:rPr>
        <w:color w:val="A6A6A6" w:themeColor="background1" w:themeShade="A6"/>
      </w:rPr>
    </w:pPr>
    <w:r w:rsidRPr="00EF521E">
      <w:rPr>
        <w:noProof/>
      </w:rPr>
      <mc:AlternateContent>
        <mc:Choice Requires="wpg">
          <w:drawing>
            <wp:anchor distT="0" distB="0" distL="114300" distR="114300" simplePos="0" relativeHeight="251680256" behindDoc="1" locked="0" layoutInCell="1" allowOverlap="1" wp14:anchorId="5AA7D2BB" wp14:editId="734C3130">
              <wp:simplePos x="0" y="0"/>
              <wp:positionH relativeFrom="column">
                <wp:posOffset>2404225</wp:posOffset>
              </wp:positionH>
              <wp:positionV relativeFrom="paragraph">
                <wp:posOffset>-66675</wp:posOffset>
              </wp:positionV>
              <wp:extent cx="1615440" cy="358775"/>
              <wp:effectExtent l="0" t="0" r="0" b="3175"/>
              <wp:wrapNone/>
              <wp:docPr id="6"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80256;o:allowoverlap:true;o:allowincell:true;mso-position-horizontal-relative:text;margin-left:189.31pt;mso-position-horizontal:absolute;mso-position-vertical-relative:text;margin-top:-5.25pt;mso-position-vertical:absolute;width:127.20pt;height:28.25pt;mso-wrap-distance-left:9.00pt;mso-wrap-distance-top:0.00pt;mso-wrap-distance-right:9.00pt;mso-wrap-distance-bottom:0.00pt;z-index:1;" stroked="f">
              <v:imagedata r:id="rId2" o:title=""/>
              <o:lock v:ext="edit" rotation="t"/>
            </v:shape>
          </w:pict>
        </mc:Fallback>
      </mc:AlternateContent>
    </w:r>
    <w:r w:rsidR="00E661A9">
      <w:rPr>
        <w:color w:val="A6A6A6" w:themeColor="background1" w:themeShade="A6"/>
      </w:rPr>
      <w:t>Sustainability Data Essentials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Pr="00EF521E" w:rsidRDefault="00E04709">
    <w:pPr>
      <w:pStyle w:val="Footer"/>
    </w:pPr>
  </w:p>
  <w:p w14:paraId="475889BC" w14:textId="77777777" w:rsidR="00E04709" w:rsidRPr="00EF521E" w:rsidRDefault="00E04709">
    <w:pPr>
      <w:pStyle w:val="Footer"/>
    </w:pPr>
  </w:p>
  <w:p w14:paraId="2AA8CFC8" w14:textId="77777777" w:rsidR="00E04709" w:rsidRPr="00EF521E" w:rsidRDefault="00E04709">
    <w:pPr>
      <w:pStyle w:val="Footer"/>
    </w:pPr>
  </w:p>
  <w:p w14:paraId="2938075F" w14:textId="77777777" w:rsidR="00E04709" w:rsidRPr="00EF521E" w:rsidRDefault="00000000">
    <w:pPr>
      <w:pStyle w:val="Footer"/>
    </w:pPr>
    <w:r w:rsidRPr="00EF521E">
      <w:rPr>
        <w:noProof/>
      </w:rPr>
      <mc:AlternateContent>
        <mc:Choice Requires="wpg">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7"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657F8793" w14:textId="3E0B8E9C" w:rsidR="00E04709" w:rsidRPr="00EF521E" w:rsidRDefault="00E661A9">
    <w:pPr>
      <w:pStyle w:val="NoSpacing"/>
      <w:rPr>
        <w:caps/>
        <w:color w:val="808080" w:themeColor="background1" w:themeShade="80"/>
        <w:sz w:val="20"/>
        <w:szCs w:val="20"/>
        <w:lang w:val="en-GB"/>
      </w:rPr>
    </w:pPr>
    <w:r>
      <w:rPr>
        <w:caps/>
        <w:color w:val="808080" w:themeColor="background1" w:themeShade="80"/>
        <w:sz w:val="20"/>
        <w:szCs w:val="20"/>
        <w:lang w:val="en-GB"/>
      </w:rPr>
      <w:t>Sustainability data essentials</w:t>
    </w:r>
    <w:r w:rsidR="00725F35" w:rsidRPr="00EF521E">
      <w:rPr>
        <w:caps/>
        <w:color w:val="808080" w:themeColor="background1" w:themeShade="80"/>
        <w:sz w:val="20"/>
        <w:szCs w:val="20"/>
        <w:lang w:val="en-GB"/>
      </w:rPr>
      <w:t xml:space="preserve"> </w:t>
    </w:r>
    <w:r w:rsidR="00BF5BE8" w:rsidRPr="00EF521E">
      <w:rPr>
        <w:caps/>
        <w:color w:val="808080" w:themeColor="background1" w:themeShade="80"/>
        <w:sz w:val="20"/>
        <w:szCs w:val="20"/>
        <w:lang w:val="en-GB"/>
      </w:rPr>
      <w:t>30/</w:t>
    </w:r>
    <w:r w:rsidR="00725F35" w:rsidRPr="00EF521E">
      <w:rPr>
        <w:caps/>
        <w:color w:val="808080" w:themeColor="background1" w:themeShade="80"/>
        <w:sz w:val="20"/>
        <w:szCs w:val="20"/>
        <w:lang w:val="en-GB"/>
      </w:rPr>
      <w:t>04/2026</w:t>
    </w:r>
  </w:p>
  <w:p w14:paraId="6880F7DA" w14:textId="77777777" w:rsidR="00E04709" w:rsidRPr="00EF521E" w:rsidRDefault="00E04709">
    <w:pPr>
      <w:pStyle w:val="Footer"/>
      <w:tabs>
        <w:tab w:val="clear" w:pos="4819"/>
        <w:tab w:val="clear" w:pos="9638"/>
        <w:tab w:val="left" w:pos="1440"/>
      </w:tabs>
    </w:pPr>
  </w:p>
  <w:p w14:paraId="36B16427" w14:textId="093C31A4" w:rsidR="00E04709" w:rsidRPr="00EF521E" w:rsidRDefault="00000000" w:rsidP="00725F35">
    <w:pPr>
      <w:pStyle w:val="Footer"/>
      <w:tabs>
        <w:tab w:val="clear" w:pos="4819"/>
        <w:tab w:val="clear" w:pos="9638"/>
        <w:tab w:val="left" w:pos="1440"/>
        <w:tab w:val="left" w:pos="3945"/>
      </w:tabs>
    </w:pPr>
    <w:r w:rsidRPr="00EF521E">
      <w:tab/>
    </w:r>
    <w:r w:rsidR="00725F35" w:rsidRPr="00EF521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Pr="00EF521E" w:rsidRDefault="00000000">
    <w:pPr>
      <w:pStyle w:val="Header"/>
      <w:jc w:val="both"/>
    </w:pPr>
    <w:r w:rsidRPr="00EF521E">
      <w:rPr>
        <w:color w:val="A6A6A6" w:themeColor="background1" w:themeShade="A6"/>
      </w:rPr>
      <w:tab/>
    </w:r>
    <w:r w:rsidRPr="00EF521E">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8304D" w14:textId="77777777" w:rsidR="00AE68E1" w:rsidRPr="00EF521E" w:rsidRDefault="00AE68E1">
      <w:pPr>
        <w:spacing w:after="0" w:line="240" w:lineRule="auto"/>
      </w:pPr>
      <w:r w:rsidRPr="00EF521E">
        <w:separator/>
      </w:r>
    </w:p>
  </w:footnote>
  <w:footnote w:type="continuationSeparator" w:id="0">
    <w:p w14:paraId="0D57E48E" w14:textId="77777777" w:rsidR="00AE68E1" w:rsidRPr="00EF521E" w:rsidRDefault="00AE68E1">
      <w:pPr>
        <w:spacing w:after="0" w:line="240" w:lineRule="auto"/>
      </w:pPr>
      <w:r w:rsidRPr="00EF521E">
        <w:continuationSeparator/>
      </w:r>
    </w:p>
    <w:p w14:paraId="7FE7C265" w14:textId="77777777" w:rsidR="00AE68E1" w:rsidRPr="00EF521E" w:rsidRDefault="00AE68E1"/>
    <w:p w14:paraId="7919A056" w14:textId="77777777" w:rsidR="00AE68E1" w:rsidRPr="00EF521E" w:rsidRDefault="00AE68E1"/>
    <w:p w14:paraId="672908FD" w14:textId="77777777" w:rsidR="00AE68E1" w:rsidRPr="00EF521E" w:rsidRDefault="00AE6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Pr="00EF521E" w:rsidRDefault="00000000">
    <w:pPr>
      <w:pStyle w:val="Header"/>
    </w:pPr>
    <w:r w:rsidRPr="00EF521E">
      <w:rPr>
        <w:noProof/>
        <w:color w:val="283A97" w:themeColor="accent3"/>
      </w:rPr>
      <mc:AlternateContent>
        <mc:Choice Requires="wpg">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1"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sidRPr="00EF521E">
      <w:rPr>
        <w:noProof/>
      </w:rPr>
      <mc:AlternateContent>
        <mc:Choice Requires="wpg">
          <w:drawing>
            <wp:inline distT="0" distB="0" distL="0" distR="0" wp14:anchorId="00C6B82A" wp14:editId="6293C98B">
              <wp:extent cx="1486403" cy="26755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rsidRPr="00EF521E">
      <w:t xml:space="preserve">     </w:t>
    </w:r>
  </w:p>
  <w:p w14:paraId="50BF38A5" w14:textId="77777777" w:rsidR="00E04709" w:rsidRPr="00EF521E" w:rsidRDefault="00E04709">
    <w:pPr>
      <w:pStyle w:val="Header"/>
    </w:pPr>
  </w:p>
  <w:p w14:paraId="52ED028F" w14:textId="77777777" w:rsidR="00E04709" w:rsidRPr="00EF521E"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Pr="00EF521E" w:rsidRDefault="00000000">
    <w:pPr>
      <w:pStyle w:val="Header"/>
      <w:jc w:val="right"/>
    </w:pPr>
    <w:r w:rsidRPr="00EF521E">
      <w:rPr>
        <w:noProof/>
      </w:rPr>
      <mc:AlternateContent>
        <mc:Choice Requires="wpg">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3"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rsidRPr="00EF521E">
      <w:t xml:space="preserve">                                                                                                                                                                </w:t>
    </w:r>
  </w:p>
  <w:p w14:paraId="52BF956F" w14:textId="77777777" w:rsidR="00E04709" w:rsidRPr="00EF521E" w:rsidRDefault="00000000">
    <w:pPr>
      <w:pStyle w:val="Header"/>
      <w:jc w:val="right"/>
    </w:pPr>
    <w:r w:rsidRPr="00EF521E">
      <w:rPr>
        <w:noProof/>
      </w:rPr>
      <mc:AlternateContent>
        <mc:Choice Requires="wpg">
          <w:drawing>
            <wp:inline distT="0" distB="0" distL="0" distR="0" wp14:anchorId="1404A06A" wp14:editId="108AC6C5">
              <wp:extent cx="1349597" cy="973397"/>
              <wp:effectExtent l="0" t="0" r="3175"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Pr="00EF521E" w:rsidRDefault="00000000">
    <w:pPr>
      <w:tabs>
        <w:tab w:val="left" w:pos="8676"/>
      </w:tabs>
      <w:rPr>
        <w:color w:val="FFFFFF" w:themeColor="background1"/>
      </w:rPr>
    </w:pPr>
    <w:r w:rsidRPr="00EF521E">
      <w:rPr>
        <w:noProof/>
      </w:rPr>
      <mc:AlternateContent>
        <mc:Choice Requires="wpg">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sidRPr="00EF521E">
      <w:rPr>
        <w:color w:val="FFFFFF" w:themeColor="background1"/>
      </w:rPr>
      <w:tab/>
    </w:r>
  </w:p>
  <w:p w14:paraId="4AC48582" w14:textId="77777777" w:rsidR="00E04709" w:rsidRPr="00EF521E" w:rsidRDefault="00E04709">
    <w:pPr>
      <w:jc w:val="right"/>
    </w:pPr>
  </w:p>
  <w:p w14:paraId="7042B4E6" w14:textId="77777777" w:rsidR="00E04709" w:rsidRPr="00EF521E" w:rsidRDefault="00000000">
    <w:pPr>
      <w:tabs>
        <w:tab w:val="left" w:pos="8940"/>
      </w:tabs>
    </w:pPr>
    <w:r w:rsidRPr="00EF521E">
      <w:tab/>
    </w:r>
  </w:p>
  <w:p w14:paraId="4A22D23E" w14:textId="77777777" w:rsidR="00E04709" w:rsidRPr="00EF521E" w:rsidRDefault="00000000">
    <w:pPr>
      <w:rPr>
        <w:rFonts w:cstheme="minorHAnsi"/>
        <w:b/>
        <w:bCs/>
        <w:color w:val="F5F5F6" w:themeColor="background2"/>
        <w:szCs w:val="20"/>
      </w:rPr>
    </w:pPr>
    <w:r w:rsidRPr="00EF521E">
      <w:rPr>
        <w:rFonts w:cstheme="minorHAnsi"/>
        <w:b/>
        <w:bCs/>
        <w:color w:val="F5F5F6" w:themeColor="background2"/>
        <w:szCs w:val="20"/>
      </w:rPr>
      <w:t xml:space="preserve">Disclaimer </w:t>
    </w:r>
  </w:p>
  <w:p w14:paraId="34E86393" w14:textId="77777777" w:rsidR="00E04709" w:rsidRPr="00EF521E" w:rsidRDefault="00000000">
    <w:pPr>
      <w:rPr>
        <w:color w:val="FFFFFF" w:themeColor="background1"/>
        <w:szCs w:val="20"/>
      </w:rPr>
    </w:pPr>
    <w:r w:rsidRPr="00EF521E">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F521E">
      <w:rPr>
        <w:rFonts w:asciiTheme="majorHAnsi" w:hAnsiTheme="majorHAnsi"/>
        <w:i/>
        <w:iCs/>
        <w:color w:val="F5F5F6" w:themeColor="background2"/>
        <w:sz w:val="22"/>
        <w:szCs w:val="22"/>
      </w:rPr>
      <w:t>.</w:t>
    </w:r>
    <w:r w:rsidRPr="00EF521E">
      <w:rPr>
        <w:rStyle w:val="SubtleEmphasis"/>
        <w:color w:val="FFFFFF" w:themeColor="background1"/>
      </w:rPr>
      <w:t xml:space="preserve"> The resources contained herein are publicly available under the Creative Commons license 4.0 B.Y."</w:t>
    </w:r>
  </w:p>
  <w:p w14:paraId="5240CA14" w14:textId="77777777" w:rsidR="00E04709" w:rsidRPr="00EF521E" w:rsidRDefault="00E04709">
    <w:pPr>
      <w:rPr>
        <w:szCs w:val="20"/>
      </w:rPr>
    </w:pPr>
  </w:p>
  <w:p w14:paraId="1A954CA4" w14:textId="77777777" w:rsidR="00E04709" w:rsidRPr="00EF521E" w:rsidRDefault="00000000">
    <w:pPr>
      <w:pStyle w:val="NoSpacing"/>
      <w:rPr>
        <w:color w:val="F5F5F6" w:themeColor="background2"/>
        <w:lang w:val="en-GB"/>
      </w:rPr>
    </w:pPr>
    <w:r w:rsidRPr="00EF521E">
      <w:rPr>
        <w:color w:val="F5F5F6" w:themeColor="background2"/>
        <w:lang w:val="en-GB"/>
      </w:rPr>
      <w:t>Project: 101140316 — D4Sustainability — ERASMUS-EDU-2023-PI-ALL-INNO</w:t>
    </w:r>
  </w:p>
  <w:p w14:paraId="6CA9EE37" w14:textId="77777777" w:rsidR="00E04709" w:rsidRPr="00EF521E" w:rsidRDefault="00000000">
    <w:pPr>
      <w:pStyle w:val="NoSpacing"/>
      <w:rPr>
        <w:color w:val="F5F5F6" w:themeColor="background2"/>
        <w:lang w:val="en-GB"/>
      </w:rPr>
    </w:pPr>
    <w:r w:rsidRPr="00EF521E">
      <w:rPr>
        <w:color w:val="F5F5F6" w:themeColor="background2"/>
        <w:lang w:val="en-GB"/>
      </w:rPr>
      <w:t>Copyright © 2024 by D4Sustainability Consortium</w:t>
    </w:r>
  </w:p>
  <w:p w14:paraId="4E24AE7D" w14:textId="77777777" w:rsidR="00E04709" w:rsidRPr="00EF521E" w:rsidRDefault="00000000">
    <w:pPr>
      <w:pStyle w:val="NoSpacing"/>
      <w:rPr>
        <w:lang w:val="en-GB"/>
      </w:rPr>
    </w:pPr>
    <w:r w:rsidRPr="00EF521E">
      <w:rPr>
        <w:color w:val="F5F5F6" w:themeColor="background2"/>
        <w:lang w:val="en-GB"/>
      </w:rPr>
      <w:t>All rights reserved</w:t>
    </w:r>
  </w:p>
  <w:p w14:paraId="7046CAA6" w14:textId="77777777" w:rsidR="00E04709" w:rsidRPr="00EF521E"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34A"/>
    <w:multiLevelType w:val="multilevel"/>
    <w:tmpl w:val="96640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13B9E"/>
    <w:multiLevelType w:val="multilevel"/>
    <w:tmpl w:val="BA3AEA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052FD2"/>
    <w:multiLevelType w:val="hybridMultilevel"/>
    <w:tmpl w:val="A06008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B46B84"/>
    <w:multiLevelType w:val="multilevel"/>
    <w:tmpl w:val="FD6818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1A2D91"/>
    <w:multiLevelType w:val="multilevel"/>
    <w:tmpl w:val="994E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5C7E6A"/>
    <w:multiLevelType w:val="hybridMultilevel"/>
    <w:tmpl w:val="02668358"/>
    <w:lvl w:ilvl="0" w:tplc="041A0017">
      <w:start w:val="1"/>
      <w:numFmt w:val="lowerLetter"/>
      <w:lvlText w:val="%1)"/>
      <w:lvlJc w:val="left"/>
      <w:pPr>
        <w:ind w:left="720" w:hanging="360"/>
      </w:pPr>
    </w:lvl>
    <w:lvl w:ilvl="1" w:tplc="3B12B5EC">
      <w:start w:val="1"/>
      <w:numFmt w:val="upp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421079A"/>
    <w:multiLevelType w:val="hybridMultilevel"/>
    <w:tmpl w:val="E00270C8"/>
    <w:lvl w:ilvl="0" w:tplc="8E98081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4560358"/>
    <w:multiLevelType w:val="multilevel"/>
    <w:tmpl w:val="0444FD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B36A33"/>
    <w:multiLevelType w:val="multilevel"/>
    <w:tmpl w:val="FA401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6F1A0B"/>
    <w:multiLevelType w:val="hybridMultilevel"/>
    <w:tmpl w:val="B43875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AC2872"/>
    <w:multiLevelType w:val="multilevel"/>
    <w:tmpl w:val="8DE04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D71538"/>
    <w:multiLevelType w:val="hybridMultilevel"/>
    <w:tmpl w:val="797873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D84A6E"/>
    <w:multiLevelType w:val="hybridMultilevel"/>
    <w:tmpl w:val="D8528400"/>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2306DE"/>
    <w:multiLevelType w:val="multilevel"/>
    <w:tmpl w:val="309C1F72"/>
    <w:lvl w:ilvl="0">
      <w:start w:val="1"/>
      <w:numFmt w:val="decimal"/>
      <w:lvlText w:val="%1)"/>
      <w:lvlJc w:val="left"/>
      <w:pPr>
        <w:ind w:left="720" w:hanging="360"/>
      </w:pPr>
      <w:rPr>
        <w:rFonts w:hint="default"/>
        <w:b/>
        <w:color w:val="00AC4E"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3D42B5"/>
    <w:multiLevelType w:val="multilevel"/>
    <w:tmpl w:val="31DE5C5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94A1F3B"/>
    <w:multiLevelType w:val="multilevel"/>
    <w:tmpl w:val="14882A9E"/>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9259A0"/>
    <w:multiLevelType w:val="multilevel"/>
    <w:tmpl w:val="DB76ECC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D6781F"/>
    <w:multiLevelType w:val="multilevel"/>
    <w:tmpl w:val="34262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B30730D"/>
    <w:multiLevelType w:val="multilevel"/>
    <w:tmpl w:val="060E7F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B4E5402"/>
    <w:multiLevelType w:val="multilevel"/>
    <w:tmpl w:val="43C44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BB13720"/>
    <w:multiLevelType w:val="multilevel"/>
    <w:tmpl w:val="ED88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1B1B7A"/>
    <w:multiLevelType w:val="hybridMultilevel"/>
    <w:tmpl w:val="5D1A2762"/>
    <w:lvl w:ilvl="0" w:tplc="FFFFFFFF">
      <w:start w:val="1"/>
      <w:numFmt w:val="lowerLetter"/>
      <w:lvlText w:val="%1)"/>
      <w:lvlJc w:val="left"/>
      <w:pPr>
        <w:ind w:left="720" w:hanging="360"/>
      </w:pPr>
    </w:lvl>
    <w:lvl w:ilvl="1" w:tplc="041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430D5A"/>
    <w:multiLevelType w:val="multilevel"/>
    <w:tmpl w:val="D81C2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584A4C"/>
    <w:multiLevelType w:val="multilevel"/>
    <w:tmpl w:val="2C922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E73B44"/>
    <w:multiLevelType w:val="multilevel"/>
    <w:tmpl w:val="C20032FA"/>
    <w:lvl w:ilvl="0">
      <w:start w:val="1"/>
      <w:numFmt w:val="bullet"/>
      <w:lvlText w:val=""/>
      <w:lvlJc w:val="left"/>
      <w:pPr>
        <w:ind w:left="720" w:hanging="360"/>
      </w:pPr>
      <w:rPr>
        <w:rFonts w:ascii="Symbol" w:hAnsi="Symbol" w:hint="default"/>
        <w:b/>
        <w:bCs/>
        <w:color w:val="auto"/>
        <w:position w:val="-2"/>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0CF41D16"/>
    <w:multiLevelType w:val="multilevel"/>
    <w:tmpl w:val="FC504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384C4B"/>
    <w:multiLevelType w:val="multilevel"/>
    <w:tmpl w:val="358A4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0B2C08"/>
    <w:multiLevelType w:val="multilevel"/>
    <w:tmpl w:val="20E43D38"/>
    <w:lvl w:ilvl="0">
      <w:start w:val="1"/>
      <w:numFmt w:val="bullet"/>
      <w:lvlText w:val=""/>
      <w:lvlJc w:val="left"/>
      <w:pPr>
        <w:ind w:left="720" w:hanging="360"/>
      </w:pPr>
      <w:rPr>
        <w:rFonts w:ascii="Symbol" w:hAnsi="Symbol" w:hint="default"/>
        <w:b/>
        <w:bCs/>
        <w:color w:val="auto"/>
        <w:position w:val="-2"/>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101F1EFC"/>
    <w:multiLevelType w:val="hybridMultilevel"/>
    <w:tmpl w:val="444697A4"/>
    <w:lvl w:ilvl="0" w:tplc="041A000F">
      <w:start w:val="1"/>
      <w:numFmt w:val="decimal"/>
      <w:lvlText w:val="%1."/>
      <w:lvlJc w:val="left"/>
      <w:pPr>
        <w:ind w:left="720" w:hanging="360"/>
      </w:pPr>
    </w:lvl>
    <w:lvl w:ilvl="1" w:tplc="E86AD65A">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9B2267"/>
    <w:multiLevelType w:val="multilevel"/>
    <w:tmpl w:val="0DAC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1A6350B"/>
    <w:multiLevelType w:val="multilevel"/>
    <w:tmpl w:val="79A29680"/>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DD7F3E"/>
    <w:multiLevelType w:val="multilevel"/>
    <w:tmpl w:val="93C46198"/>
    <w:lvl w:ilvl="0">
      <w:start w:val="1"/>
      <w:numFmt w:val="decimal"/>
      <w:lvlText w:val="%1."/>
      <w:lvlJc w:val="left"/>
      <w:pPr>
        <w:ind w:left="360" w:hanging="360"/>
      </w:pPr>
      <w:rPr>
        <w:rFonts w:hint="default"/>
        <w:color w:val="009889"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11F10B5B"/>
    <w:multiLevelType w:val="multilevel"/>
    <w:tmpl w:val="104C7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23702A8"/>
    <w:multiLevelType w:val="multilevel"/>
    <w:tmpl w:val="27C88B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24D45BC"/>
    <w:multiLevelType w:val="multilevel"/>
    <w:tmpl w:val="0C6A7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5A35B1"/>
    <w:multiLevelType w:val="multilevel"/>
    <w:tmpl w:val="14ECF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D64125"/>
    <w:multiLevelType w:val="multilevel"/>
    <w:tmpl w:val="B85AE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D32E68"/>
    <w:multiLevelType w:val="multilevel"/>
    <w:tmpl w:val="FA842B22"/>
    <w:lvl w:ilvl="0">
      <w:start w:val="1"/>
      <w:numFmt w:val="bullet"/>
      <w:lvlText w:val="·"/>
      <w:lvlJc w:val="left"/>
      <w:pPr>
        <w:ind w:left="709" w:hanging="360"/>
      </w:pPr>
      <w:rPr>
        <w:rFonts w:ascii="Symbol" w:eastAsia="Symbol" w:hAnsi="Symbol" w:cs="Symbol" w:hint="default"/>
        <w:color w:val="1A1C1E"/>
        <w:sz w:val="21"/>
      </w:rPr>
    </w:lvl>
    <w:lvl w:ilvl="1">
      <w:start w:val="1"/>
      <w:numFmt w:val="bullet"/>
      <w:lvlText w:val="·"/>
      <w:lvlJc w:val="left"/>
      <w:pPr>
        <w:ind w:left="1429" w:hanging="360"/>
      </w:pPr>
      <w:rPr>
        <w:rFonts w:ascii="Symbol" w:eastAsia="Symbol" w:hAnsi="Symbol" w:cs="Symbol" w:hint="default"/>
        <w:color w:val="1A1C1E"/>
        <w:sz w:val="21"/>
      </w:rPr>
    </w:lvl>
    <w:lvl w:ilvl="2">
      <w:start w:val="1"/>
      <w:numFmt w:val="bullet"/>
      <w:lvlText w:val="·"/>
      <w:lvlJc w:val="left"/>
      <w:pPr>
        <w:ind w:left="2149" w:hanging="360"/>
      </w:pPr>
      <w:rPr>
        <w:rFonts w:ascii="Symbol" w:eastAsia="Symbol" w:hAnsi="Symbol" w:cs="Symbol" w:hint="default"/>
        <w:color w:val="1A1C1E"/>
        <w:sz w:val="21"/>
      </w:rPr>
    </w:lvl>
    <w:lvl w:ilvl="3">
      <w:start w:val="1"/>
      <w:numFmt w:val="bullet"/>
      <w:lvlText w:val="·"/>
      <w:lvlJc w:val="left"/>
      <w:pPr>
        <w:ind w:left="2869" w:hanging="360"/>
      </w:pPr>
      <w:rPr>
        <w:rFonts w:ascii="Symbol" w:eastAsia="Symbol" w:hAnsi="Symbol" w:cs="Symbol" w:hint="default"/>
        <w:color w:val="1A1C1E"/>
        <w:sz w:val="21"/>
      </w:rPr>
    </w:lvl>
    <w:lvl w:ilvl="4">
      <w:start w:val="1"/>
      <w:numFmt w:val="bullet"/>
      <w:lvlText w:val="·"/>
      <w:lvlJc w:val="left"/>
      <w:pPr>
        <w:ind w:left="3589" w:hanging="360"/>
      </w:pPr>
      <w:rPr>
        <w:rFonts w:ascii="Symbol" w:eastAsia="Symbol" w:hAnsi="Symbol" w:cs="Symbol" w:hint="default"/>
        <w:color w:val="1A1C1E"/>
        <w:sz w:val="21"/>
      </w:rPr>
    </w:lvl>
    <w:lvl w:ilvl="5">
      <w:start w:val="1"/>
      <w:numFmt w:val="bullet"/>
      <w:lvlText w:val="·"/>
      <w:lvlJc w:val="left"/>
      <w:pPr>
        <w:ind w:left="4309" w:hanging="360"/>
      </w:pPr>
      <w:rPr>
        <w:rFonts w:ascii="Symbol" w:eastAsia="Symbol" w:hAnsi="Symbol" w:cs="Symbol" w:hint="default"/>
        <w:color w:val="1A1C1E"/>
        <w:sz w:val="21"/>
      </w:rPr>
    </w:lvl>
    <w:lvl w:ilvl="6">
      <w:start w:val="1"/>
      <w:numFmt w:val="bullet"/>
      <w:lvlText w:val="·"/>
      <w:lvlJc w:val="left"/>
      <w:pPr>
        <w:ind w:left="5029" w:hanging="360"/>
      </w:pPr>
      <w:rPr>
        <w:rFonts w:ascii="Symbol" w:eastAsia="Symbol" w:hAnsi="Symbol" w:cs="Symbol" w:hint="default"/>
        <w:color w:val="1A1C1E"/>
        <w:sz w:val="21"/>
      </w:rPr>
    </w:lvl>
    <w:lvl w:ilvl="7">
      <w:start w:val="1"/>
      <w:numFmt w:val="bullet"/>
      <w:lvlText w:val="·"/>
      <w:lvlJc w:val="left"/>
      <w:pPr>
        <w:ind w:left="5749" w:hanging="360"/>
      </w:pPr>
      <w:rPr>
        <w:rFonts w:ascii="Symbol" w:eastAsia="Symbol" w:hAnsi="Symbol" w:cs="Symbol" w:hint="default"/>
        <w:color w:val="1A1C1E"/>
        <w:sz w:val="21"/>
      </w:rPr>
    </w:lvl>
    <w:lvl w:ilvl="8">
      <w:start w:val="1"/>
      <w:numFmt w:val="bullet"/>
      <w:lvlText w:val="·"/>
      <w:lvlJc w:val="left"/>
      <w:pPr>
        <w:ind w:left="6469" w:hanging="360"/>
      </w:pPr>
      <w:rPr>
        <w:rFonts w:ascii="Symbol" w:eastAsia="Symbol" w:hAnsi="Symbol" w:cs="Symbol" w:hint="default"/>
        <w:color w:val="1A1C1E"/>
        <w:sz w:val="21"/>
      </w:rPr>
    </w:lvl>
  </w:abstractNum>
  <w:abstractNum w:abstractNumId="41" w15:restartNumberingAfterBreak="0">
    <w:nsid w:val="13D5005B"/>
    <w:multiLevelType w:val="multilevel"/>
    <w:tmpl w:val="C84A77B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3F420C8"/>
    <w:multiLevelType w:val="hybridMultilevel"/>
    <w:tmpl w:val="88A0E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48E346E"/>
    <w:multiLevelType w:val="multilevel"/>
    <w:tmpl w:val="2BDE352C"/>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44" w15:restartNumberingAfterBreak="0">
    <w:nsid w:val="151A365B"/>
    <w:multiLevelType w:val="multilevel"/>
    <w:tmpl w:val="CBAE6C78"/>
    <w:lvl w:ilvl="0">
      <w:start w:val="1"/>
      <w:numFmt w:val="decimal"/>
      <w:lvlText w:val="%1."/>
      <w:lvlJc w:val="left"/>
      <w:pPr>
        <w:ind w:left="360" w:hanging="360"/>
      </w:pPr>
      <w:rPr>
        <w:rFonts w:hint="default"/>
        <w:b w:val="0"/>
        <w:bCs/>
        <w:color w:val="009889"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15BA35C4"/>
    <w:multiLevelType w:val="multilevel"/>
    <w:tmpl w:val="DD9C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F2D63"/>
    <w:multiLevelType w:val="multilevel"/>
    <w:tmpl w:val="D672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2833CD"/>
    <w:multiLevelType w:val="multilevel"/>
    <w:tmpl w:val="E3224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2837BD"/>
    <w:multiLevelType w:val="multilevel"/>
    <w:tmpl w:val="1CFA00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6A45234"/>
    <w:multiLevelType w:val="hybridMultilevel"/>
    <w:tmpl w:val="DB5C0A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6A86A90"/>
    <w:multiLevelType w:val="hybridMultilevel"/>
    <w:tmpl w:val="B0263B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17252E28"/>
    <w:multiLevelType w:val="hybridMultilevel"/>
    <w:tmpl w:val="FA1CB02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17374D01"/>
    <w:multiLevelType w:val="multilevel"/>
    <w:tmpl w:val="B1104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88971B9"/>
    <w:multiLevelType w:val="multilevel"/>
    <w:tmpl w:val="13DE9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CB64FF"/>
    <w:multiLevelType w:val="hybridMultilevel"/>
    <w:tmpl w:val="7C8C66B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18DC761D"/>
    <w:multiLevelType w:val="hybridMultilevel"/>
    <w:tmpl w:val="EBDE23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99D51FE"/>
    <w:multiLevelType w:val="hybridMultilevel"/>
    <w:tmpl w:val="986C06A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19C4345B"/>
    <w:multiLevelType w:val="multilevel"/>
    <w:tmpl w:val="86DAEE10"/>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58" w15:restartNumberingAfterBreak="0">
    <w:nsid w:val="19C717EA"/>
    <w:multiLevelType w:val="multilevel"/>
    <w:tmpl w:val="2850CAB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9F04A0F"/>
    <w:multiLevelType w:val="hybridMultilevel"/>
    <w:tmpl w:val="DE5E3A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1AFF6459"/>
    <w:multiLevelType w:val="multilevel"/>
    <w:tmpl w:val="CAE65C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BAB34AC"/>
    <w:multiLevelType w:val="multilevel"/>
    <w:tmpl w:val="C5B89A58"/>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62" w15:restartNumberingAfterBreak="0">
    <w:nsid w:val="1BC456B1"/>
    <w:multiLevelType w:val="hybridMultilevel"/>
    <w:tmpl w:val="031ECD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BFF4E91"/>
    <w:multiLevelType w:val="hybridMultilevel"/>
    <w:tmpl w:val="C1AEB59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1CB75414"/>
    <w:multiLevelType w:val="multilevel"/>
    <w:tmpl w:val="7B18AB10"/>
    <w:lvl w:ilvl="0">
      <w:numFmt w:val="decimal"/>
      <w:pStyle w:val="SectionsofUnit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D0623DA"/>
    <w:multiLevelType w:val="hybridMultilevel"/>
    <w:tmpl w:val="160042B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1D127800"/>
    <w:multiLevelType w:val="multilevel"/>
    <w:tmpl w:val="BC5E0A1E"/>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67" w15:restartNumberingAfterBreak="0">
    <w:nsid w:val="1D1E32AF"/>
    <w:multiLevelType w:val="multilevel"/>
    <w:tmpl w:val="44D8A41A"/>
    <w:lvl w:ilvl="0">
      <w:start w:val="1"/>
      <w:numFmt w:val="lowerLetter"/>
      <w:lvlText w:val="%1)"/>
      <w:lvlJc w:val="left"/>
      <w:pPr>
        <w:ind w:left="730" w:hanging="3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D963120"/>
    <w:multiLevelType w:val="hybridMultilevel"/>
    <w:tmpl w:val="BFE8CB8A"/>
    <w:lvl w:ilvl="0" w:tplc="041A0017">
      <w:start w:val="1"/>
      <w:numFmt w:val="lowerLetter"/>
      <w:lvlText w:val="%1)"/>
      <w:lvlJc w:val="left"/>
      <w:pPr>
        <w:ind w:left="1080" w:hanging="360"/>
      </w:p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9" w15:restartNumberingAfterBreak="0">
    <w:nsid w:val="1DD35961"/>
    <w:multiLevelType w:val="hybridMultilevel"/>
    <w:tmpl w:val="699611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1DEA61B2"/>
    <w:multiLevelType w:val="hybridMultilevel"/>
    <w:tmpl w:val="4982510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1E3465E6"/>
    <w:multiLevelType w:val="multilevel"/>
    <w:tmpl w:val="27C88B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1E444804"/>
    <w:multiLevelType w:val="multilevel"/>
    <w:tmpl w:val="06BCB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FD43B78"/>
    <w:multiLevelType w:val="multilevel"/>
    <w:tmpl w:val="79927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731830"/>
    <w:multiLevelType w:val="multilevel"/>
    <w:tmpl w:val="3294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78" w15:restartNumberingAfterBreak="0">
    <w:nsid w:val="222D48CB"/>
    <w:multiLevelType w:val="multilevel"/>
    <w:tmpl w:val="D08AEE6C"/>
    <w:lvl w:ilvl="0">
      <w:start w:val="1"/>
      <w:numFmt w:val="decimal"/>
      <w:lvlText w:val="%1."/>
      <w:lvlJc w:val="left"/>
      <w:pPr>
        <w:ind w:left="360" w:hanging="360"/>
      </w:pPr>
      <w:rPr>
        <w:rFonts w:hint="default"/>
        <w:color w:val="009889"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22F66BB6"/>
    <w:multiLevelType w:val="hybridMultilevel"/>
    <w:tmpl w:val="F316560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23967647"/>
    <w:multiLevelType w:val="multilevel"/>
    <w:tmpl w:val="80F6EE90"/>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42442F9"/>
    <w:multiLevelType w:val="hybridMultilevel"/>
    <w:tmpl w:val="FAC26970"/>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44053C6"/>
    <w:multiLevelType w:val="multilevel"/>
    <w:tmpl w:val="59BC1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24865BC9"/>
    <w:multiLevelType w:val="multilevel"/>
    <w:tmpl w:val="104C7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24E8240C"/>
    <w:multiLevelType w:val="hybridMultilevel"/>
    <w:tmpl w:val="D5A80D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6" w15:restartNumberingAfterBreak="0">
    <w:nsid w:val="25514F69"/>
    <w:multiLevelType w:val="hybridMultilevel"/>
    <w:tmpl w:val="64F46704"/>
    <w:lvl w:ilvl="0" w:tplc="FFFFFFFF">
      <w:start w:val="1"/>
      <w:numFmt w:val="lowerLetter"/>
      <w:lvlText w:val="%1)"/>
      <w:lvlJc w:val="left"/>
      <w:pPr>
        <w:ind w:left="720" w:hanging="360"/>
      </w:pPr>
    </w:lvl>
    <w:lvl w:ilvl="1" w:tplc="041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5707759"/>
    <w:multiLevelType w:val="hybridMultilevel"/>
    <w:tmpl w:val="A98CF41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26083B9D"/>
    <w:multiLevelType w:val="multilevel"/>
    <w:tmpl w:val="813C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61117A3"/>
    <w:multiLevelType w:val="hybridMultilevel"/>
    <w:tmpl w:val="F4DA041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26525515"/>
    <w:multiLevelType w:val="hybridMultilevel"/>
    <w:tmpl w:val="914CB2D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26791A0D"/>
    <w:multiLevelType w:val="multilevel"/>
    <w:tmpl w:val="51C6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1C28E7"/>
    <w:multiLevelType w:val="multilevel"/>
    <w:tmpl w:val="B3CABCF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7F63621"/>
    <w:multiLevelType w:val="multilevel"/>
    <w:tmpl w:val="CA2A4D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27FA58EC"/>
    <w:multiLevelType w:val="hybridMultilevel"/>
    <w:tmpl w:val="4F5E4D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28161DED"/>
    <w:multiLevelType w:val="multilevel"/>
    <w:tmpl w:val="7C1CB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281F5BA6"/>
    <w:multiLevelType w:val="multilevel"/>
    <w:tmpl w:val="84B21D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A909E8"/>
    <w:multiLevelType w:val="multilevel"/>
    <w:tmpl w:val="58926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FB6B48"/>
    <w:multiLevelType w:val="hybridMultilevel"/>
    <w:tmpl w:val="D334182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29F97CD0"/>
    <w:multiLevelType w:val="hybridMultilevel"/>
    <w:tmpl w:val="3BE641D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2A42682B"/>
    <w:multiLevelType w:val="multilevel"/>
    <w:tmpl w:val="FDB0D4C2"/>
    <w:lvl w:ilvl="0">
      <w:start w:val="1"/>
      <w:numFmt w:val="bullet"/>
      <w:lvlText w:val=""/>
      <w:lvlJc w:val="left"/>
      <w:pPr>
        <w:ind w:left="720" w:hanging="360"/>
      </w:pPr>
      <w:rPr>
        <w:rFonts w:ascii="Symbol" w:hAnsi="Symbol"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2A64047C"/>
    <w:multiLevelType w:val="multilevel"/>
    <w:tmpl w:val="60702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2BB91FF2"/>
    <w:multiLevelType w:val="multilevel"/>
    <w:tmpl w:val="84E8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DD0397"/>
    <w:multiLevelType w:val="hybridMultilevel"/>
    <w:tmpl w:val="5182728C"/>
    <w:lvl w:ilvl="0" w:tplc="041A0017">
      <w:start w:val="1"/>
      <w:numFmt w:val="lowerLetter"/>
      <w:lvlText w:val="%1)"/>
      <w:lvlJc w:val="left"/>
      <w:pPr>
        <w:ind w:left="720" w:hanging="360"/>
      </w:pPr>
    </w:lvl>
    <w:lvl w:ilvl="1" w:tplc="C7582E7E">
      <w:start w:val="1"/>
      <w:numFmt w:val="upp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2BFC0BAA"/>
    <w:multiLevelType w:val="multilevel"/>
    <w:tmpl w:val="3F0E5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C3652C8"/>
    <w:multiLevelType w:val="multilevel"/>
    <w:tmpl w:val="CDBEAA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C95090C"/>
    <w:multiLevelType w:val="hybridMultilevel"/>
    <w:tmpl w:val="739CCB16"/>
    <w:lvl w:ilvl="0" w:tplc="B86454F4">
      <w:start w:val="1"/>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C991688"/>
    <w:multiLevelType w:val="multilevel"/>
    <w:tmpl w:val="2E664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BF5DB8"/>
    <w:multiLevelType w:val="hybridMultilevel"/>
    <w:tmpl w:val="5D90DF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2CD53006"/>
    <w:multiLevelType w:val="multilevel"/>
    <w:tmpl w:val="2536CBA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0" w15:restartNumberingAfterBreak="0">
    <w:nsid w:val="2D001E56"/>
    <w:multiLevelType w:val="multilevel"/>
    <w:tmpl w:val="F9420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303372"/>
    <w:multiLevelType w:val="hybridMultilevel"/>
    <w:tmpl w:val="59C0972C"/>
    <w:lvl w:ilvl="0" w:tplc="0B6C74F8">
      <w:start w:val="1"/>
      <w:numFmt w:val="decimal"/>
      <w:lvlText w:val="%1."/>
      <w:lvlJc w:val="left"/>
      <w:pPr>
        <w:ind w:left="720" w:hanging="360"/>
      </w:pPr>
      <w:rPr>
        <w:rFonts w:asciiTheme="minorHAnsi" w:eastAsiaTheme="minorEastAsia"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2DF717F1"/>
    <w:multiLevelType w:val="multilevel"/>
    <w:tmpl w:val="54CEEC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2E1462ED"/>
    <w:multiLevelType w:val="multilevel"/>
    <w:tmpl w:val="CC2C5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E313A59"/>
    <w:multiLevelType w:val="multilevel"/>
    <w:tmpl w:val="43DC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EE4137D"/>
    <w:multiLevelType w:val="hybridMultilevel"/>
    <w:tmpl w:val="8E0253B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2F5B6475"/>
    <w:multiLevelType w:val="hybridMultilevel"/>
    <w:tmpl w:val="4A90EDB8"/>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2FEA5113"/>
    <w:multiLevelType w:val="multilevel"/>
    <w:tmpl w:val="06A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041774E"/>
    <w:multiLevelType w:val="hybridMultilevel"/>
    <w:tmpl w:val="91804A9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30420606"/>
    <w:multiLevelType w:val="multilevel"/>
    <w:tmpl w:val="650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C64BED"/>
    <w:multiLevelType w:val="multilevel"/>
    <w:tmpl w:val="18DAB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10E331C"/>
    <w:multiLevelType w:val="multilevel"/>
    <w:tmpl w:val="03A079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317475AE"/>
    <w:multiLevelType w:val="multilevel"/>
    <w:tmpl w:val="CE984C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17C2AD7"/>
    <w:multiLevelType w:val="multilevel"/>
    <w:tmpl w:val="7D90A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1B52915"/>
    <w:multiLevelType w:val="multilevel"/>
    <w:tmpl w:val="AAEA4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1CA57A3"/>
    <w:multiLevelType w:val="hybridMultilevel"/>
    <w:tmpl w:val="EE2495D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31D61BAF"/>
    <w:multiLevelType w:val="multilevel"/>
    <w:tmpl w:val="A18AD21A"/>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28" w15:restartNumberingAfterBreak="0">
    <w:nsid w:val="32786799"/>
    <w:multiLevelType w:val="hybridMultilevel"/>
    <w:tmpl w:val="70B8B40C"/>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9" w15:restartNumberingAfterBreak="0">
    <w:nsid w:val="33672341"/>
    <w:multiLevelType w:val="multilevel"/>
    <w:tmpl w:val="666EE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33976B7D"/>
    <w:multiLevelType w:val="hybridMultilevel"/>
    <w:tmpl w:val="9104AFC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33A214CC"/>
    <w:multiLevelType w:val="multilevel"/>
    <w:tmpl w:val="3098B5BE"/>
    <w:numStyleLink w:val="Digital4Business"/>
  </w:abstractNum>
  <w:abstractNum w:abstractNumId="133" w15:restartNumberingAfterBreak="0">
    <w:nsid w:val="33BC6615"/>
    <w:multiLevelType w:val="multilevel"/>
    <w:tmpl w:val="E4EAA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34CA5E74"/>
    <w:multiLevelType w:val="multilevel"/>
    <w:tmpl w:val="925C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524591C"/>
    <w:multiLevelType w:val="multilevel"/>
    <w:tmpl w:val="257C6D9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136" w15:restartNumberingAfterBreak="0">
    <w:nsid w:val="353B4DAE"/>
    <w:multiLevelType w:val="multilevel"/>
    <w:tmpl w:val="80F6EE90"/>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137" w15:restartNumberingAfterBreak="0">
    <w:nsid w:val="360A520C"/>
    <w:multiLevelType w:val="multilevel"/>
    <w:tmpl w:val="9D1497B6"/>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38" w15:restartNumberingAfterBreak="0">
    <w:nsid w:val="364F3AD0"/>
    <w:multiLevelType w:val="multilevel"/>
    <w:tmpl w:val="1EF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6DE198E"/>
    <w:multiLevelType w:val="multilevel"/>
    <w:tmpl w:val="06704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7032033"/>
    <w:multiLevelType w:val="multilevel"/>
    <w:tmpl w:val="D7D6A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371F6E05"/>
    <w:multiLevelType w:val="multilevel"/>
    <w:tmpl w:val="031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8681F17"/>
    <w:multiLevelType w:val="multilevel"/>
    <w:tmpl w:val="EE9C944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3" w15:restartNumberingAfterBreak="0">
    <w:nsid w:val="393C6E22"/>
    <w:multiLevelType w:val="multilevel"/>
    <w:tmpl w:val="4568F64A"/>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9827762"/>
    <w:multiLevelType w:val="multilevel"/>
    <w:tmpl w:val="77CA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F10D68"/>
    <w:multiLevelType w:val="multilevel"/>
    <w:tmpl w:val="FD762D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3B1719A8"/>
    <w:multiLevelType w:val="multilevel"/>
    <w:tmpl w:val="4B00A4C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3B25412F"/>
    <w:multiLevelType w:val="multilevel"/>
    <w:tmpl w:val="D588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B2B2ACA"/>
    <w:multiLevelType w:val="multilevel"/>
    <w:tmpl w:val="97C04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B742116"/>
    <w:multiLevelType w:val="multilevel"/>
    <w:tmpl w:val="F0CC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B9C7DE1"/>
    <w:multiLevelType w:val="hybridMultilevel"/>
    <w:tmpl w:val="228A504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3BF0214C"/>
    <w:multiLevelType w:val="multilevel"/>
    <w:tmpl w:val="89945F58"/>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C717025"/>
    <w:multiLevelType w:val="multilevel"/>
    <w:tmpl w:val="75F6FE2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C7F1BB6"/>
    <w:multiLevelType w:val="multilevel"/>
    <w:tmpl w:val="AAB441AE"/>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154" w15:restartNumberingAfterBreak="0">
    <w:nsid w:val="3CD62914"/>
    <w:multiLevelType w:val="multilevel"/>
    <w:tmpl w:val="511613E8"/>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155" w15:restartNumberingAfterBreak="0">
    <w:nsid w:val="3CDD3BDA"/>
    <w:multiLevelType w:val="multilevel"/>
    <w:tmpl w:val="B7109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D662119"/>
    <w:multiLevelType w:val="hybridMultilevel"/>
    <w:tmpl w:val="F436532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3D687E38"/>
    <w:multiLevelType w:val="hybridMultilevel"/>
    <w:tmpl w:val="0FE4FC4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3DFE6F27"/>
    <w:multiLevelType w:val="hybridMultilevel"/>
    <w:tmpl w:val="157A47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9"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0" w15:restartNumberingAfterBreak="0">
    <w:nsid w:val="3E4D4B0E"/>
    <w:multiLevelType w:val="multilevel"/>
    <w:tmpl w:val="329E45C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1"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3F446391"/>
    <w:multiLevelType w:val="multilevel"/>
    <w:tmpl w:val="FB826C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3F961587"/>
    <w:multiLevelType w:val="multilevel"/>
    <w:tmpl w:val="3958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0751C58"/>
    <w:multiLevelType w:val="hybridMultilevel"/>
    <w:tmpl w:val="4984DC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40E018CA"/>
    <w:multiLevelType w:val="multilevel"/>
    <w:tmpl w:val="6E2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13830D3"/>
    <w:multiLevelType w:val="hybridMultilevel"/>
    <w:tmpl w:val="B7AA833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41C56697"/>
    <w:multiLevelType w:val="multilevel"/>
    <w:tmpl w:val="A6A21D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421261E2"/>
    <w:multiLevelType w:val="hybridMultilevel"/>
    <w:tmpl w:val="671E7C74"/>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2255A3C"/>
    <w:multiLevelType w:val="multilevel"/>
    <w:tmpl w:val="FE9C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2796BBE"/>
    <w:multiLevelType w:val="multilevel"/>
    <w:tmpl w:val="6AE2E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3D5077D"/>
    <w:multiLevelType w:val="multilevel"/>
    <w:tmpl w:val="025A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59E7E43"/>
    <w:multiLevelType w:val="multilevel"/>
    <w:tmpl w:val="40FA0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5E943F6"/>
    <w:multiLevelType w:val="hybridMultilevel"/>
    <w:tmpl w:val="E56E2B42"/>
    <w:lvl w:ilvl="0" w:tplc="E86AD65A">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4" w15:restartNumberingAfterBreak="0">
    <w:nsid w:val="460910FA"/>
    <w:multiLevelType w:val="multilevel"/>
    <w:tmpl w:val="625A8844"/>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464212FF"/>
    <w:multiLevelType w:val="multilevel"/>
    <w:tmpl w:val="F4C4B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65E56DC"/>
    <w:multiLevelType w:val="multilevel"/>
    <w:tmpl w:val="183028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66F57C9"/>
    <w:multiLevelType w:val="multilevel"/>
    <w:tmpl w:val="24449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6F56CB5"/>
    <w:multiLevelType w:val="multilevel"/>
    <w:tmpl w:val="4E9E8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73E47A0"/>
    <w:multiLevelType w:val="multilevel"/>
    <w:tmpl w:val="0C36AE2A"/>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180" w15:restartNumberingAfterBreak="0">
    <w:nsid w:val="47942C1F"/>
    <w:multiLevelType w:val="multilevel"/>
    <w:tmpl w:val="AD148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47DD2487"/>
    <w:multiLevelType w:val="multilevel"/>
    <w:tmpl w:val="F54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8E65D9B"/>
    <w:multiLevelType w:val="multilevel"/>
    <w:tmpl w:val="AF4C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9086EDB"/>
    <w:multiLevelType w:val="multilevel"/>
    <w:tmpl w:val="3EA4687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84"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49B575CA"/>
    <w:multiLevelType w:val="hybridMultilevel"/>
    <w:tmpl w:val="2190E2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6" w15:restartNumberingAfterBreak="0">
    <w:nsid w:val="4A781731"/>
    <w:multiLevelType w:val="hybridMultilevel"/>
    <w:tmpl w:val="CDEEABF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7" w15:restartNumberingAfterBreak="0">
    <w:nsid w:val="4AD62B61"/>
    <w:multiLevelType w:val="multilevel"/>
    <w:tmpl w:val="75F6FE2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AF609A3"/>
    <w:multiLevelType w:val="multilevel"/>
    <w:tmpl w:val="E21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B2C097E"/>
    <w:multiLevelType w:val="multilevel"/>
    <w:tmpl w:val="8C02AE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1" w15:restartNumberingAfterBreak="0">
    <w:nsid w:val="4B6A53D7"/>
    <w:multiLevelType w:val="multilevel"/>
    <w:tmpl w:val="701433BC"/>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192" w15:restartNumberingAfterBreak="0">
    <w:nsid w:val="4B7344E1"/>
    <w:multiLevelType w:val="hybridMultilevel"/>
    <w:tmpl w:val="C4B6FC24"/>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BA54967"/>
    <w:multiLevelType w:val="multilevel"/>
    <w:tmpl w:val="674A00F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4" w15:restartNumberingAfterBreak="0">
    <w:nsid w:val="4BAC5A43"/>
    <w:multiLevelType w:val="hybridMultilevel"/>
    <w:tmpl w:val="13B8B658"/>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C243916"/>
    <w:multiLevelType w:val="multilevel"/>
    <w:tmpl w:val="97FACD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7" w15:restartNumberingAfterBreak="0">
    <w:nsid w:val="4D4A5F64"/>
    <w:multiLevelType w:val="hybridMultilevel"/>
    <w:tmpl w:val="A87C1F5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8" w15:restartNumberingAfterBreak="0">
    <w:nsid w:val="4D8C2D18"/>
    <w:multiLevelType w:val="multilevel"/>
    <w:tmpl w:val="758CDF36"/>
    <w:lvl w:ilvl="0">
      <w:start w:val="1"/>
      <w:numFmt w:val="bullet"/>
      <w:lvlText w:val=""/>
      <w:lvlJc w:val="left"/>
      <w:pPr>
        <w:ind w:left="720" w:hanging="360"/>
      </w:pPr>
      <w:rPr>
        <w:rFonts w:ascii="Symbol" w:hAnsi="Symbol"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4E462C23"/>
    <w:multiLevelType w:val="hybridMultilevel"/>
    <w:tmpl w:val="EB46648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0" w15:restartNumberingAfterBreak="0">
    <w:nsid w:val="4F164DE9"/>
    <w:multiLevelType w:val="multilevel"/>
    <w:tmpl w:val="3DEE5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FBA4B3B"/>
    <w:multiLevelType w:val="hybridMultilevel"/>
    <w:tmpl w:val="BE46F42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504645BE"/>
    <w:multiLevelType w:val="hybridMultilevel"/>
    <w:tmpl w:val="88E8BDA4"/>
    <w:lvl w:ilvl="0" w:tplc="041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50B7347D"/>
    <w:multiLevelType w:val="multilevel"/>
    <w:tmpl w:val="9F586116"/>
    <w:lvl w:ilvl="0">
      <w:start w:val="1"/>
      <w:numFmt w:val="bullet"/>
      <w:lvlText w:val=""/>
      <w:lvlJc w:val="left"/>
      <w:pPr>
        <w:ind w:left="720" w:hanging="360"/>
      </w:pPr>
      <w:rPr>
        <w:rFonts w:ascii="Symbol" w:hAnsi="Symbol"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51B129BE"/>
    <w:multiLevelType w:val="multilevel"/>
    <w:tmpl w:val="4E14EA8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5" w15:restartNumberingAfterBreak="0">
    <w:nsid w:val="51D51264"/>
    <w:multiLevelType w:val="hybridMultilevel"/>
    <w:tmpl w:val="FDE62E9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52501C98"/>
    <w:multiLevelType w:val="hybridMultilevel"/>
    <w:tmpl w:val="5FDACB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7" w15:restartNumberingAfterBreak="0">
    <w:nsid w:val="52B40656"/>
    <w:multiLevelType w:val="multilevel"/>
    <w:tmpl w:val="7310A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539261C4"/>
    <w:multiLevelType w:val="hybridMultilevel"/>
    <w:tmpl w:val="C2FCC9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53DF5811"/>
    <w:multiLevelType w:val="multilevel"/>
    <w:tmpl w:val="AE5C7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4103210"/>
    <w:multiLevelType w:val="multilevel"/>
    <w:tmpl w:val="7E0292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2" w15:restartNumberingAfterBreak="0">
    <w:nsid w:val="547B4832"/>
    <w:multiLevelType w:val="hybridMultilevel"/>
    <w:tmpl w:val="ECD2B51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3" w15:restartNumberingAfterBreak="0">
    <w:nsid w:val="54A45986"/>
    <w:multiLevelType w:val="hybridMultilevel"/>
    <w:tmpl w:val="6AFCC34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4" w15:restartNumberingAfterBreak="0">
    <w:nsid w:val="54E05D1E"/>
    <w:multiLevelType w:val="multilevel"/>
    <w:tmpl w:val="4BCC49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5" w15:restartNumberingAfterBreak="0">
    <w:nsid w:val="5511398E"/>
    <w:multiLevelType w:val="multilevel"/>
    <w:tmpl w:val="257C6D9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216" w15:restartNumberingAfterBreak="0">
    <w:nsid w:val="553D4858"/>
    <w:multiLevelType w:val="multilevel"/>
    <w:tmpl w:val="5DE6D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557F4365"/>
    <w:multiLevelType w:val="hybridMultilevel"/>
    <w:tmpl w:val="245E6F2C"/>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8" w15:restartNumberingAfterBreak="0">
    <w:nsid w:val="55C11F7F"/>
    <w:multiLevelType w:val="multilevel"/>
    <w:tmpl w:val="1B3C28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695483D"/>
    <w:multiLevelType w:val="multilevel"/>
    <w:tmpl w:val="2BD05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7907AEB"/>
    <w:multiLevelType w:val="hybridMultilevel"/>
    <w:tmpl w:val="F1A4A6B6"/>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57A9494B"/>
    <w:multiLevelType w:val="hybridMultilevel"/>
    <w:tmpl w:val="16BA620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15:restartNumberingAfterBreak="0">
    <w:nsid w:val="58B97C77"/>
    <w:multiLevelType w:val="multilevel"/>
    <w:tmpl w:val="9B1863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8C843E7"/>
    <w:multiLevelType w:val="multilevel"/>
    <w:tmpl w:val="55A06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90725E3"/>
    <w:multiLevelType w:val="hybridMultilevel"/>
    <w:tmpl w:val="7BDABC4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5" w15:restartNumberingAfterBreak="0">
    <w:nsid w:val="59170D72"/>
    <w:multiLevelType w:val="multilevel"/>
    <w:tmpl w:val="FE661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9B660DC"/>
    <w:multiLevelType w:val="multilevel"/>
    <w:tmpl w:val="3CBAF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A0F4087"/>
    <w:multiLevelType w:val="multilevel"/>
    <w:tmpl w:val="7B32C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A583CC2"/>
    <w:multiLevelType w:val="multilevel"/>
    <w:tmpl w:val="9B1863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A6E0421"/>
    <w:multiLevelType w:val="multilevel"/>
    <w:tmpl w:val="47BC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B951E51"/>
    <w:multiLevelType w:val="multilevel"/>
    <w:tmpl w:val="823479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5C7B3425"/>
    <w:multiLevelType w:val="multilevel"/>
    <w:tmpl w:val="5A48D4E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EEA0BE8"/>
    <w:multiLevelType w:val="multilevel"/>
    <w:tmpl w:val="CE38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EF81737"/>
    <w:multiLevelType w:val="multilevel"/>
    <w:tmpl w:val="AC444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FD6634B"/>
    <w:multiLevelType w:val="multilevel"/>
    <w:tmpl w:val="EB387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5" w15:restartNumberingAfterBreak="0">
    <w:nsid w:val="600C0990"/>
    <w:multiLevelType w:val="multilevel"/>
    <w:tmpl w:val="34D65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0434297"/>
    <w:multiLevelType w:val="hybridMultilevel"/>
    <w:tmpl w:val="A3BE544A"/>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1111F01"/>
    <w:multiLevelType w:val="hybridMultilevel"/>
    <w:tmpl w:val="66845ECE"/>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8" w15:restartNumberingAfterBreak="0">
    <w:nsid w:val="611361ED"/>
    <w:multiLevelType w:val="hybridMultilevel"/>
    <w:tmpl w:val="6F84A0E4"/>
    <w:lvl w:ilvl="0" w:tplc="FFFFFFFF">
      <w:start w:val="1"/>
      <w:numFmt w:val="lowerLetter"/>
      <w:lvlText w:val="%1)"/>
      <w:lvlJc w:val="left"/>
      <w:pPr>
        <w:ind w:left="720" w:hanging="360"/>
      </w:pPr>
    </w:lvl>
    <w:lvl w:ilvl="1" w:tplc="041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61303657"/>
    <w:multiLevelType w:val="multilevel"/>
    <w:tmpl w:val="B908035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40" w15:restartNumberingAfterBreak="0">
    <w:nsid w:val="613B6C85"/>
    <w:multiLevelType w:val="multilevel"/>
    <w:tmpl w:val="6D444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62220444"/>
    <w:multiLevelType w:val="multilevel"/>
    <w:tmpl w:val="938CFC4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246674B"/>
    <w:multiLevelType w:val="hybridMultilevel"/>
    <w:tmpl w:val="B302EFBE"/>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24D7239"/>
    <w:multiLevelType w:val="multilevel"/>
    <w:tmpl w:val="8DCA1EDA"/>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244" w15:restartNumberingAfterBreak="0">
    <w:nsid w:val="62A0548C"/>
    <w:multiLevelType w:val="multilevel"/>
    <w:tmpl w:val="8D1A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2B2114F"/>
    <w:multiLevelType w:val="multilevel"/>
    <w:tmpl w:val="750EFD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62E35BB9"/>
    <w:multiLevelType w:val="multilevel"/>
    <w:tmpl w:val="9B1863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4B952A9"/>
    <w:multiLevelType w:val="multilevel"/>
    <w:tmpl w:val="A7061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66075F13"/>
    <w:multiLevelType w:val="multilevel"/>
    <w:tmpl w:val="456810AE"/>
    <w:lvl w:ilvl="0">
      <w:start w:val="1"/>
      <w:numFmt w:val="decimal"/>
      <w:lvlText w:val="%1."/>
      <w:lvlJc w:val="left"/>
      <w:pPr>
        <w:ind w:left="720" w:hanging="360"/>
      </w:pPr>
      <w:rPr>
        <w:rFonts w:eastAsiaTheme="minorEastAsia" w:hint="default"/>
        <w:b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66B6194D"/>
    <w:multiLevelType w:val="multilevel"/>
    <w:tmpl w:val="CB2268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0" w15:restartNumberingAfterBreak="0">
    <w:nsid w:val="67846D14"/>
    <w:multiLevelType w:val="multilevel"/>
    <w:tmpl w:val="C546C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785226C"/>
    <w:multiLevelType w:val="multilevel"/>
    <w:tmpl w:val="A35EE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79B04D9"/>
    <w:multiLevelType w:val="hybridMultilevel"/>
    <w:tmpl w:val="77405AB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3" w15:restartNumberingAfterBreak="0">
    <w:nsid w:val="67CD5FF7"/>
    <w:multiLevelType w:val="hybridMultilevel"/>
    <w:tmpl w:val="B9600AF2"/>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67F73895"/>
    <w:multiLevelType w:val="hybridMultilevel"/>
    <w:tmpl w:val="B3E01A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15:restartNumberingAfterBreak="0">
    <w:nsid w:val="68401E30"/>
    <w:multiLevelType w:val="multilevel"/>
    <w:tmpl w:val="7C66C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95F1C49"/>
    <w:multiLevelType w:val="hybridMultilevel"/>
    <w:tmpl w:val="0FBCDFE2"/>
    <w:lvl w:ilvl="0" w:tplc="041A0017">
      <w:start w:val="1"/>
      <w:numFmt w:val="lowerLetter"/>
      <w:lvlText w:val="%1)"/>
      <w:lvlJc w:val="left"/>
      <w:pPr>
        <w:ind w:left="720" w:hanging="360"/>
      </w:p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6AB74215"/>
    <w:multiLevelType w:val="multilevel"/>
    <w:tmpl w:val="DAB4EF5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8" w15:restartNumberingAfterBreak="0">
    <w:nsid w:val="6AB906E4"/>
    <w:multiLevelType w:val="hybridMultilevel"/>
    <w:tmpl w:val="481252F4"/>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6AEA61E0"/>
    <w:multiLevelType w:val="hybridMultilevel"/>
    <w:tmpl w:val="4A9A4B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0" w15:restartNumberingAfterBreak="0">
    <w:nsid w:val="6AEC34BF"/>
    <w:multiLevelType w:val="hybridMultilevel"/>
    <w:tmpl w:val="6BC0306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15:restartNumberingAfterBreak="0">
    <w:nsid w:val="6B1C662B"/>
    <w:multiLevelType w:val="hybridMultilevel"/>
    <w:tmpl w:val="8C507554"/>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B835389"/>
    <w:multiLevelType w:val="hybridMultilevel"/>
    <w:tmpl w:val="F434FF0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3" w15:restartNumberingAfterBreak="0">
    <w:nsid w:val="6C1C3E32"/>
    <w:multiLevelType w:val="hybridMultilevel"/>
    <w:tmpl w:val="8E608C6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4" w15:restartNumberingAfterBreak="0">
    <w:nsid w:val="6C53760B"/>
    <w:multiLevelType w:val="multilevel"/>
    <w:tmpl w:val="9C725D9A"/>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265" w15:restartNumberingAfterBreak="0">
    <w:nsid w:val="6C60600B"/>
    <w:multiLevelType w:val="hybridMultilevel"/>
    <w:tmpl w:val="C346CA36"/>
    <w:lvl w:ilvl="0" w:tplc="041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CB81084"/>
    <w:multiLevelType w:val="hybridMultilevel"/>
    <w:tmpl w:val="AFE20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7" w15:restartNumberingAfterBreak="0">
    <w:nsid w:val="6D010B88"/>
    <w:multiLevelType w:val="multilevel"/>
    <w:tmpl w:val="30FA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D1E546F"/>
    <w:multiLevelType w:val="multilevel"/>
    <w:tmpl w:val="C4C0A4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9" w15:restartNumberingAfterBreak="0">
    <w:nsid w:val="6E021FA9"/>
    <w:multiLevelType w:val="multilevel"/>
    <w:tmpl w:val="90B4A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EF16702"/>
    <w:multiLevelType w:val="multilevel"/>
    <w:tmpl w:val="FFB80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1" w15:restartNumberingAfterBreak="0">
    <w:nsid w:val="6F137007"/>
    <w:multiLevelType w:val="multilevel"/>
    <w:tmpl w:val="ABC67EAE"/>
    <w:lvl w:ilvl="0">
      <w:start w:val="1"/>
      <w:numFmt w:val="bullet"/>
      <w:lvlText w:val=""/>
      <w:lvlJc w:val="left"/>
      <w:pPr>
        <w:ind w:left="720" w:hanging="360"/>
      </w:pPr>
      <w:rPr>
        <w:rFonts w:ascii="Symbol" w:hAnsi="Symbol" w:hint="default"/>
        <w:b/>
        <w:bCs/>
        <w:color w:val="auto"/>
        <w:position w:val="-2"/>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2" w15:restartNumberingAfterBreak="0">
    <w:nsid w:val="6F4F71FB"/>
    <w:multiLevelType w:val="hybridMultilevel"/>
    <w:tmpl w:val="06461D3E"/>
    <w:lvl w:ilvl="0" w:tplc="041A0017">
      <w:start w:val="1"/>
      <w:numFmt w:val="lowerLetter"/>
      <w:lvlText w:val="%1)"/>
      <w:lvlJc w:val="left"/>
      <w:pPr>
        <w:ind w:left="1440" w:hanging="360"/>
      </w:p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3" w15:restartNumberingAfterBreak="0">
    <w:nsid w:val="6F8B6A58"/>
    <w:multiLevelType w:val="multilevel"/>
    <w:tmpl w:val="FB58E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6FB953A4"/>
    <w:multiLevelType w:val="multilevel"/>
    <w:tmpl w:val="0192809E"/>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276" w15:restartNumberingAfterBreak="0">
    <w:nsid w:val="6FEA4632"/>
    <w:multiLevelType w:val="multilevel"/>
    <w:tmpl w:val="675E0E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703F7CA5"/>
    <w:multiLevelType w:val="multilevel"/>
    <w:tmpl w:val="1A523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0897CDB"/>
    <w:multiLevelType w:val="hybridMultilevel"/>
    <w:tmpl w:val="6CAA3A8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9" w15:restartNumberingAfterBreak="0">
    <w:nsid w:val="71F34274"/>
    <w:multiLevelType w:val="multilevel"/>
    <w:tmpl w:val="3CD423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0" w15:restartNumberingAfterBreak="0">
    <w:nsid w:val="73060B19"/>
    <w:multiLevelType w:val="hybridMultilevel"/>
    <w:tmpl w:val="FE4E88AC"/>
    <w:lvl w:ilvl="0" w:tplc="041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73500D4E"/>
    <w:multiLevelType w:val="hybridMultilevel"/>
    <w:tmpl w:val="3664058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2" w15:restartNumberingAfterBreak="0">
    <w:nsid w:val="740B2C79"/>
    <w:multiLevelType w:val="multilevel"/>
    <w:tmpl w:val="9414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43906EC"/>
    <w:multiLevelType w:val="multilevel"/>
    <w:tmpl w:val="919ED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4"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15:restartNumberingAfterBreak="0">
    <w:nsid w:val="75371778"/>
    <w:multiLevelType w:val="hybridMultilevel"/>
    <w:tmpl w:val="0978B40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6" w15:restartNumberingAfterBreak="0">
    <w:nsid w:val="75371EF0"/>
    <w:multiLevelType w:val="multilevel"/>
    <w:tmpl w:val="073CD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56D2CF7"/>
    <w:multiLevelType w:val="multilevel"/>
    <w:tmpl w:val="62F48566"/>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5BE3E18"/>
    <w:multiLevelType w:val="hybridMultilevel"/>
    <w:tmpl w:val="DA7C3FEE"/>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653187F"/>
    <w:multiLevelType w:val="hybridMultilevel"/>
    <w:tmpl w:val="948EB43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0" w15:restartNumberingAfterBreak="0">
    <w:nsid w:val="76822ECB"/>
    <w:multiLevelType w:val="multilevel"/>
    <w:tmpl w:val="A8E4B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1" w15:restartNumberingAfterBreak="0">
    <w:nsid w:val="77106A98"/>
    <w:multiLevelType w:val="multilevel"/>
    <w:tmpl w:val="3F50638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15:restartNumberingAfterBreak="0">
    <w:nsid w:val="776531C5"/>
    <w:multiLevelType w:val="multilevel"/>
    <w:tmpl w:val="54CEEC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4" w15:restartNumberingAfterBreak="0">
    <w:nsid w:val="77886061"/>
    <w:multiLevelType w:val="hybridMultilevel"/>
    <w:tmpl w:val="8DAEE9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5" w15:restartNumberingAfterBreak="0">
    <w:nsid w:val="77926C4C"/>
    <w:multiLevelType w:val="multilevel"/>
    <w:tmpl w:val="D73A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7ED0E8C"/>
    <w:multiLevelType w:val="multilevel"/>
    <w:tmpl w:val="9990A5B8"/>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789D65B3"/>
    <w:multiLevelType w:val="multilevel"/>
    <w:tmpl w:val="257C6D9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298" w15:restartNumberingAfterBreak="0">
    <w:nsid w:val="79312935"/>
    <w:multiLevelType w:val="multilevel"/>
    <w:tmpl w:val="174C0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9B61B94"/>
    <w:multiLevelType w:val="multilevel"/>
    <w:tmpl w:val="6B900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0" w15:restartNumberingAfterBreak="0">
    <w:nsid w:val="79ED53C2"/>
    <w:multiLevelType w:val="multilevel"/>
    <w:tmpl w:val="FB6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A0903D5"/>
    <w:multiLevelType w:val="hybridMultilevel"/>
    <w:tmpl w:val="3D4E273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2" w15:restartNumberingAfterBreak="0">
    <w:nsid w:val="7A381100"/>
    <w:multiLevelType w:val="multilevel"/>
    <w:tmpl w:val="A718CD58"/>
    <w:lvl w:ilvl="0">
      <w:start w:val="1"/>
      <w:numFmt w:val="lowerLetter"/>
      <w:lvlText w:val="%1)"/>
      <w:lvlJc w:val="left"/>
      <w:pPr>
        <w:ind w:left="730" w:hanging="3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7A3E01E3"/>
    <w:multiLevelType w:val="hybridMultilevel"/>
    <w:tmpl w:val="07545DE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4" w15:restartNumberingAfterBreak="0">
    <w:nsid w:val="7A4D2DD6"/>
    <w:multiLevelType w:val="multilevel"/>
    <w:tmpl w:val="3D4ABF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5" w15:restartNumberingAfterBreak="0">
    <w:nsid w:val="7ACD61E4"/>
    <w:multiLevelType w:val="multilevel"/>
    <w:tmpl w:val="BB88F3FE"/>
    <w:lvl w:ilvl="0">
      <w:start w:val="1"/>
      <w:numFmt w:val="bullet"/>
      <w:lvlText w:val=""/>
      <w:lvlJc w:val="left"/>
      <w:pPr>
        <w:ind w:left="720" w:hanging="360"/>
      </w:pPr>
      <w:rPr>
        <w:rFonts w:ascii="Symbol" w:hAnsi="Symbol" w:hint="default"/>
        <w:b/>
        <w:bCs/>
        <w:color w:val="auto"/>
        <w:position w:val="-2"/>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6" w15:restartNumberingAfterBreak="0">
    <w:nsid w:val="7B6C3CBC"/>
    <w:multiLevelType w:val="hybridMultilevel"/>
    <w:tmpl w:val="FB440B2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7" w15:restartNumberingAfterBreak="0">
    <w:nsid w:val="7BB23BA1"/>
    <w:multiLevelType w:val="multilevel"/>
    <w:tmpl w:val="82545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C7C7260"/>
    <w:multiLevelType w:val="multilevel"/>
    <w:tmpl w:val="544A3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C9A754A"/>
    <w:multiLevelType w:val="hybridMultilevel"/>
    <w:tmpl w:val="8842AEF8"/>
    <w:lvl w:ilvl="0" w:tplc="6D3CFE5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0" w15:restartNumberingAfterBreak="0">
    <w:nsid w:val="7D10144A"/>
    <w:multiLevelType w:val="hybridMultilevel"/>
    <w:tmpl w:val="12965D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1" w15:restartNumberingAfterBreak="0">
    <w:nsid w:val="7DF57E22"/>
    <w:multiLevelType w:val="hybridMultilevel"/>
    <w:tmpl w:val="105E62A0"/>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2" w15:restartNumberingAfterBreak="0">
    <w:nsid w:val="7EBC4DA8"/>
    <w:multiLevelType w:val="hybridMultilevel"/>
    <w:tmpl w:val="0F2A25E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3" w15:restartNumberingAfterBreak="0">
    <w:nsid w:val="7FBA51E1"/>
    <w:multiLevelType w:val="hybridMultilevel"/>
    <w:tmpl w:val="DFF65F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4" w15:restartNumberingAfterBreak="0">
    <w:nsid w:val="7FD55805"/>
    <w:multiLevelType w:val="multilevel"/>
    <w:tmpl w:val="FA426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73"/>
  </w:num>
  <w:num w:numId="2" w16cid:durableId="16003596">
    <w:abstractNumId w:val="11"/>
  </w:num>
  <w:num w:numId="3" w16cid:durableId="1996759911">
    <w:abstractNumId w:val="117"/>
  </w:num>
  <w:num w:numId="4" w16cid:durableId="120075565">
    <w:abstractNumId w:val="161"/>
  </w:num>
  <w:num w:numId="5" w16cid:durableId="1753505790">
    <w:abstractNumId w:val="31"/>
  </w:num>
  <w:num w:numId="6" w16cid:durableId="1704087871">
    <w:abstractNumId w:val="184"/>
  </w:num>
  <w:num w:numId="7" w16cid:durableId="212355427">
    <w:abstractNumId w:val="209"/>
  </w:num>
  <w:num w:numId="8" w16cid:durableId="1288008892">
    <w:abstractNumId w:val="132"/>
  </w:num>
  <w:num w:numId="9" w16cid:durableId="337583353">
    <w:abstractNumId w:val="77"/>
  </w:num>
  <w:num w:numId="10" w16cid:durableId="723792900">
    <w:abstractNumId w:val="76"/>
  </w:num>
  <w:num w:numId="11" w16cid:durableId="1415859926">
    <w:abstractNumId w:val="292"/>
  </w:num>
  <w:num w:numId="12" w16cid:durableId="777138478">
    <w:abstractNumId w:val="274"/>
  </w:num>
  <w:num w:numId="13" w16cid:durableId="643513645">
    <w:abstractNumId w:val="284"/>
  </w:num>
  <w:num w:numId="14" w16cid:durableId="365906479">
    <w:abstractNumId w:val="159"/>
  </w:num>
  <w:num w:numId="15" w16cid:durableId="1768841075">
    <w:abstractNumId w:val="2"/>
  </w:num>
  <w:num w:numId="16" w16cid:durableId="815294735">
    <w:abstractNumId w:val="84"/>
  </w:num>
  <w:num w:numId="17" w16cid:durableId="2055539169">
    <w:abstractNumId w:val="1"/>
  </w:num>
  <w:num w:numId="18" w16cid:durableId="1864704813">
    <w:abstractNumId w:val="190"/>
  </w:num>
  <w:num w:numId="19" w16cid:durableId="680819826">
    <w:abstractNumId w:val="196"/>
  </w:num>
  <w:num w:numId="20" w16cid:durableId="486943786">
    <w:abstractNumId w:val="130"/>
  </w:num>
  <w:num w:numId="21" w16cid:durableId="1645430866">
    <w:abstractNumId w:val="299"/>
  </w:num>
  <w:num w:numId="22" w16cid:durableId="578176205">
    <w:abstractNumId w:val="160"/>
  </w:num>
  <w:num w:numId="23" w16cid:durableId="550927107">
    <w:abstractNumId w:val="64"/>
  </w:num>
  <w:num w:numId="24" w16cid:durableId="326129273">
    <w:abstractNumId w:val="198"/>
  </w:num>
  <w:num w:numId="25" w16cid:durableId="638462681">
    <w:abstractNumId w:val="104"/>
  </w:num>
  <w:num w:numId="26" w16cid:durableId="735857345">
    <w:abstractNumId w:val="20"/>
  </w:num>
  <w:num w:numId="27" w16cid:durableId="965038679">
    <w:abstractNumId w:val="82"/>
  </w:num>
  <w:num w:numId="28" w16cid:durableId="1678773671">
    <w:abstractNumId w:val="162"/>
  </w:num>
  <w:num w:numId="29" w16cid:durableId="1934052381">
    <w:abstractNumId w:val="248"/>
  </w:num>
  <w:num w:numId="30" w16cid:durableId="1653943823">
    <w:abstractNumId w:val="234"/>
  </w:num>
  <w:num w:numId="31" w16cid:durableId="1560358976">
    <w:abstractNumId w:val="155"/>
  </w:num>
  <w:num w:numId="32" w16cid:durableId="1584295722">
    <w:abstractNumId w:val="40"/>
  </w:num>
  <w:num w:numId="33" w16cid:durableId="1151754974">
    <w:abstractNumId w:val="109"/>
  </w:num>
  <w:num w:numId="34" w16cid:durableId="1642728543">
    <w:abstractNumId w:val="193"/>
  </w:num>
  <w:num w:numId="35" w16cid:durableId="340818638">
    <w:abstractNumId w:val="43"/>
  </w:num>
  <w:num w:numId="36" w16cid:durableId="529491672">
    <w:abstractNumId w:val="314"/>
  </w:num>
  <w:num w:numId="37" w16cid:durableId="1705327398">
    <w:abstractNumId w:val="239"/>
  </w:num>
  <w:num w:numId="38" w16cid:durableId="1453593059">
    <w:abstractNumId w:val="179"/>
  </w:num>
  <w:num w:numId="39" w16cid:durableId="1185174413">
    <w:abstractNumId w:val="142"/>
  </w:num>
  <w:num w:numId="40" w16cid:durableId="294869134">
    <w:abstractNumId w:val="61"/>
  </w:num>
  <w:num w:numId="41" w16cid:durableId="42873186">
    <w:abstractNumId w:val="66"/>
  </w:num>
  <w:num w:numId="42" w16cid:durableId="1872569384">
    <w:abstractNumId w:val="211"/>
  </w:num>
  <w:num w:numId="43" w16cid:durableId="1712266449">
    <w:abstractNumId w:val="243"/>
  </w:num>
  <w:num w:numId="44" w16cid:durableId="1927836594">
    <w:abstractNumId w:val="249"/>
  </w:num>
  <w:num w:numId="45" w16cid:durableId="209463822">
    <w:abstractNumId w:val="204"/>
  </w:num>
  <w:num w:numId="46" w16cid:durableId="1490946626">
    <w:abstractNumId w:val="52"/>
  </w:num>
  <w:num w:numId="47" w16cid:durableId="1146513889">
    <w:abstractNumId w:val="137"/>
  </w:num>
  <w:num w:numId="48" w16cid:durableId="1615212779">
    <w:abstractNumId w:val="191"/>
  </w:num>
  <w:num w:numId="49" w16cid:durableId="465851021">
    <w:abstractNumId w:val="257"/>
  </w:num>
  <w:num w:numId="50" w16cid:durableId="7561341">
    <w:abstractNumId w:val="264"/>
  </w:num>
  <w:num w:numId="51" w16cid:durableId="2127306206">
    <w:abstractNumId w:val="97"/>
  </w:num>
  <w:num w:numId="52" w16cid:durableId="326983514">
    <w:abstractNumId w:val="39"/>
  </w:num>
  <w:num w:numId="53" w16cid:durableId="918757904">
    <w:abstractNumId w:val="227"/>
  </w:num>
  <w:num w:numId="54" w16cid:durableId="522322945">
    <w:abstractNumId w:val="207"/>
  </w:num>
  <w:num w:numId="55" w16cid:durableId="166405664">
    <w:abstractNumId w:val="140"/>
  </w:num>
  <w:num w:numId="56" w16cid:durableId="2017153400">
    <w:abstractNumId w:val="148"/>
  </w:num>
  <w:num w:numId="57" w16cid:durableId="2093702270">
    <w:abstractNumId w:val="177"/>
  </w:num>
  <w:num w:numId="58" w16cid:durableId="127363378">
    <w:abstractNumId w:val="114"/>
  </w:num>
  <w:num w:numId="59" w16cid:durableId="982926927">
    <w:abstractNumId w:val="134"/>
  </w:num>
  <w:num w:numId="60" w16cid:durableId="1254629748">
    <w:abstractNumId w:val="304"/>
  </w:num>
  <w:num w:numId="61" w16cid:durableId="1435979665">
    <w:abstractNumId w:val="216"/>
  </w:num>
  <w:num w:numId="62" w16cid:durableId="2030597837">
    <w:abstractNumId w:val="112"/>
  </w:num>
  <w:num w:numId="63" w16cid:durableId="1604997774">
    <w:abstractNumId w:val="210"/>
  </w:num>
  <w:num w:numId="64" w16cid:durableId="1861891096">
    <w:abstractNumId w:val="270"/>
  </w:num>
  <w:num w:numId="65" w16cid:durableId="1413431588">
    <w:abstractNumId w:val="27"/>
  </w:num>
  <w:num w:numId="66" w16cid:durableId="915700007">
    <w:abstractNumId w:val="83"/>
  </w:num>
  <w:num w:numId="67" w16cid:durableId="215821583">
    <w:abstractNumId w:val="129"/>
  </w:num>
  <w:num w:numId="68" w16cid:durableId="1230385762">
    <w:abstractNumId w:val="175"/>
  </w:num>
  <w:num w:numId="69" w16cid:durableId="651251163">
    <w:abstractNumId w:val="12"/>
  </w:num>
  <w:num w:numId="70" w16cid:durableId="1975061795">
    <w:abstractNumId w:val="25"/>
  </w:num>
  <w:num w:numId="71" w16cid:durableId="1575703840">
    <w:abstractNumId w:val="170"/>
  </w:num>
  <w:num w:numId="72" w16cid:durableId="88083920">
    <w:abstractNumId w:val="91"/>
  </w:num>
  <w:num w:numId="73" w16cid:durableId="67190323">
    <w:abstractNumId w:val="37"/>
  </w:num>
  <w:num w:numId="74" w16cid:durableId="1792631745">
    <w:abstractNumId w:val="107"/>
  </w:num>
  <w:num w:numId="75" w16cid:durableId="2122524941">
    <w:abstractNumId w:val="178"/>
  </w:num>
  <w:num w:numId="76" w16cid:durableId="1631671134">
    <w:abstractNumId w:val="229"/>
  </w:num>
  <w:num w:numId="77" w16cid:durableId="901478088">
    <w:abstractNumId w:val="182"/>
  </w:num>
  <w:num w:numId="78" w16cid:durableId="961225964">
    <w:abstractNumId w:val="36"/>
  </w:num>
  <w:num w:numId="79" w16cid:durableId="1999772350">
    <w:abstractNumId w:val="101"/>
  </w:num>
  <w:num w:numId="80" w16cid:durableId="1793472400">
    <w:abstractNumId w:val="183"/>
  </w:num>
  <w:num w:numId="81" w16cid:durableId="554855043">
    <w:abstractNumId w:val="154"/>
  </w:num>
  <w:num w:numId="82" w16cid:durableId="1537349851">
    <w:abstractNumId w:val="153"/>
  </w:num>
  <w:num w:numId="83" w16cid:durableId="980572664">
    <w:abstractNumId w:val="275"/>
  </w:num>
  <w:num w:numId="84" w16cid:durableId="1743067960">
    <w:abstractNumId w:val="168"/>
  </w:num>
  <w:num w:numId="85" w16cid:durableId="41053572">
    <w:abstractNumId w:val="102"/>
  </w:num>
  <w:num w:numId="86" w16cid:durableId="958999630">
    <w:abstractNumId w:val="74"/>
  </w:num>
  <w:num w:numId="87" w16cid:durableId="1447769922">
    <w:abstractNumId w:val="300"/>
  </w:num>
  <w:num w:numId="88" w16cid:durableId="1499615853">
    <w:abstractNumId w:val="120"/>
  </w:num>
  <w:num w:numId="89" w16cid:durableId="1943342283">
    <w:abstractNumId w:val="165"/>
  </w:num>
  <w:num w:numId="90" w16cid:durableId="2130784423">
    <w:abstractNumId w:val="106"/>
  </w:num>
  <w:num w:numId="91" w16cid:durableId="105930278">
    <w:abstractNumId w:val="81"/>
  </w:num>
  <w:num w:numId="92" w16cid:durableId="1280800822">
    <w:abstractNumId w:val="288"/>
  </w:num>
  <w:num w:numId="93" w16cid:durableId="16004788">
    <w:abstractNumId w:val="236"/>
  </w:num>
  <w:num w:numId="94" w16cid:durableId="114033072">
    <w:abstractNumId w:val="261"/>
  </w:num>
  <w:num w:numId="95" w16cid:durableId="1490637647">
    <w:abstractNumId w:val="194"/>
  </w:num>
  <w:num w:numId="96" w16cid:durableId="934822262">
    <w:abstractNumId w:val="59"/>
  </w:num>
  <w:num w:numId="97" w16cid:durableId="1311178771">
    <w:abstractNumId w:val="3"/>
  </w:num>
  <w:num w:numId="98" w16cid:durableId="873613056">
    <w:abstractNumId w:val="42"/>
  </w:num>
  <w:num w:numId="99" w16cid:durableId="598685702">
    <w:abstractNumId w:val="13"/>
  </w:num>
  <w:num w:numId="100" w16cid:durableId="1737585149">
    <w:abstractNumId w:val="208"/>
  </w:num>
  <w:num w:numId="101" w16cid:durableId="217014285">
    <w:abstractNumId w:val="30"/>
  </w:num>
  <w:num w:numId="102" w16cid:durableId="1384255544">
    <w:abstractNumId w:val="262"/>
  </w:num>
  <w:num w:numId="103" w16cid:durableId="1730153164">
    <w:abstractNumId w:val="294"/>
  </w:num>
  <w:num w:numId="104" w16cid:durableId="1106535448">
    <w:abstractNumId w:val="7"/>
  </w:num>
  <w:num w:numId="105" w16cid:durableId="1643929295">
    <w:abstractNumId w:val="280"/>
  </w:num>
  <w:num w:numId="106" w16cid:durableId="593130460">
    <w:abstractNumId w:val="50"/>
  </w:num>
  <w:num w:numId="107" w16cid:durableId="237137139">
    <w:abstractNumId w:val="306"/>
  </w:num>
  <w:num w:numId="108" w16cid:durableId="2131775163">
    <w:abstractNumId w:val="70"/>
  </w:num>
  <w:num w:numId="109" w16cid:durableId="326594209">
    <w:abstractNumId w:val="14"/>
  </w:num>
  <w:num w:numId="110" w16cid:durableId="578293288">
    <w:abstractNumId w:val="201"/>
  </w:num>
  <w:num w:numId="111" w16cid:durableId="673924469">
    <w:abstractNumId w:val="186"/>
  </w:num>
  <w:num w:numId="112" w16cid:durableId="1995178879">
    <w:abstractNumId w:val="158"/>
  </w:num>
  <w:num w:numId="113" w16cid:durableId="1772890673">
    <w:abstractNumId w:val="242"/>
  </w:num>
  <w:num w:numId="114" w16cid:durableId="1454716566">
    <w:abstractNumId w:val="253"/>
  </w:num>
  <w:num w:numId="115" w16cid:durableId="1530339983">
    <w:abstractNumId w:val="220"/>
  </w:num>
  <w:num w:numId="116" w16cid:durableId="263734528">
    <w:abstractNumId w:val="197"/>
  </w:num>
  <w:num w:numId="117" w16cid:durableId="602230604">
    <w:abstractNumId w:val="252"/>
  </w:num>
  <w:num w:numId="118" w16cid:durableId="2003074019">
    <w:abstractNumId w:val="301"/>
  </w:num>
  <w:num w:numId="119" w16cid:durableId="581647324">
    <w:abstractNumId w:val="214"/>
  </w:num>
  <w:num w:numId="120" w16cid:durableId="496961818">
    <w:abstractNumId w:val="181"/>
  </w:num>
  <w:num w:numId="121" w16cid:durableId="350037723">
    <w:abstractNumId w:val="259"/>
  </w:num>
  <w:num w:numId="122" w16cid:durableId="2039354878">
    <w:abstractNumId w:val="293"/>
  </w:num>
  <w:num w:numId="123" w16cid:durableId="1538930428">
    <w:abstractNumId w:val="103"/>
  </w:num>
  <w:num w:numId="124" w16cid:durableId="1444496185">
    <w:abstractNumId w:val="217"/>
  </w:num>
  <w:num w:numId="125" w16cid:durableId="2067797809">
    <w:abstractNumId w:val="278"/>
  </w:num>
  <w:num w:numId="126" w16cid:durableId="981274012">
    <w:abstractNumId w:val="202"/>
  </w:num>
  <w:num w:numId="127" w16cid:durableId="1295792473">
    <w:abstractNumId w:val="212"/>
  </w:num>
  <w:num w:numId="128" w16cid:durableId="172187949">
    <w:abstractNumId w:val="173"/>
  </w:num>
  <w:num w:numId="129" w16cid:durableId="909080211">
    <w:abstractNumId w:val="116"/>
  </w:num>
  <w:num w:numId="130" w16cid:durableId="862746632">
    <w:abstractNumId w:val="99"/>
  </w:num>
  <w:num w:numId="131" w16cid:durableId="302152449">
    <w:abstractNumId w:val="258"/>
  </w:num>
  <w:num w:numId="132" w16cid:durableId="1193418186">
    <w:abstractNumId w:val="313"/>
  </w:num>
  <w:num w:numId="133" w16cid:durableId="2034188181">
    <w:abstractNumId w:val="266"/>
  </w:num>
  <w:num w:numId="134" w16cid:durableId="940256545">
    <w:abstractNumId w:val="6"/>
  </w:num>
  <w:num w:numId="135" w16cid:durableId="194739246">
    <w:abstractNumId w:val="54"/>
  </w:num>
  <w:num w:numId="136" w16cid:durableId="447547494">
    <w:abstractNumId w:val="281"/>
  </w:num>
  <w:num w:numId="137" w16cid:durableId="1652322411">
    <w:abstractNumId w:val="256"/>
  </w:num>
  <w:num w:numId="138" w16cid:durableId="1267693203">
    <w:abstractNumId w:val="98"/>
  </w:num>
  <w:num w:numId="139" w16cid:durableId="1335183716">
    <w:abstractNumId w:val="185"/>
  </w:num>
  <w:num w:numId="140" w16cid:durableId="794063425">
    <w:abstractNumId w:val="312"/>
  </w:num>
  <w:num w:numId="141" w16cid:durableId="1635021293">
    <w:abstractNumId w:val="265"/>
  </w:num>
  <w:num w:numId="142" w16cid:durableId="1722556505">
    <w:abstractNumId w:val="79"/>
  </w:num>
  <w:num w:numId="143" w16cid:durableId="546113989">
    <w:abstractNumId w:val="157"/>
  </w:num>
  <w:num w:numId="144" w16cid:durableId="1246576094">
    <w:abstractNumId w:val="94"/>
  </w:num>
  <w:num w:numId="145" w16cid:durableId="2025739102">
    <w:abstractNumId w:val="311"/>
  </w:num>
  <w:num w:numId="146" w16cid:durableId="1126970545">
    <w:abstractNumId w:val="89"/>
  </w:num>
  <w:num w:numId="147" w16cid:durableId="783498539">
    <w:abstractNumId w:val="289"/>
  </w:num>
  <w:num w:numId="148" w16cid:durableId="1314799750">
    <w:abstractNumId w:val="51"/>
  </w:num>
  <w:num w:numId="149" w16cid:durableId="348795629">
    <w:abstractNumId w:val="126"/>
  </w:num>
  <w:num w:numId="150" w16cid:durableId="846017243">
    <w:abstractNumId w:val="119"/>
  </w:num>
  <w:num w:numId="151" w16cid:durableId="128595028">
    <w:abstractNumId w:val="131"/>
  </w:num>
  <w:num w:numId="152" w16cid:durableId="1813450540">
    <w:abstractNumId w:val="240"/>
  </w:num>
  <w:num w:numId="153" w16cid:durableId="1111431652">
    <w:abstractNumId w:val="205"/>
  </w:num>
  <w:num w:numId="154" w16cid:durableId="1360201481">
    <w:abstractNumId w:val="56"/>
  </w:num>
  <w:num w:numId="155" w16cid:durableId="1002707161">
    <w:abstractNumId w:val="192"/>
  </w:num>
  <w:num w:numId="156" w16cid:durableId="390350167">
    <w:abstractNumId w:val="221"/>
  </w:num>
  <w:num w:numId="157" w16cid:durableId="1958758918">
    <w:abstractNumId w:val="63"/>
  </w:num>
  <w:num w:numId="158" w16cid:durableId="989018383">
    <w:abstractNumId w:val="23"/>
  </w:num>
  <w:num w:numId="159" w16cid:durableId="1592082213">
    <w:abstractNumId w:val="65"/>
  </w:num>
  <w:num w:numId="160" w16cid:durableId="1197498338">
    <w:abstractNumId w:val="86"/>
  </w:num>
  <w:num w:numId="161" w16cid:durableId="424765206">
    <w:abstractNumId w:val="10"/>
  </w:num>
  <w:num w:numId="162" w16cid:durableId="2090760825">
    <w:abstractNumId w:val="167"/>
  </w:num>
  <w:num w:numId="163" w16cid:durableId="139537221">
    <w:abstractNumId w:val="87"/>
  </w:num>
  <w:num w:numId="164" w16cid:durableId="871067065">
    <w:abstractNumId w:val="111"/>
  </w:num>
  <w:num w:numId="165" w16cid:durableId="365522475">
    <w:abstractNumId w:val="166"/>
  </w:num>
  <w:num w:numId="166" w16cid:durableId="1995913556">
    <w:abstractNumId w:val="35"/>
  </w:num>
  <w:num w:numId="167" w16cid:durableId="1350914595">
    <w:abstractNumId w:val="224"/>
  </w:num>
  <w:num w:numId="168" w16cid:durableId="496069971">
    <w:abstractNumId w:val="213"/>
  </w:num>
  <w:num w:numId="169" w16cid:durableId="14505261">
    <w:abstractNumId w:val="260"/>
  </w:num>
  <w:num w:numId="170" w16cid:durableId="1420561048">
    <w:abstractNumId w:val="108"/>
  </w:num>
  <w:num w:numId="171" w16cid:durableId="1467623460">
    <w:abstractNumId w:val="71"/>
  </w:num>
  <w:num w:numId="172" w16cid:durableId="67920973">
    <w:abstractNumId w:val="146"/>
  </w:num>
  <w:num w:numId="173" w16cid:durableId="974406198">
    <w:abstractNumId w:val="141"/>
  </w:num>
  <w:num w:numId="174" w16cid:durableId="551431815">
    <w:abstractNumId w:val="169"/>
  </w:num>
  <w:num w:numId="175" w16cid:durableId="2113815805">
    <w:abstractNumId w:val="147"/>
  </w:num>
  <w:num w:numId="176" w16cid:durableId="1369068877">
    <w:abstractNumId w:val="290"/>
  </w:num>
  <w:num w:numId="177" w16cid:durableId="862592776">
    <w:abstractNumId w:val="85"/>
  </w:num>
  <w:num w:numId="178" w16cid:durableId="128211276">
    <w:abstractNumId w:val="310"/>
  </w:num>
  <w:num w:numId="179" w16cid:durableId="877283016">
    <w:abstractNumId w:val="55"/>
  </w:num>
  <w:num w:numId="180" w16cid:durableId="2092772327">
    <w:abstractNumId w:val="298"/>
  </w:num>
  <w:num w:numId="181" w16cid:durableId="783959382">
    <w:abstractNumId w:val="250"/>
  </w:num>
  <w:num w:numId="182" w16cid:durableId="912811395">
    <w:abstractNumId w:val="138"/>
  </w:num>
  <w:num w:numId="183" w16cid:durableId="1416827933">
    <w:abstractNumId w:val="282"/>
  </w:num>
  <w:num w:numId="184" w16cid:durableId="367725382">
    <w:abstractNumId w:val="90"/>
  </w:num>
  <w:num w:numId="185" w16cid:durableId="2053114445">
    <w:abstractNumId w:val="187"/>
  </w:num>
  <w:num w:numId="186" w16cid:durableId="1398026">
    <w:abstractNumId w:val="152"/>
  </w:num>
  <w:num w:numId="187" w16cid:durableId="1047532316">
    <w:abstractNumId w:val="75"/>
  </w:num>
  <w:num w:numId="188" w16cid:durableId="271515777">
    <w:abstractNumId w:val="88"/>
  </w:num>
  <w:num w:numId="189" w16cid:durableId="1554997840">
    <w:abstractNumId w:val="45"/>
  </w:num>
  <w:num w:numId="190" w16cid:durableId="413554196">
    <w:abstractNumId w:val="46"/>
  </w:num>
  <w:num w:numId="191" w16cid:durableId="958293245">
    <w:abstractNumId w:val="267"/>
  </w:num>
  <w:num w:numId="192" w16cid:durableId="2144425110">
    <w:abstractNumId w:val="164"/>
  </w:num>
  <w:num w:numId="193" w16cid:durableId="1906723333">
    <w:abstractNumId w:val="263"/>
  </w:num>
  <w:num w:numId="194" w16cid:durableId="1500775906">
    <w:abstractNumId w:val="206"/>
  </w:num>
  <w:num w:numId="195" w16cid:durableId="1598102922">
    <w:abstractNumId w:val="285"/>
  </w:num>
  <w:num w:numId="196" w16cid:durableId="509954275">
    <w:abstractNumId w:val="222"/>
  </w:num>
  <w:num w:numId="197" w16cid:durableId="1514109927">
    <w:abstractNumId w:val="246"/>
  </w:num>
  <w:num w:numId="198" w16cid:durableId="745298367">
    <w:abstractNumId w:val="228"/>
  </w:num>
  <w:num w:numId="199" w16cid:durableId="473254545">
    <w:abstractNumId w:val="283"/>
  </w:num>
  <w:num w:numId="200" w16cid:durableId="1070883335">
    <w:abstractNumId w:val="33"/>
  </w:num>
  <w:num w:numId="201" w16cid:durableId="1051537778">
    <w:abstractNumId w:val="291"/>
  </w:num>
  <w:num w:numId="202" w16cid:durableId="469252942">
    <w:abstractNumId w:val="18"/>
  </w:num>
  <w:num w:numId="203" w16cid:durableId="339936383">
    <w:abstractNumId w:val="62"/>
  </w:num>
  <w:num w:numId="204" w16cid:durableId="1569262256">
    <w:abstractNumId w:val="309"/>
  </w:num>
  <w:num w:numId="205" w16cid:durableId="1410690789">
    <w:abstractNumId w:val="0"/>
  </w:num>
  <w:num w:numId="206" w16cid:durableId="1473869837">
    <w:abstractNumId w:val="32"/>
  </w:num>
  <w:num w:numId="207" w16cid:durableId="575021000">
    <w:abstractNumId w:val="218"/>
  </w:num>
  <w:num w:numId="208" w16cid:durableId="1966809292">
    <w:abstractNumId w:val="231"/>
  </w:num>
  <w:num w:numId="209" w16cid:durableId="614143032">
    <w:abstractNumId w:val="230"/>
  </w:num>
  <w:num w:numId="210" w16cid:durableId="904880477">
    <w:abstractNumId w:val="287"/>
  </w:num>
  <w:num w:numId="211" w16cid:durableId="1303660091">
    <w:abstractNumId w:val="171"/>
  </w:num>
  <w:num w:numId="212" w16cid:durableId="1565726176">
    <w:abstractNumId w:val="244"/>
  </w:num>
  <w:num w:numId="213" w16cid:durableId="320279619">
    <w:abstractNumId w:val="113"/>
  </w:num>
  <w:num w:numId="214" w16cid:durableId="1038045834">
    <w:abstractNumId w:val="118"/>
  </w:num>
  <w:num w:numId="215" w16cid:durableId="1891648034">
    <w:abstractNumId w:val="308"/>
  </w:num>
  <w:num w:numId="216" w16cid:durableId="2112892603">
    <w:abstractNumId w:val="176"/>
  </w:num>
  <w:num w:numId="217" w16cid:durableId="2031829306">
    <w:abstractNumId w:val="58"/>
  </w:num>
  <w:num w:numId="218" w16cid:durableId="1098525963">
    <w:abstractNumId w:val="41"/>
  </w:num>
  <w:num w:numId="219" w16cid:durableId="1457024712">
    <w:abstractNumId w:val="92"/>
  </w:num>
  <w:num w:numId="220" w16cid:durableId="512838217">
    <w:abstractNumId w:val="8"/>
  </w:num>
  <w:num w:numId="221" w16cid:durableId="504319817">
    <w:abstractNumId w:val="145"/>
  </w:num>
  <w:num w:numId="222" w16cid:durableId="75251824">
    <w:abstractNumId w:val="203"/>
  </w:num>
  <w:num w:numId="223" w16cid:durableId="890849364">
    <w:abstractNumId w:val="235"/>
  </w:num>
  <w:num w:numId="224" w16cid:durableId="776103059">
    <w:abstractNumId w:val="271"/>
  </w:num>
  <w:num w:numId="225" w16cid:durableId="107284510">
    <w:abstractNumId w:val="121"/>
  </w:num>
  <w:num w:numId="226" w16cid:durableId="482896780">
    <w:abstractNumId w:val="67"/>
  </w:num>
  <w:num w:numId="227" w16cid:durableId="1014066389">
    <w:abstractNumId w:val="302"/>
  </w:num>
  <w:num w:numId="228" w16cid:durableId="2007635803">
    <w:abstractNumId w:val="72"/>
  </w:num>
  <w:num w:numId="229" w16cid:durableId="1784036931">
    <w:abstractNumId w:val="268"/>
  </w:num>
  <w:num w:numId="230" w16cid:durableId="1838156248">
    <w:abstractNumId w:val="19"/>
  </w:num>
  <w:num w:numId="231" w16cid:durableId="1579555301">
    <w:abstractNumId w:val="276"/>
  </w:num>
  <w:num w:numId="232" w16cid:durableId="819810963">
    <w:abstractNumId w:val="29"/>
  </w:num>
  <w:num w:numId="233" w16cid:durableId="1750618807">
    <w:abstractNumId w:val="136"/>
  </w:num>
  <w:num w:numId="234" w16cid:durableId="764229704">
    <w:abstractNumId w:val="26"/>
  </w:num>
  <w:num w:numId="235" w16cid:durableId="8795912">
    <w:abstractNumId w:val="241"/>
    <w:lvlOverride w:ilvl="0">
      <w:startOverride w:val="1"/>
    </w:lvlOverride>
  </w:num>
  <w:num w:numId="236" w16cid:durableId="24454496">
    <w:abstractNumId w:val="305"/>
  </w:num>
  <w:num w:numId="237" w16cid:durableId="1089279032">
    <w:abstractNumId w:val="254"/>
  </w:num>
  <w:num w:numId="238" w16cid:durableId="1236936496">
    <w:abstractNumId w:val="49"/>
  </w:num>
  <w:num w:numId="239" w16cid:durableId="1301570511">
    <w:abstractNumId w:val="80"/>
  </w:num>
  <w:num w:numId="240" w16cid:durableId="164131949">
    <w:abstractNumId w:val="199"/>
  </w:num>
  <w:num w:numId="241" w16cid:durableId="2104373955">
    <w:abstractNumId w:val="150"/>
  </w:num>
  <w:num w:numId="242" w16cid:durableId="1920674998">
    <w:abstractNumId w:val="303"/>
  </w:num>
  <w:num w:numId="243" w16cid:durableId="1754282764">
    <w:abstractNumId w:val="9"/>
  </w:num>
  <w:num w:numId="244" w16cid:durableId="1483961432">
    <w:abstractNumId w:val="16"/>
  </w:num>
  <w:num w:numId="245" w16cid:durableId="393040616">
    <w:abstractNumId w:val="105"/>
  </w:num>
  <w:num w:numId="246" w16cid:durableId="1474255623">
    <w:abstractNumId w:val="237"/>
  </w:num>
  <w:num w:numId="247" w16cid:durableId="1976138614">
    <w:abstractNumId w:val="174"/>
  </w:num>
  <w:num w:numId="248" w16cid:durableId="1178689005">
    <w:abstractNumId w:val="135"/>
  </w:num>
  <w:num w:numId="249" w16cid:durableId="1926066818">
    <w:abstractNumId w:val="115"/>
  </w:num>
  <w:num w:numId="250" w16cid:durableId="1411848431">
    <w:abstractNumId w:val="128"/>
  </w:num>
  <w:num w:numId="251" w16cid:durableId="1744404185">
    <w:abstractNumId w:val="245"/>
  </w:num>
  <w:num w:numId="252" w16cid:durableId="1453553638">
    <w:abstractNumId w:val="78"/>
  </w:num>
  <w:num w:numId="253" w16cid:durableId="1730302009">
    <w:abstractNumId w:val="272"/>
  </w:num>
  <w:num w:numId="254" w16cid:durableId="1232228018">
    <w:abstractNumId w:val="296"/>
  </w:num>
  <w:num w:numId="255" w16cid:durableId="504706799">
    <w:abstractNumId w:val="68"/>
  </w:num>
  <w:num w:numId="256" w16cid:durableId="2139452117">
    <w:abstractNumId w:val="69"/>
  </w:num>
  <w:num w:numId="257" w16cid:durableId="1151675641">
    <w:abstractNumId w:val="17"/>
  </w:num>
  <w:num w:numId="258" w16cid:durableId="1773935614">
    <w:abstractNumId w:val="143"/>
  </w:num>
  <w:num w:numId="259" w16cid:durableId="1322849412">
    <w:abstractNumId w:val="100"/>
  </w:num>
  <w:num w:numId="260" w16cid:durableId="602997081">
    <w:abstractNumId w:val="21"/>
  </w:num>
  <w:num w:numId="261" w16cid:durableId="1088381189">
    <w:abstractNumId w:val="195"/>
  </w:num>
  <w:num w:numId="262" w16cid:durableId="1768572739">
    <w:abstractNumId w:val="95"/>
  </w:num>
  <w:num w:numId="263" w16cid:durableId="979967662">
    <w:abstractNumId w:val="273"/>
  </w:num>
  <w:num w:numId="264" w16cid:durableId="1000426859">
    <w:abstractNumId w:val="144"/>
  </w:num>
  <w:num w:numId="265" w16cid:durableId="755437554">
    <w:abstractNumId w:val="53"/>
  </w:num>
  <w:num w:numId="266" w16cid:durableId="1327711389">
    <w:abstractNumId w:val="286"/>
  </w:num>
  <w:num w:numId="267" w16cid:durableId="830222117">
    <w:abstractNumId w:val="226"/>
  </w:num>
  <w:num w:numId="268" w16cid:durableId="534540044">
    <w:abstractNumId w:val="125"/>
  </w:num>
  <w:num w:numId="269" w16cid:durableId="1198346945">
    <w:abstractNumId w:val="251"/>
  </w:num>
  <w:num w:numId="270" w16cid:durableId="1984002438">
    <w:abstractNumId w:val="269"/>
  </w:num>
  <w:num w:numId="271" w16cid:durableId="538124663">
    <w:abstractNumId w:val="38"/>
  </w:num>
  <w:num w:numId="272" w16cid:durableId="1183087426">
    <w:abstractNumId w:val="139"/>
  </w:num>
  <w:num w:numId="273" w16cid:durableId="425615778">
    <w:abstractNumId w:val="223"/>
  </w:num>
  <w:num w:numId="274" w16cid:durableId="1915625290">
    <w:abstractNumId w:val="233"/>
  </w:num>
  <w:num w:numId="275" w16cid:durableId="70859512">
    <w:abstractNumId w:val="225"/>
  </w:num>
  <w:num w:numId="276" w16cid:durableId="585921620">
    <w:abstractNumId w:val="307"/>
  </w:num>
  <w:num w:numId="277" w16cid:durableId="198050373">
    <w:abstractNumId w:val="22"/>
  </w:num>
  <w:num w:numId="278" w16cid:durableId="2078937430">
    <w:abstractNumId w:val="172"/>
  </w:num>
  <w:num w:numId="279" w16cid:durableId="961955419">
    <w:abstractNumId w:val="110"/>
  </w:num>
  <w:num w:numId="280" w16cid:durableId="343363219">
    <w:abstractNumId w:val="219"/>
  </w:num>
  <w:num w:numId="281" w16cid:durableId="497353463">
    <w:abstractNumId w:val="180"/>
  </w:num>
  <w:num w:numId="282" w16cid:durableId="756831452">
    <w:abstractNumId w:val="295"/>
  </w:num>
  <w:num w:numId="283" w16cid:durableId="875041561">
    <w:abstractNumId w:val="163"/>
  </w:num>
  <w:num w:numId="284" w16cid:durableId="1225066701">
    <w:abstractNumId w:val="47"/>
  </w:num>
  <w:num w:numId="285" w16cid:durableId="1012991993">
    <w:abstractNumId w:val="48"/>
  </w:num>
  <w:num w:numId="286" w16cid:durableId="1388724598">
    <w:abstractNumId w:val="189"/>
  </w:num>
  <w:num w:numId="287" w16cid:durableId="325862065">
    <w:abstractNumId w:val="96"/>
  </w:num>
  <w:num w:numId="288" w16cid:durableId="746807229">
    <w:abstractNumId w:val="60"/>
  </w:num>
  <w:num w:numId="289" w16cid:durableId="704670402">
    <w:abstractNumId w:val="124"/>
  </w:num>
  <w:num w:numId="290" w16cid:durableId="592055171">
    <w:abstractNumId w:val="133"/>
  </w:num>
  <w:num w:numId="291" w16cid:durableId="566762912">
    <w:abstractNumId w:val="28"/>
  </w:num>
  <w:num w:numId="292" w16cid:durableId="407264571">
    <w:abstractNumId w:val="5"/>
  </w:num>
  <w:num w:numId="293" w16cid:durableId="879363507">
    <w:abstractNumId w:val="24"/>
  </w:num>
  <w:num w:numId="294" w16cid:durableId="928466837">
    <w:abstractNumId w:val="200"/>
  </w:num>
  <w:num w:numId="295" w16cid:durableId="1820921965">
    <w:abstractNumId w:val="247"/>
  </w:num>
  <w:num w:numId="296" w16cid:durableId="852842848">
    <w:abstractNumId w:val="127"/>
  </w:num>
  <w:num w:numId="297" w16cid:durableId="1339121031">
    <w:abstractNumId w:val="57"/>
  </w:num>
  <w:num w:numId="298" w16cid:durableId="1463185075">
    <w:abstractNumId w:val="215"/>
  </w:num>
  <w:num w:numId="299" w16cid:durableId="365905890">
    <w:abstractNumId w:val="4"/>
  </w:num>
  <w:num w:numId="300" w16cid:durableId="1958640069">
    <w:abstractNumId w:val="277"/>
  </w:num>
  <w:num w:numId="301" w16cid:durableId="1974946342">
    <w:abstractNumId w:val="255"/>
  </w:num>
  <w:num w:numId="302" w16cid:durableId="1765300501">
    <w:abstractNumId w:val="15"/>
  </w:num>
  <w:num w:numId="303" w16cid:durableId="1733967281">
    <w:abstractNumId w:val="297"/>
  </w:num>
  <w:num w:numId="304" w16cid:durableId="892232616">
    <w:abstractNumId w:val="34"/>
  </w:num>
  <w:num w:numId="305" w16cid:durableId="1270552959">
    <w:abstractNumId w:val="93"/>
  </w:num>
  <w:num w:numId="306" w16cid:durableId="462037802">
    <w:abstractNumId w:val="156"/>
  </w:num>
  <w:num w:numId="307" w16cid:durableId="273749664">
    <w:abstractNumId w:val="238"/>
  </w:num>
  <w:num w:numId="308" w16cid:durableId="373122715">
    <w:abstractNumId w:val="279"/>
  </w:num>
  <w:num w:numId="309" w16cid:durableId="1973052858">
    <w:abstractNumId w:val="44"/>
  </w:num>
  <w:num w:numId="310" w16cid:durableId="669872283">
    <w:abstractNumId w:val="151"/>
  </w:num>
  <w:num w:numId="311" w16cid:durableId="1845317842">
    <w:abstractNumId w:val="123"/>
  </w:num>
  <w:num w:numId="312" w16cid:durableId="1248806370">
    <w:abstractNumId w:val="122"/>
  </w:num>
  <w:num w:numId="313" w16cid:durableId="818771584">
    <w:abstractNumId w:val="188"/>
  </w:num>
  <w:num w:numId="314" w16cid:durableId="907885316">
    <w:abstractNumId w:val="232"/>
  </w:num>
  <w:num w:numId="315" w16cid:durableId="1474786811">
    <w:abstractNumId w:val="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219F2"/>
    <w:rsid w:val="00083A66"/>
    <w:rsid w:val="00087547"/>
    <w:rsid w:val="00091F56"/>
    <w:rsid w:val="00151A55"/>
    <w:rsid w:val="001549C8"/>
    <w:rsid w:val="001B1EBC"/>
    <w:rsid w:val="001B29F2"/>
    <w:rsid w:val="001B6962"/>
    <w:rsid w:val="002074FD"/>
    <w:rsid w:val="002363C5"/>
    <w:rsid w:val="00290AAA"/>
    <w:rsid w:val="003039B8"/>
    <w:rsid w:val="003427F5"/>
    <w:rsid w:val="003A5F86"/>
    <w:rsid w:val="003E4F33"/>
    <w:rsid w:val="00413340"/>
    <w:rsid w:val="00487CE0"/>
    <w:rsid w:val="0050484C"/>
    <w:rsid w:val="00531361"/>
    <w:rsid w:val="005507F0"/>
    <w:rsid w:val="005755BD"/>
    <w:rsid w:val="005A7E29"/>
    <w:rsid w:val="005E6AA0"/>
    <w:rsid w:val="00624021"/>
    <w:rsid w:val="0066599B"/>
    <w:rsid w:val="00676D4A"/>
    <w:rsid w:val="00695ADD"/>
    <w:rsid w:val="00696E1E"/>
    <w:rsid w:val="00697C75"/>
    <w:rsid w:val="006B7A85"/>
    <w:rsid w:val="006C7551"/>
    <w:rsid w:val="006F6CB9"/>
    <w:rsid w:val="00710EDF"/>
    <w:rsid w:val="00725F35"/>
    <w:rsid w:val="00735926"/>
    <w:rsid w:val="00736E55"/>
    <w:rsid w:val="0079138D"/>
    <w:rsid w:val="00803F7E"/>
    <w:rsid w:val="00811629"/>
    <w:rsid w:val="0089029B"/>
    <w:rsid w:val="008A5A1A"/>
    <w:rsid w:val="008D4089"/>
    <w:rsid w:val="008D7379"/>
    <w:rsid w:val="008F586B"/>
    <w:rsid w:val="00900767"/>
    <w:rsid w:val="00957ED1"/>
    <w:rsid w:val="0097137C"/>
    <w:rsid w:val="00972D72"/>
    <w:rsid w:val="009759FE"/>
    <w:rsid w:val="0097670D"/>
    <w:rsid w:val="00980D68"/>
    <w:rsid w:val="009B17D6"/>
    <w:rsid w:val="009D1BFF"/>
    <w:rsid w:val="009E2B70"/>
    <w:rsid w:val="009F662C"/>
    <w:rsid w:val="00A43EC2"/>
    <w:rsid w:val="00A65469"/>
    <w:rsid w:val="00A76B1B"/>
    <w:rsid w:val="00AA562D"/>
    <w:rsid w:val="00AB7746"/>
    <w:rsid w:val="00AE68E1"/>
    <w:rsid w:val="00B22513"/>
    <w:rsid w:val="00B2678C"/>
    <w:rsid w:val="00B35A83"/>
    <w:rsid w:val="00B5045A"/>
    <w:rsid w:val="00B84450"/>
    <w:rsid w:val="00BB1CD7"/>
    <w:rsid w:val="00BB7E67"/>
    <w:rsid w:val="00BD0CF5"/>
    <w:rsid w:val="00BF5BE8"/>
    <w:rsid w:val="00C048C5"/>
    <w:rsid w:val="00C45000"/>
    <w:rsid w:val="00C56E76"/>
    <w:rsid w:val="00CC7263"/>
    <w:rsid w:val="00D135B0"/>
    <w:rsid w:val="00D77986"/>
    <w:rsid w:val="00DB51DC"/>
    <w:rsid w:val="00DD2590"/>
    <w:rsid w:val="00DE6AC3"/>
    <w:rsid w:val="00E04709"/>
    <w:rsid w:val="00E65B9B"/>
    <w:rsid w:val="00E661A9"/>
    <w:rsid w:val="00E813C0"/>
    <w:rsid w:val="00E81D7C"/>
    <w:rsid w:val="00E83180"/>
    <w:rsid w:val="00E97960"/>
    <w:rsid w:val="00EB1103"/>
    <w:rsid w:val="00EF0773"/>
    <w:rsid w:val="00EF521E"/>
    <w:rsid w:val="00FF0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34337AB4-3E74-4945-B498-E695768B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4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unhideWhenUsed/>
    <w:pPr>
      <w:spacing w:after="0"/>
      <w:ind w:left="600"/>
    </w:pPr>
    <w:rPr>
      <w:rFonts w:cstheme="minorHAnsi"/>
      <w:szCs w:val="20"/>
    </w:rPr>
  </w:style>
  <w:style w:type="paragraph" w:styleId="TOC5">
    <w:name w:val="toc 5"/>
    <w:basedOn w:val="Normal"/>
    <w:next w:val="Normal"/>
    <w:uiPriority w:val="39"/>
    <w:unhideWhenUsed/>
    <w:pPr>
      <w:spacing w:after="0"/>
      <w:ind w:left="800"/>
    </w:pPr>
    <w:rPr>
      <w:rFonts w:cstheme="minorHAnsi"/>
      <w:szCs w:val="20"/>
    </w:rPr>
  </w:style>
  <w:style w:type="paragraph" w:styleId="TOC6">
    <w:name w:val="toc 6"/>
    <w:basedOn w:val="Normal"/>
    <w:next w:val="Normal"/>
    <w:uiPriority w:val="39"/>
    <w:unhideWhenUsed/>
    <w:pPr>
      <w:spacing w:after="0"/>
      <w:ind w:left="1000"/>
    </w:pPr>
    <w:rPr>
      <w:rFonts w:cstheme="minorHAnsi"/>
      <w:szCs w:val="20"/>
    </w:rPr>
  </w:style>
  <w:style w:type="paragraph" w:styleId="TOC7">
    <w:name w:val="toc 7"/>
    <w:basedOn w:val="Normal"/>
    <w:next w:val="Normal"/>
    <w:uiPriority w:val="39"/>
    <w:unhideWhenUsed/>
    <w:pPr>
      <w:spacing w:after="0"/>
      <w:ind w:left="1200"/>
    </w:pPr>
    <w:rPr>
      <w:rFonts w:cstheme="minorHAnsi"/>
      <w:szCs w:val="20"/>
    </w:rPr>
  </w:style>
  <w:style w:type="paragraph" w:styleId="TOC8">
    <w:name w:val="toc 8"/>
    <w:basedOn w:val="Normal"/>
    <w:next w:val="Normal"/>
    <w:uiPriority w:val="39"/>
    <w:unhideWhenUsed/>
    <w:pPr>
      <w:spacing w:after="0"/>
      <w:ind w:left="1400"/>
    </w:pPr>
    <w:rPr>
      <w:rFonts w:cstheme="minorHAnsi"/>
      <w:szCs w:val="20"/>
    </w:rPr>
  </w:style>
  <w:style w:type="paragraph" w:styleId="TOC9">
    <w:name w:val="toc 9"/>
    <w:basedOn w:val="Normal"/>
    <w:next w:val="Normal"/>
    <w:uiPriority w:val="39"/>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 w:type="character" w:customStyle="1" w:styleId="ng-star-inserted">
    <w:name w:val="ng-star-inserted"/>
    <w:basedOn w:val="DefaultParagraphFont"/>
    <w:rsid w:val="001B6962"/>
  </w:style>
  <w:style w:type="table" w:customStyle="1" w:styleId="GridTable1Light-Accent21">
    <w:name w:val="Grid Table 1 Light - Accent 21"/>
    <w:basedOn w:val="TableNormal"/>
    <w:uiPriority w:val="99"/>
    <w:rsid w:val="00531361"/>
    <w:pPr>
      <w:spacing w:after="0" w:line="240" w:lineRule="auto"/>
    </w:pPr>
    <w:rPr>
      <w:lang w:eastAsia="en-GB"/>
    </w:r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GridTable6Colorful-Accent11">
    <w:name w:val="Grid Table 6 Colorful - Accent 11"/>
    <w:basedOn w:val="TableNormal"/>
    <w:uiPriority w:val="99"/>
    <w:rsid w:val="00531361"/>
    <w:pPr>
      <w:spacing w:after="0" w:line="240" w:lineRule="auto"/>
    </w:pPr>
    <w:rPr>
      <w:lang w:eastAsia="en-GB"/>
    </w:rPr>
    <w:tblPr>
      <w:tblStyleRowBandSize w:val="1"/>
      <w:tblStyleColBandSize w:val="1"/>
      <w:tblBorders>
        <w:top w:val="single" w:sz="4" w:space="0" w:color="55FFA1" w:themeColor="accent1" w:themeTint="80"/>
        <w:left w:val="single" w:sz="4" w:space="0" w:color="55FFA1" w:themeColor="accent1" w:themeTint="80"/>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b/>
        <w:color w:val="55FFA1" w:themeColor="accent1" w:themeTint="80" w:themeShade="95"/>
      </w:rPr>
      <w:tblPr/>
      <w:tcPr>
        <w:tcBorders>
          <w:bottom w:val="single" w:sz="12" w:space="0" w:color="55FFA1" w:themeColor="accent1" w:themeTint="80"/>
        </w:tcBorders>
      </w:tcPr>
    </w:tblStylePr>
    <w:tblStylePr w:type="lastRow">
      <w:rPr>
        <w:b/>
        <w:color w:val="55FFA1" w:themeColor="accent1" w:themeTint="80" w:themeShade="95"/>
      </w:rPr>
    </w:tblStylePr>
    <w:tblStylePr w:type="firstCol">
      <w:rPr>
        <w:b/>
        <w:color w:val="55FFA1" w:themeColor="accent1" w:themeTint="80" w:themeShade="95"/>
      </w:rPr>
    </w:tblStylePr>
    <w:tblStylePr w:type="lastCol">
      <w:rPr>
        <w:b/>
        <w:color w:val="55FFA1" w:themeColor="accent1" w:themeTint="80" w:themeShade="95"/>
      </w:r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customStyle="1" w:styleId="GridTable6Colorful-Accent21">
    <w:name w:val="Grid Table 6 Colorful - Accent 21"/>
    <w:basedOn w:val="TableNormal"/>
    <w:uiPriority w:val="99"/>
    <w:rsid w:val="00531361"/>
    <w:pPr>
      <w:spacing w:after="0" w:line="240" w:lineRule="auto"/>
    </w:pPr>
    <w:rPr>
      <w:lang w:eastAsia="en-GB"/>
    </w:r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customStyle="1" w:styleId="GridTable6Colorful-Accent31">
    <w:name w:val="Grid Table 6 Colorful - Accent 31"/>
    <w:basedOn w:val="TableNormal"/>
    <w:uiPriority w:val="99"/>
    <w:rsid w:val="00531361"/>
    <w:pPr>
      <w:spacing w:after="0" w:line="240" w:lineRule="auto"/>
    </w:pPr>
    <w:rPr>
      <w:lang w:eastAsia="en-GB"/>
    </w:r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customStyle="1" w:styleId="GridTable6Colorful-Accent41">
    <w:name w:val="Grid Table 6 Colorful - Accent 41"/>
    <w:basedOn w:val="TableNormal"/>
    <w:uiPriority w:val="99"/>
    <w:rsid w:val="00531361"/>
    <w:pPr>
      <w:spacing w:after="0" w:line="240" w:lineRule="auto"/>
    </w:pPr>
    <w:rPr>
      <w:lang w:eastAsia="en-GB"/>
    </w:r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customStyle="1" w:styleId="GridTable6Colorful-Accent51">
    <w:name w:val="Grid Table 6 Colorful - Accent 51"/>
    <w:basedOn w:val="TableNormal"/>
    <w:uiPriority w:val="99"/>
    <w:rsid w:val="00531361"/>
    <w:pPr>
      <w:spacing w:after="0" w:line="240" w:lineRule="auto"/>
    </w:pPr>
    <w:rPr>
      <w:lang w:eastAsia="en-GB"/>
    </w:r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customStyle="1" w:styleId="GridTable6Colorful-Accent61">
    <w:name w:val="Grid Table 6 Colorful - Accent 61"/>
    <w:basedOn w:val="TableNormal"/>
    <w:uiPriority w:val="99"/>
    <w:rsid w:val="00531361"/>
    <w:pPr>
      <w:spacing w:after="0" w:line="240" w:lineRule="auto"/>
    </w:pPr>
    <w:rPr>
      <w:lang w:eastAsia="en-GB"/>
    </w:r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customStyle="1" w:styleId="GridTable7Colorful-Accent11">
    <w:name w:val="Grid Table 7 Colorful - Accent 11"/>
    <w:basedOn w:val="TableNormal"/>
    <w:uiPriority w:val="99"/>
    <w:rsid w:val="00531361"/>
    <w:pPr>
      <w:spacing w:after="0" w:line="240" w:lineRule="auto"/>
    </w:pPr>
    <w:rPr>
      <w:lang w:eastAsia="en-GB"/>
    </w:r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4" w:space="0" w:color="000000"/>
          <w:left w:val="none" w:sz="4" w:space="0" w:color="000000"/>
          <w:bottom w:val="single" w:sz="4" w:space="0" w:color="55FFA1" w:themeColor="accent1" w:themeTint="80"/>
          <w:right w:val="none" w:sz="4"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4" w:space="0" w:color="000000"/>
          <w:left w:val="none" w:sz="4" w:space="0" w:color="000000"/>
          <w:bottom w:val="none" w:sz="4"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4" w:space="0" w:color="000000"/>
          <w:left w:val="single" w:sz="4" w:space="0" w:color="55FFA1" w:themeColor="accent1" w:themeTint="80"/>
          <w:bottom w:val="none" w:sz="4" w:space="0" w:color="000000"/>
          <w:right w:val="none" w:sz="4"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customStyle="1" w:styleId="GridTable7Colorful-Accent21">
    <w:name w:val="Grid Table 7 Colorful - Accent 21"/>
    <w:basedOn w:val="TableNormal"/>
    <w:uiPriority w:val="99"/>
    <w:rsid w:val="00531361"/>
    <w:pPr>
      <w:spacing w:after="0" w:line="240" w:lineRule="auto"/>
    </w:pPr>
    <w:rPr>
      <w:lang w:eastAsia="en-GB"/>
    </w:r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4" w:space="0" w:color="000000"/>
          <w:left w:val="none" w:sz="4" w:space="0" w:color="000000"/>
          <w:bottom w:val="single" w:sz="4" w:space="0" w:color="2BFFE9" w:themeColor="accent2" w:themeTint="97"/>
          <w:right w:val="none" w:sz="4"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4" w:space="0" w:color="000000"/>
          <w:left w:val="none" w:sz="4" w:space="0" w:color="000000"/>
          <w:bottom w:val="none" w:sz="4"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4" w:space="0" w:color="000000"/>
          <w:left w:val="single" w:sz="4" w:space="0" w:color="2BFFE9" w:themeColor="accent2" w:themeTint="97"/>
          <w:bottom w:val="none" w:sz="4" w:space="0" w:color="000000"/>
          <w:right w:val="none" w:sz="4"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customStyle="1" w:styleId="GridTable7Colorful-Accent31">
    <w:name w:val="Grid Table 7 Colorful - Accent 31"/>
    <w:basedOn w:val="TableNormal"/>
    <w:uiPriority w:val="99"/>
    <w:rsid w:val="00531361"/>
    <w:pPr>
      <w:spacing w:after="0" w:line="240" w:lineRule="auto"/>
    </w:pPr>
    <w:rPr>
      <w:lang w:eastAsia="en-GB"/>
    </w:r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4" w:space="0" w:color="000000"/>
          <w:left w:val="none" w:sz="4" w:space="0" w:color="000000"/>
          <w:bottom w:val="single" w:sz="4" w:space="0" w:color="283A97" w:themeColor="accent3" w:themeTint="FE"/>
          <w:right w:val="none" w:sz="4"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4" w:space="0" w:color="000000"/>
          <w:left w:val="none" w:sz="4" w:space="0" w:color="000000"/>
          <w:bottom w:val="none" w:sz="4"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4" w:space="0" w:color="000000"/>
          <w:left w:val="single" w:sz="4" w:space="0" w:color="283A97" w:themeColor="accent3" w:themeTint="FE"/>
          <w:bottom w:val="none" w:sz="4" w:space="0" w:color="000000"/>
          <w:right w:val="none" w:sz="4"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customStyle="1" w:styleId="GridTable7Colorful-Accent41">
    <w:name w:val="Grid Table 7 Colorful - Accent 41"/>
    <w:basedOn w:val="TableNormal"/>
    <w:uiPriority w:val="99"/>
    <w:rsid w:val="00531361"/>
    <w:pPr>
      <w:spacing w:after="0" w:line="240" w:lineRule="auto"/>
    </w:pPr>
    <w:rPr>
      <w:lang w:eastAsia="en-GB"/>
    </w:r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4" w:space="0" w:color="000000"/>
          <w:left w:val="none" w:sz="4" w:space="0" w:color="000000"/>
          <w:bottom w:val="single" w:sz="4" w:space="0" w:color="BDDD8A" w:themeColor="accent4" w:themeTint="9A"/>
          <w:right w:val="none" w:sz="4"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4" w:space="0" w:color="000000"/>
          <w:left w:val="none" w:sz="4" w:space="0" w:color="000000"/>
          <w:bottom w:val="none" w:sz="4"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4" w:space="0" w:color="000000"/>
          <w:left w:val="single" w:sz="4" w:space="0" w:color="BDDD8A" w:themeColor="accent4" w:themeTint="9A"/>
          <w:bottom w:val="none" w:sz="4" w:space="0" w:color="000000"/>
          <w:right w:val="none" w:sz="4"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customStyle="1" w:styleId="GridTable7Colorful-Accent51">
    <w:name w:val="Grid Table 7 Colorful - Accent 51"/>
    <w:basedOn w:val="TableNormal"/>
    <w:uiPriority w:val="99"/>
    <w:rsid w:val="00531361"/>
    <w:pPr>
      <w:spacing w:after="0" w:line="240" w:lineRule="auto"/>
    </w:pPr>
    <w:rPr>
      <w:lang w:eastAsia="en-GB"/>
    </w:r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4" w:space="0" w:color="000000"/>
          <w:left w:val="none" w:sz="4" w:space="0" w:color="000000"/>
          <w:bottom w:val="single" w:sz="4" w:space="0" w:color="AFD5D2" w:themeColor="accent5" w:themeTint="90"/>
          <w:right w:val="none" w:sz="4"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4" w:space="0" w:color="000000"/>
          <w:left w:val="none" w:sz="4" w:space="0" w:color="000000"/>
          <w:bottom w:val="none" w:sz="4"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4" w:space="0" w:color="000000"/>
          <w:left w:val="single" w:sz="4" w:space="0" w:color="AFD5D2" w:themeColor="accent5" w:themeTint="90"/>
          <w:bottom w:val="none" w:sz="4" w:space="0" w:color="000000"/>
          <w:right w:val="none" w:sz="4"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customStyle="1" w:styleId="GridTable7Colorful-Accent61">
    <w:name w:val="Grid Table 7 Colorful - Accent 61"/>
    <w:basedOn w:val="TableNormal"/>
    <w:uiPriority w:val="99"/>
    <w:rsid w:val="00531361"/>
    <w:pPr>
      <w:spacing w:after="0" w:line="240" w:lineRule="auto"/>
    </w:pPr>
    <w:rPr>
      <w:lang w:eastAsia="en-GB"/>
    </w:r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4" w:space="0" w:color="000000"/>
          <w:left w:val="none" w:sz="4" w:space="0" w:color="000000"/>
          <w:bottom w:val="single" w:sz="4" w:space="0" w:color="F6D294" w:themeColor="accent6" w:themeTint="90"/>
          <w:right w:val="none" w:sz="4"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4" w:space="0" w:color="000000"/>
          <w:left w:val="none" w:sz="4" w:space="0" w:color="000000"/>
          <w:bottom w:val="none" w:sz="4"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4" w:space="0" w:color="000000"/>
          <w:left w:val="single" w:sz="4" w:space="0" w:color="F6D294" w:themeColor="accent6" w:themeTint="90"/>
          <w:bottom w:val="none" w:sz="4" w:space="0" w:color="000000"/>
          <w:right w:val="none" w:sz="4"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customStyle="1" w:styleId="ListTable6Colorful-Accent11">
    <w:name w:val="List Table 6 Colorful - Accent 11"/>
    <w:basedOn w:val="TableNormal"/>
    <w:uiPriority w:val="99"/>
    <w:rsid w:val="00531361"/>
    <w:pPr>
      <w:spacing w:after="0" w:line="240" w:lineRule="auto"/>
    </w:pPr>
    <w:rPr>
      <w:lang w:eastAsia="en-GB"/>
    </w:r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customStyle="1" w:styleId="ListTable6Colorful-Accent21">
    <w:name w:val="List Table 6 Colorful - Accent 21"/>
    <w:basedOn w:val="TableNormal"/>
    <w:uiPriority w:val="99"/>
    <w:rsid w:val="00531361"/>
    <w:pPr>
      <w:spacing w:after="0" w:line="240" w:lineRule="auto"/>
    </w:pPr>
    <w:rPr>
      <w:lang w:eastAsia="en-GB"/>
    </w:r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customStyle="1" w:styleId="ListTable6Colorful-Accent31">
    <w:name w:val="List Table 6 Colorful - Accent 31"/>
    <w:basedOn w:val="TableNormal"/>
    <w:uiPriority w:val="99"/>
    <w:rsid w:val="00531361"/>
    <w:pPr>
      <w:spacing w:after="0" w:line="240" w:lineRule="auto"/>
    </w:pPr>
    <w:rPr>
      <w:lang w:eastAsia="en-GB"/>
    </w:r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customStyle="1" w:styleId="ListTable6Colorful-Accent41">
    <w:name w:val="List Table 6 Colorful - Accent 41"/>
    <w:basedOn w:val="TableNormal"/>
    <w:uiPriority w:val="99"/>
    <w:rsid w:val="00531361"/>
    <w:pPr>
      <w:spacing w:after="0" w:line="240" w:lineRule="auto"/>
    </w:pPr>
    <w:rPr>
      <w:lang w:eastAsia="en-GB"/>
    </w:r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customStyle="1" w:styleId="ListTable6Colorful-Accent51">
    <w:name w:val="List Table 6 Colorful - Accent 51"/>
    <w:basedOn w:val="TableNormal"/>
    <w:uiPriority w:val="99"/>
    <w:rsid w:val="00531361"/>
    <w:pPr>
      <w:spacing w:after="0" w:line="240" w:lineRule="auto"/>
    </w:pPr>
    <w:rPr>
      <w:lang w:eastAsia="en-GB"/>
    </w:r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customStyle="1" w:styleId="ListTable6Colorful-Accent61">
    <w:name w:val="List Table 6 Colorful - Accent 61"/>
    <w:basedOn w:val="TableNormal"/>
    <w:uiPriority w:val="99"/>
    <w:rsid w:val="00531361"/>
    <w:pPr>
      <w:spacing w:after="0" w:line="240" w:lineRule="auto"/>
    </w:pPr>
    <w:rPr>
      <w:lang w:eastAsia="en-GB"/>
    </w:r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customStyle="1" w:styleId="ListTable7Colorful-Accent11">
    <w:name w:val="List Table 7 Colorful - Accent 11"/>
    <w:basedOn w:val="TableNormal"/>
    <w:uiPriority w:val="99"/>
    <w:rsid w:val="00531361"/>
    <w:pPr>
      <w:spacing w:after="0" w:line="240" w:lineRule="auto"/>
    </w:pPr>
    <w:rPr>
      <w:lang w:eastAsia="en-GB"/>
    </w:r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4" w:space="0" w:color="000000"/>
          <w:left w:val="none" w:sz="4" w:space="0" w:color="000000"/>
          <w:bottom w:val="single" w:sz="4" w:space="0" w:color="00AC4E" w:themeColor="accent1"/>
          <w:right w:val="none" w:sz="4"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4" w:space="0" w:color="000000"/>
          <w:left w:val="none" w:sz="4" w:space="0" w:color="000000"/>
          <w:bottom w:val="none" w:sz="4"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4" w:space="0" w:color="000000"/>
          <w:left w:val="single" w:sz="4" w:space="0" w:color="00AC4E" w:themeColor="accent1"/>
          <w:bottom w:val="none" w:sz="4" w:space="0" w:color="000000"/>
          <w:right w:val="none" w:sz="4"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customStyle="1" w:styleId="ListTable7Colorful-Accent21">
    <w:name w:val="List Table 7 Colorful - Accent 21"/>
    <w:basedOn w:val="TableNormal"/>
    <w:uiPriority w:val="99"/>
    <w:rsid w:val="00531361"/>
    <w:pPr>
      <w:spacing w:after="0" w:line="240" w:lineRule="auto"/>
    </w:pPr>
    <w:rPr>
      <w:lang w:eastAsia="en-GB"/>
    </w:r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4" w:space="0" w:color="000000"/>
          <w:left w:val="none" w:sz="4" w:space="0" w:color="000000"/>
          <w:bottom w:val="single" w:sz="4" w:space="0" w:color="2BFFE9" w:themeColor="accent2" w:themeTint="97"/>
          <w:right w:val="none" w:sz="4"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4" w:space="0" w:color="000000"/>
          <w:left w:val="none" w:sz="4" w:space="0" w:color="000000"/>
          <w:bottom w:val="none" w:sz="4"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4" w:space="0" w:color="000000"/>
          <w:left w:val="single" w:sz="4" w:space="0" w:color="2BFFE9" w:themeColor="accent2" w:themeTint="97"/>
          <w:bottom w:val="none" w:sz="4" w:space="0" w:color="000000"/>
          <w:right w:val="none" w:sz="4"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customStyle="1" w:styleId="ListTable7Colorful-Accent31">
    <w:name w:val="List Table 7 Colorful - Accent 31"/>
    <w:basedOn w:val="TableNormal"/>
    <w:uiPriority w:val="99"/>
    <w:rsid w:val="00531361"/>
    <w:pPr>
      <w:spacing w:after="0" w:line="240" w:lineRule="auto"/>
    </w:pPr>
    <w:rPr>
      <w:lang w:eastAsia="en-GB"/>
    </w:r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4" w:space="0" w:color="000000"/>
          <w:left w:val="none" w:sz="4" w:space="0" w:color="000000"/>
          <w:bottom w:val="single" w:sz="4" w:space="0" w:color="687AD7" w:themeColor="accent3" w:themeTint="98"/>
          <w:right w:val="none" w:sz="4"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4" w:space="0" w:color="000000"/>
          <w:left w:val="none" w:sz="4" w:space="0" w:color="000000"/>
          <w:bottom w:val="none" w:sz="4"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4" w:space="0" w:color="000000"/>
          <w:left w:val="single" w:sz="4" w:space="0" w:color="687AD7" w:themeColor="accent3" w:themeTint="98"/>
          <w:bottom w:val="none" w:sz="4" w:space="0" w:color="000000"/>
          <w:right w:val="none" w:sz="4"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customStyle="1" w:styleId="ListTable7Colorful-Accent41">
    <w:name w:val="List Table 7 Colorful - Accent 41"/>
    <w:basedOn w:val="TableNormal"/>
    <w:uiPriority w:val="99"/>
    <w:rsid w:val="00531361"/>
    <w:pPr>
      <w:spacing w:after="0" w:line="240" w:lineRule="auto"/>
    </w:pPr>
    <w:rPr>
      <w:lang w:eastAsia="en-GB"/>
    </w:r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4" w:space="0" w:color="000000"/>
          <w:left w:val="none" w:sz="4" w:space="0" w:color="000000"/>
          <w:bottom w:val="single" w:sz="4" w:space="0" w:color="BDDD8A" w:themeColor="accent4" w:themeTint="9A"/>
          <w:right w:val="none" w:sz="4"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4" w:space="0" w:color="000000"/>
          <w:left w:val="none" w:sz="4" w:space="0" w:color="000000"/>
          <w:bottom w:val="none" w:sz="4"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4" w:space="0" w:color="000000"/>
          <w:left w:val="single" w:sz="4" w:space="0" w:color="BDDD8A" w:themeColor="accent4" w:themeTint="9A"/>
          <w:bottom w:val="none" w:sz="4" w:space="0" w:color="000000"/>
          <w:right w:val="none" w:sz="4"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customStyle="1" w:styleId="ListTable7Colorful-Accent51">
    <w:name w:val="List Table 7 Colorful - Accent 51"/>
    <w:basedOn w:val="TableNormal"/>
    <w:uiPriority w:val="99"/>
    <w:rsid w:val="00531361"/>
    <w:pPr>
      <w:spacing w:after="0" w:line="240" w:lineRule="auto"/>
    </w:pPr>
    <w:rPr>
      <w:lang w:eastAsia="en-GB"/>
    </w:r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4" w:space="0" w:color="000000"/>
          <w:left w:val="none" w:sz="4" w:space="0" w:color="000000"/>
          <w:bottom w:val="single" w:sz="4" w:space="0" w:color="A9D3CF" w:themeColor="accent5" w:themeTint="9A"/>
          <w:right w:val="none" w:sz="4"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4" w:space="0" w:color="000000"/>
          <w:left w:val="none" w:sz="4" w:space="0" w:color="000000"/>
          <w:bottom w:val="none" w:sz="4"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4" w:space="0" w:color="000000"/>
          <w:left w:val="single" w:sz="4" w:space="0" w:color="A9D3CF" w:themeColor="accent5" w:themeTint="9A"/>
          <w:bottom w:val="none" w:sz="4" w:space="0" w:color="000000"/>
          <w:right w:val="none" w:sz="4"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customStyle="1" w:styleId="ListTable7Colorful-Accent61">
    <w:name w:val="List Table 7 Colorful - Accent 61"/>
    <w:basedOn w:val="TableNormal"/>
    <w:uiPriority w:val="99"/>
    <w:rsid w:val="00531361"/>
    <w:pPr>
      <w:spacing w:after="0" w:line="240" w:lineRule="auto"/>
    </w:pPr>
    <w:rPr>
      <w:lang w:eastAsia="en-GB"/>
    </w:r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4" w:space="0" w:color="000000"/>
          <w:left w:val="none" w:sz="4" w:space="0" w:color="000000"/>
          <w:bottom w:val="single" w:sz="4" w:space="0" w:color="F6D08E" w:themeColor="accent6" w:themeTint="98"/>
          <w:right w:val="none" w:sz="4"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4" w:space="0" w:color="000000"/>
          <w:left w:val="none" w:sz="4" w:space="0" w:color="000000"/>
          <w:bottom w:val="none" w:sz="4"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4" w:space="0" w:color="000000"/>
          <w:left w:val="single" w:sz="4" w:space="0" w:color="F6D08E" w:themeColor="accent6" w:themeTint="98"/>
          <w:bottom w:val="none" w:sz="4" w:space="0" w:color="000000"/>
          <w:right w:val="none" w:sz="4"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paragraph" w:styleId="NormalWeb">
    <w:name w:val="Normal (Web)"/>
    <w:basedOn w:val="Normal"/>
    <w:link w:val="NormalWebChar"/>
    <w:uiPriority w:val="99"/>
    <w:unhideWhenUsed/>
    <w:rsid w:val="00531361"/>
    <w:pPr>
      <w:spacing w:before="100" w:beforeAutospacing="1" w:after="100" w:afterAutospacing="1" w:line="240" w:lineRule="auto"/>
    </w:pPr>
    <w:rPr>
      <w:rFonts w:ascii="Times New Roman" w:hAnsi="Times New Roman"/>
      <w:sz w:val="24"/>
      <w:szCs w:val="24"/>
      <w:lang w:val="en-IE" w:eastAsia="en-IE"/>
    </w:rPr>
  </w:style>
  <w:style w:type="paragraph" w:customStyle="1" w:styleId="Quote2">
    <w:name w:val="Quote2"/>
    <w:basedOn w:val="NormalWeb"/>
    <w:link w:val="Quote2Char"/>
    <w:rsid w:val="00531361"/>
    <w:pPr>
      <w:spacing w:before="0" w:beforeAutospacing="0" w:after="160" w:afterAutospacing="0"/>
    </w:pPr>
    <w:rPr>
      <w:rFonts w:ascii="Work Sans" w:hAnsi="Work Sans"/>
      <w:i/>
      <w:iCs/>
      <w:color w:val="22404D"/>
      <w:shd w:val="clear" w:color="auto" w:fill="D9D2E9"/>
    </w:rPr>
  </w:style>
  <w:style w:type="character" w:customStyle="1" w:styleId="NormalWebChar">
    <w:name w:val="Normal (Web) Char"/>
    <w:link w:val="NormalWeb"/>
    <w:uiPriority w:val="99"/>
    <w:rsid w:val="00531361"/>
    <w:rPr>
      <w:rFonts w:ascii="Times New Roman" w:hAnsi="Times New Roman"/>
      <w:sz w:val="24"/>
      <w:szCs w:val="24"/>
      <w:lang w:eastAsia="en-IE"/>
    </w:rPr>
  </w:style>
  <w:style w:type="character" w:customStyle="1" w:styleId="Quote2Char">
    <w:name w:val="Quote2 Char"/>
    <w:link w:val="Quote2"/>
    <w:rsid w:val="00531361"/>
    <w:rPr>
      <w:rFonts w:ascii="Work Sans" w:hAnsi="Work Sans"/>
      <w:i/>
      <w:iCs/>
      <w:color w:val="22404D"/>
      <w:sz w:val="24"/>
      <w:szCs w:val="24"/>
      <w:lang w:eastAsia="en-IE"/>
    </w:rPr>
  </w:style>
  <w:style w:type="table" w:customStyle="1" w:styleId="WorkPackage60">
    <w:name w:val="WorkPackage6"/>
    <w:basedOn w:val="TableNormal"/>
    <w:uiPriority w:val="99"/>
    <w:rsid w:val="00531361"/>
    <w:rPr>
      <w:lang w:eastAsia="en-GB"/>
    </w:rPr>
    <w:tblPr>
      <w:tblStyleRowBandSize w:val="1"/>
    </w:tblPr>
    <w:tcPr>
      <w:vAlign w:val="center"/>
    </w:tcPr>
    <w:tblStylePr w:type="firstRow">
      <w:rPr>
        <w:color w:val="FFFFFF"/>
      </w:rPr>
      <w:tblPr/>
      <w:tcPr>
        <w:shd w:val="clear" w:color="auto" w:fill="28708B"/>
      </w:tcPr>
    </w:tblStylePr>
    <w:tblStylePr w:type="band2Horz">
      <w:tblPr/>
      <w:tcPr>
        <w:shd w:val="clear" w:color="auto" w:fill="C2EDF0"/>
      </w:tcPr>
    </w:tblStylePr>
  </w:style>
  <w:style w:type="character" w:styleId="FollowedHyperlink">
    <w:name w:val="FollowedHyperlink"/>
    <w:uiPriority w:val="99"/>
    <w:semiHidden/>
    <w:unhideWhenUsed/>
    <w:rsid w:val="00531361"/>
    <w:rPr>
      <w:color w:val="ACD68E"/>
      <w:u w:val="single"/>
    </w:rPr>
  </w:style>
  <w:style w:type="paragraph" w:customStyle="1" w:styleId="AEQUALISNormal">
    <w:name w:val="AEQUALIS Normal"/>
    <w:basedOn w:val="Normal"/>
    <w:link w:val="AEQUALISNormalChar"/>
    <w:rsid w:val="00531361"/>
    <w:pPr>
      <w:spacing w:before="40" w:after="40" w:line="240" w:lineRule="auto"/>
      <w:jc w:val="both"/>
    </w:pPr>
    <w:rPr>
      <w:rFonts w:ascii="Fira Sans Extra Condensed" w:eastAsia="Noto Sans JP" w:hAnsi="Fira Sans Extra Condensed"/>
      <w:bCs/>
      <w:sz w:val="22"/>
      <w:szCs w:val="16"/>
    </w:rPr>
  </w:style>
  <w:style w:type="character" w:customStyle="1" w:styleId="AEQUALISNormalChar">
    <w:name w:val="AEQUALIS Normal Char"/>
    <w:basedOn w:val="DefaultParagraphFont"/>
    <w:link w:val="AEQUALISNormal"/>
    <w:rsid w:val="00531361"/>
    <w:rPr>
      <w:rFonts w:ascii="Fira Sans Extra Condensed" w:eastAsia="Noto Sans JP" w:hAnsi="Fira Sans Extra Condensed"/>
      <w:bCs/>
      <w:sz w:val="22"/>
      <w:szCs w:val="16"/>
      <w:lang w:val="en-GB"/>
    </w:rPr>
  </w:style>
  <w:style w:type="paragraph" w:customStyle="1" w:styleId="SectionsofUnits">
    <w:name w:val="Sections of Units"/>
    <w:basedOn w:val="Normal"/>
    <w:rsid w:val="00531361"/>
    <w:pPr>
      <w:keepNext/>
      <w:keepLines/>
      <w:numPr>
        <w:numId w:val="23"/>
      </w:numPr>
      <w:spacing w:before="320" w:after="40" w:line="360" w:lineRule="auto"/>
      <w:outlineLvl w:val="0"/>
    </w:pPr>
    <w:rPr>
      <w:rFonts w:ascii="Fira Sans Extra Condensed" w:eastAsia="Noto Sans JP" w:hAnsi="Fira Sans Extra Condensed" w:cs="Hind Madurai"/>
      <w:b/>
      <w:bCs/>
      <w:color w:val="ECC500"/>
      <w:spacing w:val="4"/>
      <w:sz w:val="36"/>
      <w:szCs w:val="44"/>
    </w:rPr>
  </w:style>
  <w:style w:type="paragraph" w:styleId="Revision">
    <w:name w:val="Revision"/>
    <w:hidden/>
    <w:uiPriority w:val="99"/>
    <w:semiHidden/>
    <w:rsid w:val="00531361"/>
    <w:pPr>
      <w:spacing w:after="0" w:line="240" w:lineRule="auto"/>
    </w:pPr>
    <w:rPr>
      <w:sz w:val="20"/>
      <w:lang w:eastAsia="en-GB"/>
    </w:rPr>
  </w:style>
  <w:style w:type="character" w:customStyle="1" w:styleId="ng-star-inserted1">
    <w:name w:val="ng-star-inserted1"/>
    <w:basedOn w:val="DefaultParagraphFont"/>
    <w:rsid w:val="00531361"/>
  </w:style>
  <w:style w:type="character" w:customStyle="1" w:styleId="apple-converted-space">
    <w:name w:val="apple-converted-space"/>
    <w:basedOn w:val="DefaultParagraphFont"/>
    <w:rsid w:val="00531361"/>
  </w:style>
  <w:style w:type="character" w:styleId="HTMLCode">
    <w:name w:val="HTML Code"/>
    <w:basedOn w:val="DefaultParagraphFont"/>
    <w:uiPriority w:val="99"/>
    <w:semiHidden/>
    <w:unhideWhenUsed/>
    <w:rsid w:val="00531361"/>
    <w:rPr>
      <w:rFonts w:ascii="Courier New" w:eastAsia="Times New Roman" w:hAnsi="Courier New" w:cs="Courier New"/>
      <w:sz w:val="20"/>
      <w:szCs w:val="20"/>
    </w:rPr>
  </w:style>
  <w:style w:type="character" w:customStyle="1" w:styleId="font-semibold">
    <w:name w:val="font-semibold"/>
    <w:basedOn w:val="DefaultParagraphFont"/>
    <w:rsid w:val="00531361"/>
  </w:style>
  <w:style w:type="paragraph" w:customStyle="1" w:styleId="py-1">
    <w:name w:val="py-1"/>
    <w:basedOn w:val="Normal"/>
    <w:rsid w:val="00531361"/>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character" w:customStyle="1" w:styleId="whitespace-normal">
    <w:name w:val="whitespace-normal"/>
    <w:basedOn w:val="DefaultParagraphFont"/>
    <w:rsid w:val="0053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edocs.unep.org/items/c337f278-f250-40a6-bcc0-57da308b2e0d" TargetMode="External"/><Relationship Id="rId21" Type="http://schemas.openxmlformats.org/officeDocument/2006/relationships/hyperlink" Target="https://www.youtube.com/watch?v=_TKLd8vwQcA" TargetMode="External"/><Relationship Id="rId42" Type="http://schemas.openxmlformats.org/officeDocument/2006/relationships/hyperlink" Target="https://eur-lex.europa.eu/legal-content/EN/TXT/HTML/?uri=OJ%3AL_202302772" TargetMode="External"/><Relationship Id="rId47" Type="http://schemas.openxmlformats.org/officeDocument/2006/relationships/image" Target="media/image12.jpg"/><Relationship Id="rId63" Type="http://schemas.openxmlformats.org/officeDocument/2006/relationships/hyperlink" Target="https://ghgprotocol.org/" TargetMode="External"/><Relationship Id="rId68" Type="http://schemas.openxmlformats.org/officeDocument/2006/relationships/hyperlink" Target="https://www.cleverrepublic.com/resources/blog/the-six-most-used-data-quality-dimensions/" TargetMode="External"/><Relationship Id="rId84" Type="http://schemas.openxmlformats.org/officeDocument/2006/relationships/hyperlink" Target="https://learn.microsoft.com/en-us/power-bi/" TargetMode="External"/><Relationship Id="rId89" Type="http://schemas.openxmlformats.org/officeDocument/2006/relationships/hyperlink" Target="https://datagovernance.com" TargetMode="External"/><Relationship Id="rId16" Type="http://schemas.openxmlformats.org/officeDocument/2006/relationships/hyperlink" Target="https://ec.europa.eu/commission/presscorner/api/files/document/print/en/qanda_23_4043/QANDA_23_4043_EN.pdf" TargetMode="External"/><Relationship Id="rId11" Type="http://schemas.openxmlformats.org/officeDocument/2006/relationships/endnotes" Target="endnotes.xml"/><Relationship Id="rId32" Type="http://schemas.openxmlformats.org/officeDocument/2006/relationships/hyperlink" Target="https://www.msci.com/downloads/web/msci-com/data-and-analytics/wealth-management/esg-and-climate-guide-for-financial-advisors/Chapter-01-MSCI-ESG-Advisor-Guide.pdf" TargetMode="External"/><Relationship Id="rId37" Type="http://schemas.openxmlformats.org/officeDocument/2006/relationships/hyperlink" Target="https://www.efrag.org/sites/default/files/sites/webpublishing/SiteAssets/IG%201%20Materiality%20Assessment_final.pdf" TargetMode="External"/><Relationship Id="rId53" Type="http://schemas.openxmlformats.org/officeDocument/2006/relationships/image" Target="media/image13.jpg"/><Relationship Id="rId58" Type="http://schemas.openxmlformats.org/officeDocument/2006/relationships/hyperlink" Target="https://www.youtube.com/embed/6kFByuEK1lc?feature=oembed" TargetMode="External"/><Relationship Id="rId74" Type="http://schemas.openxmlformats.org/officeDocument/2006/relationships/image" Target="media/image22.jpg"/><Relationship Id="rId79" Type="http://schemas.openxmlformats.org/officeDocument/2006/relationships/hyperlink" Target="https://www.polymersearch.com/blog/10-good-and-bad-examples-of-data-visualization" TargetMode="External"/><Relationship Id="rId5" Type="http://schemas.openxmlformats.org/officeDocument/2006/relationships/customXml" Target="../customXml/item5.xml"/><Relationship Id="rId90" Type="http://schemas.openxmlformats.org/officeDocument/2006/relationships/hyperlink" Target="https://xbrl.org/ixbrl" TargetMode="External"/><Relationship Id="rId95"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www.youtube.com/embed/BKVID6bs1BE?feature=oembed" TargetMode="External"/><Relationship Id="rId43" Type="http://schemas.openxmlformats.org/officeDocument/2006/relationships/image" Target="media/image10.jpg"/><Relationship Id="rId48" Type="http://schemas.openxmlformats.org/officeDocument/2006/relationships/hyperlink" Target="https://www.xbrl.org/guidance/ixbrl-tagging-features/" TargetMode="External"/><Relationship Id="rId64" Type="http://schemas.openxmlformats.org/officeDocument/2006/relationships/hyperlink" Target="https://www.gov.uk/government/publications/greenhouse-gas-reporting-conversion-factors-2025" TargetMode="External"/><Relationship Id="rId69" Type="http://schemas.openxmlformats.org/officeDocument/2006/relationships/image" Target="media/image21.png"/><Relationship Id="rId80" Type="http://schemas.openxmlformats.org/officeDocument/2006/relationships/image" Target="media/image25.jpg"/><Relationship Id="rId85" Type="http://schemas.openxmlformats.org/officeDocument/2006/relationships/hyperlink" Target="https://dax.guide/" TargetMode="External"/><Relationship Id="rId3" Type="http://schemas.openxmlformats.org/officeDocument/2006/relationships/customXml" Target="../customXml/item3.xml"/><Relationship Id="rId12" Type="http://schemas.openxmlformats.org/officeDocument/2006/relationships/hyperlink" Target="https://eur-lex.europa.eu/eli/dir/2026/470/oj/eng" TargetMode="External"/><Relationship Id="rId17" Type="http://schemas.openxmlformats.org/officeDocument/2006/relationships/hyperlink" Target="https://www.efrag.org/sites/default/files/sites/webpublishing/SiteAssets/BC%20ESRS%201%20General%20requirements.pdf" TargetMode="External"/><Relationship Id="rId25" Type="http://schemas.openxmlformats.org/officeDocument/2006/relationships/image" Target="media/image5.jpg"/><Relationship Id="rId33" Type="http://schemas.openxmlformats.org/officeDocument/2006/relationships/hyperlink" Target="https://www.ifrs.org/content/dam/ifrs/project/general-sustainability-related-disclosures/project-summary.pdf" TargetMode="External"/><Relationship Id="rId38" Type="http://schemas.openxmlformats.org/officeDocument/2006/relationships/hyperlink" Target="https://www.youtube.com/embed/yEMOqR_JaqI?feature=oembed" TargetMode="External"/><Relationship Id="rId46" Type="http://schemas.openxmlformats.org/officeDocument/2006/relationships/hyperlink" Target="https://www.youtube.com/watch?v=4uTrB1gQ-xM&amp;t=110s" TargetMode="External"/><Relationship Id="rId59" Type="http://schemas.openxmlformats.org/officeDocument/2006/relationships/image" Target="media/image16.jpg"/><Relationship Id="rId67" Type="http://schemas.openxmlformats.org/officeDocument/2006/relationships/image" Target="media/image20.png"/><Relationship Id="rId20" Type="http://schemas.openxmlformats.org/officeDocument/2006/relationships/image" Target="media/image3.jpg"/><Relationship Id="rId41" Type="http://schemas.openxmlformats.org/officeDocument/2006/relationships/hyperlink" Target="https://globalreporting.org/pdf.ashx?id=12453" TargetMode="External"/><Relationship Id="rId54" Type="http://schemas.openxmlformats.org/officeDocument/2006/relationships/hyperlink" Target="https://www.youtube.com/embed/38nPx2rM0NU?feature=oembed" TargetMode="External"/><Relationship Id="rId62" Type="http://schemas.openxmlformats.org/officeDocument/2006/relationships/hyperlink" Target="https://datagovernance.com/the-data-governance-basics/adg-data-governance-basics/" TargetMode="External"/><Relationship Id="rId70" Type="http://schemas.openxmlformats.org/officeDocument/2006/relationships/hyperlink" Target="https://www.globalreporting.org/how-to-use-the-gri-standards/gri-standards-english-language/" TargetMode="External"/><Relationship Id="rId75" Type="http://schemas.openxmlformats.org/officeDocument/2006/relationships/image" Target="media/image23.jpg"/><Relationship Id="rId83" Type="http://schemas.openxmlformats.org/officeDocument/2006/relationships/hyperlink" Target="https://www.researchgate.net/figure/A-diagram-of-the-star-schema-source-ibmcom_fig1_237138345" TargetMode="External"/><Relationship Id="rId88" Type="http://schemas.openxmlformats.org/officeDocument/2006/relationships/hyperlink" Target="https://eur-lex.europa.eu/legal-content/EN/TXT/?uri=OJ:L_202600470"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g"/><Relationship Id="rId23" Type="http://schemas.microsoft.com/office/2007/relationships/hdphoto" Target="media/hdphoto1.wdp"/><Relationship Id="rId28" Type="http://schemas.openxmlformats.org/officeDocument/2006/relationships/image" Target="media/image6.jpg"/><Relationship Id="rId36" Type="http://schemas.openxmlformats.org/officeDocument/2006/relationships/image" Target="media/image8.jpg"/><Relationship Id="rId49" Type="http://schemas.openxmlformats.org/officeDocument/2006/relationships/hyperlink" Target="https://eur-lex.europa.eu/legal-content/EN/TXT/HTML/?uri=OJ%3AL_202302772" TargetMode="External"/><Relationship Id="rId57" Type="http://schemas.openxmlformats.org/officeDocument/2006/relationships/image" Target="media/image15.jpg"/><Relationship Id="rId10" Type="http://schemas.openxmlformats.org/officeDocument/2006/relationships/footnotes" Target="footnotes.xml"/><Relationship Id="rId31" Type="http://schemas.openxmlformats.org/officeDocument/2006/relationships/hyperlink" Target="https://www.globalreporting.org/pdf.ashx?id=12510" TargetMode="External"/><Relationship Id="rId44" Type="http://schemas.openxmlformats.org/officeDocument/2006/relationships/hyperlink" Target="https://www.youtube.com/embed/4uTrB1gQ-xM?feature=oembed" TargetMode="External"/><Relationship Id="rId52" Type="http://schemas.openxmlformats.org/officeDocument/2006/relationships/hyperlink" Target="https://xbrl.efrag.org/downloads/Annex-2-ESRS-Set1-illustrative-examples-of-XBRL-reports.zip" TargetMode="External"/><Relationship Id="rId60" Type="http://schemas.openxmlformats.org/officeDocument/2006/relationships/image" Target="media/image17.jpg"/><Relationship Id="rId65" Type="http://schemas.openxmlformats.org/officeDocument/2006/relationships/hyperlink" Target="https://www.ipcc-nggip.iges.or.jp/EFDB/main.php" TargetMode="External"/><Relationship Id="rId73" Type="http://schemas.openxmlformats.org/officeDocument/2006/relationships/hyperlink" Target="https://www.youtube.com/embed/0Smgm2UTUSo?feature=oembed" TargetMode="External"/><Relationship Id="rId78" Type="http://schemas.openxmlformats.org/officeDocument/2006/relationships/image" Target="media/image24.jpg"/><Relationship Id="rId81" Type="http://schemas.openxmlformats.org/officeDocument/2006/relationships/image" Target="media/image26.png"/><Relationship Id="rId86" Type="http://schemas.openxmlformats.org/officeDocument/2006/relationships/hyperlink" Target="https://www.youtube.com/embed/nCrD5g8d3ow?feature=oembed"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globalreporting.org/media/z2vmxbks/gri-standards-and-esrs-draft-interoperability-index_20231130-final.pdf" TargetMode="External"/><Relationship Id="rId39" Type="http://schemas.openxmlformats.org/officeDocument/2006/relationships/image" Target="media/image9.jpg"/><Relationship Id="rId34" Type="http://schemas.openxmlformats.org/officeDocument/2006/relationships/hyperlink" Target="https://www.efrag.org/sites/default/files/media/document/2024-12/Question%20ID%20177%20%E2%80%93%20Mapping%20of%20sustainability%20matters%20to%20topical%20disclosures%20%28Q%26A%20ID%20177%29%202.pdf" TargetMode="External"/><Relationship Id="rId50" Type="http://schemas.openxmlformats.org/officeDocument/2006/relationships/hyperlink" Target="https://www.xbrl.org/the-standard/what/ixbrl/" TargetMode="External"/><Relationship Id="rId55" Type="http://schemas.openxmlformats.org/officeDocument/2006/relationships/image" Target="media/image14.jpg"/><Relationship Id="rId76" Type="http://schemas.openxmlformats.org/officeDocument/2006/relationships/hyperlink" Target="https://extremepresentation.com/design/7-charts/"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cleverrepublic.com/resources/blog/the-six-most-used-data-quality-dimensions/"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youtube.com/watch?v=BKVID6bs1BE" TargetMode="External"/><Relationship Id="rId24" Type="http://schemas.openxmlformats.org/officeDocument/2006/relationships/hyperlink" Target="https://www.esgtool.eu/en/sustainability-standards" TargetMode="External"/><Relationship Id="rId40" Type="http://schemas.openxmlformats.org/officeDocument/2006/relationships/hyperlink" Target="https://www.efrag.org/sites/webpublishing/SiteAssets/Draft%20EFRAG%20IG%201%20MAIG%20231222.pdf" TargetMode="External"/><Relationship Id="rId45" Type="http://schemas.openxmlformats.org/officeDocument/2006/relationships/image" Target="media/image11.jpg"/><Relationship Id="rId66" Type="http://schemas.openxmlformats.org/officeDocument/2006/relationships/image" Target="media/image19.png"/><Relationship Id="rId87" Type="http://schemas.openxmlformats.org/officeDocument/2006/relationships/image" Target="media/image27.jpg"/><Relationship Id="rId61" Type="http://schemas.openxmlformats.org/officeDocument/2006/relationships/image" Target="media/image18.jpg"/><Relationship Id="rId82" Type="http://schemas.microsoft.com/office/2007/relationships/hdphoto" Target="media/hdphoto2.wdp"/><Relationship Id="rId19" Type="http://schemas.openxmlformats.org/officeDocument/2006/relationships/hyperlink" Target="https://www.youtube.com/embed/_TKLd8vwQcA?feature=oembed" TargetMode="External"/><Relationship Id="rId14" Type="http://schemas.openxmlformats.org/officeDocument/2006/relationships/hyperlink" Target="https://www.youtube.com/embed/vFp60jhcb1E?start=3&amp;feature=oembed" TargetMode="External"/><Relationship Id="rId30" Type="http://schemas.openxmlformats.org/officeDocument/2006/relationships/hyperlink" Target="https://www.efrag.org/sites/default/files/sites/webpublishing/SiteAssets/EFRAG%20IG%203%20List%20of%20ESRS%20Data%20Points%20-%20Explanatory%20Note.pdf" TargetMode="External"/><Relationship Id="rId35" Type="http://schemas.openxmlformats.org/officeDocument/2006/relationships/image" Target="media/image7.png"/><Relationship Id="rId56" Type="http://schemas.openxmlformats.org/officeDocument/2006/relationships/hyperlink" Target="https://www.youtube.com/watch?v=38nPx2rM0NU" TargetMode="External"/><Relationship Id="rId77" Type="http://schemas.openxmlformats.org/officeDocument/2006/relationships/hyperlink" Target="https://www.youtube.com/embed/ZkWxlkv0aTc?feature=oembed" TargetMode="External"/><Relationship Id="rId8" Type="http://schemas.openxmlformats.org/officeDocument/2006/relationships/settings" Target="settings.xml"/><Relationship Id="rId51" Type="http://schemas.openxmlformats.org/officeDocument/2006/relationships/hyperlink" Target="https://xbrl.efrag.org/downloads/Annex-1-ESRS-Set1-XBRL-Taxonomy-illustrated-in-Excel.xlsx" TargetMode="External"/><Relationship Id="rId72" Type="http://schemas.openxmlformats.org/officeDocument/2006/relationships/hyperlink" Target="https://www.ibm.com/think/topics/data-profiling" TargetMode="External"/><Relationship Id="rId93" Type="http://schemas.openxmlformats.org/officeDocument/2006/relationships/header" Target="header2.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110.png"/><Relationship Id="rId1" Type="http://schemas.openxmlformats.org/officeDocument/2006/relationships/image" Target="media/image28.png"/><Relationship Id="rId4" Type="http://schemas.openxmlformats.org/officeDocument/2006/relationships/image" Target="media/image210.png"/></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0.jpg"/><Relationship Id="rId1" Type="http://schemas.openxmlformats.org/officeDocument/2006/relationships/image" Target="media/image31.jp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34.jpg"/></Relationship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3.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customXml/itemProps4.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75</Pages>
  <Words>19321</Words>
  <Characters>110136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15</cp:revision>
  <cp:lastPrinted>2026-04-16T09:02:00Z</cp:lastPrinted>
  <dcterms:created xsi:type="dcterms:W3CDTF">2026-04-16T09:08:00Z</dcterms:created>
  <dcterms:modified xsi:type="dcterms:W3CDTF">2026-04-28T10:50:00Z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